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EC86" w14:textId="2D9F63F0" w:rsidR="0066790B" w:rsidRPr="00534764" w:rsidRDefault="0066790B" w:rsidP="00534764">
      <w:pPr>
        <w:jc w:val="right"/>
        <w:rPr>
          <w:rFonts w:ascii="Arial" w:hAnsi="Arial" w:cs="Arial"/>
          <w:b/>
          <w:lang w:val="en-AU"/>
        </w:rPr>
      </w:pPr>
    </w:p>
    <w:p w14:paraId="1F5A98D7" w14:textId="77777777" w:rsidR="008F013B" w:rsidRPr="000D67C6" w:rsidRDefault="008F013B" w:rsidP="008F013B">
      <w:pPr>
        <w:jc w:val="center"/>
        <w:rPr>
          <w:rFonts w:ascii="Arial" w:hAnsi="Arial" w:cs="Arial"/>
          <w:b/>
          <w:sz w:val="40"/>
          <w:szCs w:val="40"/>
          <w:lang w:val="en-AU"/>
        </w:rPr>
      </w:pPr>
      <w:r w:rsidRPr="000D67C6">
        <w:rPr>
          <w:rFonts w:ascii="Arial" w:hAnsi="Arial" w:cs="Arial"/>
          <w:b/>
          <w:sz w:val="40"/>
          <w:szCs w:val="40"/>
          <w:lang w:val="en-AU"/>
        </w:rPr>
        <w:t xml:space="preserve">MID AND WEST WALES </w:t>
      </w:r>
    </w:p>
    <w:p w14:paraId="71A62082" w14:textId="77777777" w:rsidR="008F013B" w:rsidRPr="000D67C6" w:rsidRDefault="008F013B" w:rsidP="008F013B">
      <w:pPr>
        <w:jc w:val="center"/>
        <w:rPr>
          <w:rFonts w:ascii="Arial" w:hAnsi="Arial" w:cs="Arial"/>
          <w:b/>
          <w:sz w:val="40"/>
          <w:szCs w:val="40"/>
          <w:lang w:val="en-AU"/>
        </w:rPr>
      </w:pPr>
      <w:r w:rsidRPr="000D67C6">
        <w:rPr>
          <w:rFonts w:ascii="Arial" w:hAnsi="Arial" w:cs="Arial"/>
          <w:b/>
          <w:sz w:val="40"/>
          <w:szCs w:val="40"/>
          <w:lang w:val="en-AU"/>
        </w:rPr>
        <w:t>FIRE AND RESCUE AUTHORITY</w:t>
      </w:r>
    </w:p>
    <w:p w14:paraId="0D3A021B" w14:textId="77777777" w:rsidR="008F013B" w:rsidRPr="000D67C6" w:rsidRDefault="008F013B" w:rsidP="008F013B">
      <w:pPr>
        <w:jc w:val="center"/>
        <w:rPr>
          <w:rFonts w:ascii="Arial" w:hAnsi="Arial" w:cs="Arial"/>
          <w:b/>
          <w:sz w:val="36"/>
          <w:szCs w:val="36"/>
          <w:lang w:val="en-AU"/>
        </w:rPr>
      </w:pPr>
    </w:p>
    <w:p w14:paraId="056F886C" w14:textId="77777777" w:rsidR="008F013B" w:rsidRPr="000D67C6" w:rsidRDefault="008F013B" w:rsidP="008F013B">
      <w:pPr>
        <w:jc w:val="center"/>
        <w:rPr>
          <w:rFonts w:ascii="Arial" w:hAnsi="Arial" w:cs="Arial"/>
          <w:b/>
          <w:sz w:val="72"/>
          <w:szCs w:val="72"/>
          <w:lang w:val="en-AU"/>
        </w:rPr>
      </w:pPr>
      <w:bookmarkStart w:id="0" w:name="crest"/>
      <w:r w:rsidRPr="000D67C6">
        <w:rPr>
          <w:rFonts w:ascii="Arial" w:hAnsi="Arial" w:cs="Arial"/>
          <w:noProof/>
          <w:lang w:val="en-GB" w:eastAsia="en-GB"/>
        </w:rPr>
        <w:drawing>
          <wp:anchor distT="0" distB="0" distL="114300" distR="114300" simplePos="0" relativeHeight="251658240" behindDoc="0" locked="0" layoutInCell="1" allowOverlap="1" wp14:anchorId="201FFE45" wp14:editId="066A6839">
            <wp:simplePos x="0" y="0"/>
            <wp:positionH relativeFrom="margin">
              <wp:posOffset>854529</wp:posOffset>
            </wp:positionH>
            <wp:positionV relativeFrom="paragraph">
              <wp:posOffset>403225</wp:posOffset>
            </wp:positionV>
            <wp:extent cx="4216400" cy="37877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16400" cy="3787775"/>
                    </a:xfrm>
                    <a:prstGeom prst="rect">
                      <a:avLst/>
                    </a:prstGeom>
                    <a:noFill/>
                  </pic:spPr>
                </pic:pic>
              </a:graphicData>
            </a:graphic>
          </wp:anchor>
        </w:drawing>
      </w:r>
      <w:bookmarkEnd w:id="0"/>
    </w:p>
    <w:p w14:paraId="22D15D12" w14:textId="77777777" w:rsidR="00C74C6B" w:rsidRPr="000D67C6" w:rsidRDefault="00C74C6B" w:rsidP="008F013B">
      <w:pPr>
        <w:jc w:val="center"/>
        <w:rPr>
          <w:rFonts w:ascii="Arial" w:hAnsi="Arial" w:cs="Arial"/>
          <w:b/>
          <w:sz w:val="72"/>
          <w:szCs w:val="72"/>
          <w:lang w:val="en-AU"/>
        </w:rPr>
      </w:pPr>
    </w:p>
    <w:p w14:paraId="54EC3A1A" w14:textId="77777777" w:rsidR="008F013B" w:rsidRPr="000D67C6" w:rsidRDefault="008F013B">
      <w:pPr>
        <w:rPr>
          <w:rFonts w:ascii="Arial" w:hAnsi="Arial" w:cs="Arial"/>
          <w:lang w:val="en-AU"/>
        </w:rPr>
      </w:pPr>
    </w:p>
    <w:p w14:paraId="057DEAFD" w14:textId="77777777" w:rsidR="008F013B" w:rsidRPr="000D67C6" w:rsidRDefault="008F013B">
      <w:pPr>
        <w:rPr>
          <w:rFonts w:ascii="Arial" w:hAnsi="Arial" w:cs="Arial"/>
          <w:sz w:val="22"/>
          <w:szCs w:val="22"/>
          <w:lang w:val="en-AU"/>
        </w:rPr>
      </w:pPr>
    </w:p>
    <w:p w14:paraId="4AACA2D5" w14:textId="77777777" w:rsidR="008F013B" w:rsidRPr="000D67C6" w:rsidRDefault="008F013B" w:rsidP="008F013B">
      <w:pPr>
        <w:jc w:val="center"/>
        <w:rPr>
          <w:rFonts w:ascii="Arial" w:hAnsi="Arial" w:cs="Arial"/>
          <w:b/>
          <w:sz w:val="56"/>
          <w:szCs w:val="56"/>
          <w:lang w:val="en-AU"/>
        </w:rPr>
      </w:pPr>
    </w:p>
    <w:p w14:paraId="5BEFA4B0" w14:textId="77777777" w:rsidR="008F013B" w:rsidRPr="000D67C6" w:rsidRDefault="008F013B" w:rsidP="008F013B">
      <w:pPr>
        <w:jc w:val="center"/>
        <w:rPr>
          <w:rFonts w:ascii="Arial" w:hAnsi="Arial" w:cs="Arial"/>
          <w:b/>
          <w:sz w:val="56"/>
          <w:szCs w:val="56"/>
          <w:lang w:val="en-AU"/>
        </w:rPr>
      </w:pPr>
    </w:p>
    <w:p w14:paraId="138DCF94" w14:textId="77777777" w:rsidR="008F013B" w:rsidRPr="000D67C6" w:rsidRDefault="008F013B" w:rsidP="008F013B">
      <w:pPr>
        <w:jc w:val="center"/>
        <w:rPr>
          <w:rFonts w:ascii="Arial" w:hAnsi="Arial" w:cs="Arial"/>
          <w:b/>
          <w:sz w:val="56"/>
          <w:szCs w:val="56"/>
          <w:lang w:val="en-AU"/>
        </w:rPr>
      </w:pPr>
    </w:p>
    <w:p w14:paraId="426119DC" w14:textId="77777777" w:rsidR="008F013B" w:rsidRPr="000D67C6" w:rsidRDefault="008F013B" w:rsidP="008F013B">
      <w:pPr>
        <w:jc w:val="center"/>
        <w:rPr>
          <w:rFonts w:ascii="Arial" w:hAnsi="Arial" w:cs="Arial"/>
          <w:b/>
          <w:sz w:val="56"/>
          <w:szCs w:val="56"/>
          <w:lang w:val="en-AU"/>
        </w:rPr>
      </w:pPr>
    </w:p>
    <w:p w14:paraId="2229F67F" w14:textId="77777777" w:rsidR="008F013B" w:rsidRPr="000D67C6" w:rsidRDefault="008F013B" w:rsidP="008F013B">
      <w:pPr>
        <w:jc w:val="center"/>
        <w:rPr>
          <w:rFonts w:ascii="Arial" w:hAnsi="Arial" w:cs="Arial"/>
          <w:b/>
          <w:sz w:val="56"/>
          <w:szCs w:val="56"/>
          <w:lang w:val="en-AU"/>
        </w:rPr>
      </w:pPr>
    </w:p>
    <w:p w14:paraId="3EE23D5B" w14:textId="77777777" w:rsidR="008F013B" w:rsidRPr="000D67C6" w:rsidRDefault="008F013B" w:rsidP="008F013B">
      <w:pPr>
        <w:jc w:val="center"/>
        <w:rPr>
          <w:rFonts w:ascii="Arial" w:hAnsi="Arial" w:cs="Arial"/>
          <w:b/>
          <w:sz w:val="56"/>
          <w:szCs w:val="56"/>
          <w:lang w:val="en-AU"/>
        </w:rPr>
      </w:pPr>
    </w:p>
    <w:p w14:paraId="08589006" w14:textId="77777777" w:rsidR="008F013B" w:rsidRPr="000D67C6" w:rsidRDefault="008F013B" w:rsidP="008F013B">
      <w:pPr>
        <w:jc w:val="center"/>
        <w:rPr>
          <w:rFonts w:ascii="Arial" w:hAnsi="Arial" w:cs="Arial"/>
          <w:b/>
          <w:sz w:val="56"/>
          <w:szCs w:val="56"/>
          <w:lang w:val="en-AU"/>
        </w:rPr>
      </w:pPr>
    </w:p>
    <w:p w14:paraId="4899DFFD" w14:textId="77777777" w:rsidR="008F013B" w:rsidRPr="000D67C6" w:rsidRDefault="008F013B" w:rsidP="008F013B">
      <w:pPr>
        <w:jc w:val="center"/>
        <w:rPr>
          <w:rFonts w:ascii="Arial" w:hAnsi="Arial" w:cs="Arial"/>
          <w:b/>
          <w:sz w:val="36"/>
          <w:szCs w:val="36"/>
          <w:lang w:val="en-AU"/>
        </w:rPr>
      </w:pPr>
    </w:p>
    <w:p w14:paraId="5232D463" w14:textId="77777777" w:rsidR="008F013B" w:rsidRPr="000D67C6" w:rsidRDefault="008F013B" w:rsidP="008F013B">
      <w:pPr>
        <w:jc w:val="center"/>
        <w:rPr>
          <w:rFonts w:ascii="Arial" w:hAnsi="Arial" w:cs="Arial"/>
          <w:b/>
          <w:sz w:val="36"/>
          <w:szCs w:val="36"/>
          <w:lang w:val="en-AU"/>
        </w:rPr>
      </w:pPr>
    </w:p>
    <w:p w14:paraId="030AADE3" w14:textId="77777777" w:rsidR="008F013B" w:rsidRPr="000D67C6" w:rsidRDefault="008F013B" w:rsidP="008F013B">
      <w:pPr>
        <w:jc w:val="center"/>
        <w:rPr>
          <w:rFonts w:ascii="Arial" w:hAnsi="Arial" w:cs="Arial"/>
          <w:b/>
          <w:sz w:val="36"/>
          <w:szCs w:val="36"/>
          <w:lang w:val="en-AU"/>
        </w:rPr>
      </w:pPr>
    </w:p>
    <w:p w14:paraId="4BBDA1B9" w14:textId="77777777" w:rsidR="008F013B" w:rsidRPr="000D67C6" w:rsidRDefault="008F013B" w:rsidP="008F013B">
      <w:pPr>
        <w:jc w:val="center"/>
        <w:rPr>
          <w:rFonts w:ascii="Arial" w:hAnsi="Arial" w:cs="Arial"/>
          <w:b/>
          <w:sz w:val="36"/>
          <w:szCs w:val="36"/>
          <w:lang w:val="en-AU"/>
        </w:rPr>
      </w:pPr>
    </w:p>
    <w:p w14:paraId="44F22242" w14:textId="77777777" w:rsidR="008F013B" w:rsidRPr="000D67C6" w:rsidRDefault="008F013B" w:rsidP="008F013B">
      <w:pPr>
        <w:jc w:val="center"/>
        <w:rPr>
          <w:rFonts w:ascii="Arial" w:hAnsi="Arial" w:cs="Arial"/>
          <w:b/>
          <w:sz w:val="36"/>
          <w:szCs w:val="36"/>
          <w:lang w:val="en-AU"/>
        </w:rPr>
      </w:pPr>
      <w:r w:rsidRPr="000D67C6">
        <w:rPr>
          <w:rFonts w:ascii="Arial" w:hAnsi="Arial" w:cs="Arial"/>
          <w:b/>
          <w:sz w:val="36"/>
          <w:szCs w:val="36"/>
          <w:lang w:val="en-AU"/>
        </w:rPr>
        <w:t>STATEMENT OF ACCOUNTS</w:t>
      </w:r>
    </w:p>
    <w:p w14:paraId="1819059C" w14:textId="77777777" w:rsidR="008F013B" w:rsidRPr="000D67C6" w:rsidRDefault="008F013B" w:rsidP="008F013B">
      <w:pPr>
        <w:jc w:val="center"/>
        <w:rPr>
          <w:rFonts w:ascii="Arial" w:hAnsi="Arial" w:cs="Arial"/>
          <w:b/>
          <w:sz w:val="36"/>
          <w:szCs w:val="36"/>
          <w:lang w:val="en-AU"/>
        </w:rPr>
      </w:pPr>
    </w:p>
    <w:p w14:paraId="12F8FE07" w14:textId="77777777" w:rsidR="008F013B" w:rsidRPr="000D67C6" w:rsidRDefault="007C4B12" w:rsidP="008F013B">
      <w:pPr>
        <w:jc w:val="center"/>
        <w:rPr>
          <w:rFonts w:ascii="Arial" w:hAnsi="Arial" w:cs="Arial"/>
          <w:b/>
          <w:sz w:val="36"/>
          <w:szCs w:val="36"/>
          <w:lang w:val="en-AU"/>
        </w:rPr>
      </w:pPr>
      <w:r w:rsidRPr="000D67C6">
        <w:rPr>
          <w:rFonts w:ascii="Arial" w:hAnsi="Arial" w:cs="Arial"/>
          <w:b/>
          <w:sz w:val="36"/>
          <w:szCs w:val="36"/>
          <w:lang w:val="en-AU"/>
        </w:rPr>
        <w:t>201</w:t>
      </w:r>
      <w:r w:rsidR="00CA3659" w:rsidRPr="000D67C6">
        <w:rPr>
          <w:rFonts w:ascii="Arial" w:hAnsi="Arial" w:cs="Arial"/>
          <w:b/>
          <w:sz w:val="36"/>
          <w:szCs w:val="36"/>
          <w:lang w:val="en-AU"/>
        </w:rPr>
        <w:t>8</w:t>
      </w:r>
      <w:r w:rsidRPr="000D67C6">
        <w:rPr>
          <w:rFonts w:ascii="Arial" w:hAnsi="Arial" w:cs="Arial"/>
          <w:b/>
          <w:sz w:val="36"/>
          <w:szCs w:val="36"/>
          <w:lang w:val="en-AU"/>
        </w:rPr>
        <w:t>/1</w:t>
      </w:r>
      <w:r w:rsidR="00CA3659" w:rsidRPr="000D67C6">
        <w:rPr>
          <w:rFonts w:ascii="Arial" w:hAnsi="Arial" w:cs="Arial"/>
          <w:b/>
          <w:sz w:val="36"/>
          <w:szCs w:val="36"/>
          <w:lang w:val="en-AU"/>
        </w:rPr>
        <w:t>9</w:t>
      </w:r>
    </w:p>
    <w:p w14:paraId="7536098A" w14:textId="77777777" w:rsidR="008F013B" w:rsidRPr="000D67C6" w:rsidRDefault="008F013B">
      <w:pPr>
        <w:rPr>
          <w:rFonts w:ascii="Arial" w:hAnsi="Arial" w:cs="Arial"/>
          <w:sz w:val="22"/>
          <w:szCs w:val="22"/>
          <w:lang w:val="en-AU"/>
        </w:rPr>
      </w:pPr>
    </w:p>
    <w:p w14:paraId="3518D969" w14:textId="77777777" w:rsidR="00F008E8" w:rsidRPr="000D67C6" w:rsidRDefault="00F008E8">
      <w:pPr>
        <w:rPr>
          <w:rFonts w:ascii="Arial" w:hAnsi="Arial" w:cs="Arial"/>
          <w:sz w:val="22"/>
          <w:szCs w:val="22"/>
          <w:lang w:val="en-AU"/>
        </w:rPr>
      </w:pPr>
    </w:p>
    <w:p w14:paraId="155968BD" w14:textId="77777777" w:rsidR="00F008E8" w:rsidRPr="000D67C6" w:rsidRDefault="00F008E8">
      <w:pPr>
        <w:rPr>
          <w:rFonts w:ascii="Arial" w:hAnsi="Arial" w:cs="Arial"/>
          <w:sz w:val="22"/>
          <w:szCs w:val="22"/>
          <w:lang w:val="en-AU"/>
        </w:rPr>
      </w:pPr>
    </w:p>
    <w:p w14:paraId="2213DB1A" w14:textId="77777777" w:rsidR="00F008E8" w:rsidRPr="000D67C6" w:rsidRDefault="00F008E8">
      <w:pPr>
        <w:rPr>
          <w:rFonts w:ascii="Arial" w:hAnsi="Arial" w:cs="Arial"/>
          <w:sz w:val="22"/>
          <w:szCs w:val="22"/>
          <w:lang w:val="en-AU"/>
        </w:rPr>
      </w:pPr>
    </w:p>
    <w:p w14:paraId="6EC93003" w14:textId="77777777" w:rsidR="00F008E8" w:rsidRPr="000D67C6" w:rsidRDefault="00F008E8">
      <w:pPr>
        <w:rPr>
          <w:rFonts w:ascii="Arial" w:hAnsi="Arial" w:cs="Arial"/>
          <w:sz w:val="22"/>
          <w:szCs w:val="22"/>
          <w:lang w:val="en-AU"/>
        </w:rPr>
      </w:pPr>
    </w:p>
    <w:p w14:paraId="3743CC71" w14:textId="77777777" w:rsidR="00F008E8" w:rsidRPr="000D67C6" w:rsidRDefault="00F008E8">
      <w:pPr>
        <w:rPr>
          <w:rFonts w:ascii="Arial" w:hAnsi="Arial" w:cs="Arial"/>
          <w:sz w:val="22"/>
          <w:szCs w:val="22"/>
          <w:lang w:val="en-AU"/>
        </w:rPr>
      </w:pPr>
    </w:p>
    <w:p w14:paraId="4448E372" w14:textId="77777777" w:rsidR="00E004B4" w:rsidRPr="000D67C6" w:rsidRDefault="00E004B4" w:rsidP="00E004B4">
      <w:pPr>
        <w:jc w:val="right"/>
        <w:rPr>
          <w:rFonts w:ascii="Arial" w:hAnsi="Arial" w:cs="Arial"/>
          <w:b/>
          <w:lang w:val="en-AU"/>
        </w:rPr>
      </w:pPr>
    </w:p>
    <w:p w14:paraId="30F99502" w14:textId="77777777" w:rsidR="00E004B4" w:rsidRPr="000D67C6" w:rsidRDefault="00E004B4" w:rsidP="00E004B4">
      <w:pPr>
        <w:jc w:val="right"/>
        <w:rPr>
          <w:rFonts w:ascii="Arial" w:hAnsi="Arial" w:cs="Arial"/>
          <w:b/>
          <w:lang w:val="en-AU"/>
        </w:rPr>
      </w:pPr>
    </w:p>
    <w:p w14:paraId="3F06CD83" w14:textId="07835F9C" w:rsidR="00F008E8" w:rsidRPr="000D67C6" w:rsidRDefault="00F008E8" w:rsidP="00E004B4">
      <w:pPr>
        <w:jc w:val="right"/>
        <w:rPr>
          <w:rFonts w:ascii="Arial" w:hAnsi="Arial" w:cs="Arial"/>
          <w:b/>
          <w:lang w:val="en-AU"/>
        </w:rPr>
      </w:pPr>
    </w:p>
    <w:p w14:paraId="06EC8750" w14:textId="104ECBE5" w:rsidR="00F008E8" w:rsidRPr="000D67C6" w:rsidRDefault="00F008E8" w:rsidP="00F008E8">
      <w:pPr>
        <w:ind w:left="4320" w:firstLine="720"/>
        <w:jc w:val="right"/>
        <w:rPr>
          <w:rFonts w:ascii="Arial" w:hAnsi="Arial" w:cs="Arial"/>
          <w:sz w:val="22"/>
          <w:szCs w:val="22"/>
          <w:lang w:val="en-AU"/>
        </w:rPr>
        <w:sectPr w:rsidR="00F008E8" w:rsidRPr="000D67C6" w:rsidSect="00FB7274">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9" w:footer="709" w:gutter="0"/>
          <w:pgNumType w:start="0"/>
          <w:cols w:space="708"/>
          <w:docGrid w:linePitch="360"/>
        </w:sectPr>
      </w:pPr>
    </w:p>
    <w:p w14:paraId="3B0FC5A7" w14:textId="77777777" w:rsidR="008F013B" w:rsidRPr="000D67C6" w:rsidRDefault="008F013B">
      <w:pPr>
        <w:rPr>
          <w:rFonts w:ascii="Arial" w:hAnsi="Arial" w:cs="Arial"/>
          <w:sz w:val="22"/>
          <w:szCs w:val="22"/>
          <w:lang w:val="en-AU"/>
        </w:rPr>
      </w:pPr>
    </w:p>
    <w:tbl>
      <w:tblPr>
        <w:tblpPr w:leftFromText="180" w:rightFromText="180" w:vertAnchor="text" w:horzAnchor="margin" w:tblpY="1"/>
        <w:tblW w:w="0" w:type="auto"/>
        <w:tblLook w:val="01E0" w:firstRow="1" w:lastRow="1" w:firstColumn="1" w:lastColumn="1" w:noHBand="0" w:noVBand="0"/>
      </w:tblPr>
      <w:tblGrid>
        <w:gridCol w:w="1511"/>
        <w:gridCol w:w="6438"/>
        <w:gridCol w:w="1071"/>
      </w:tblGrid>
      <w:tr w:rsidR="00464E99" w:rsidRPr="000D67C6" w14:paraId="51B2832D" w14:textId="77777777" w:rsidTr="008F013B">
        <w:tc>
          <w:tcPr>
            <w:tcW w:w="7955" w:type="dxa"/>
            <w:gridSpan w:val="2"/>
          </w:tcPr>
          <w:p w14:paraId="671E7D58" w14:textId="77777777" w:rsidR="008F013B" w:rsidRPr="000D67C6" w:rsidRDefault="008F013B" w:rsidP="008F013B">
            <w:pPr>
              <w:pStyle w:val="Normal0"/>
              <w:tabs>
                <w:tab w:val="left" w:pos="8640"/>
              </w:tabs>
              <w:rPr>
                <w:rFonts w:ascii="Arial" w:hAnsi="Arial" w:cs="Arial"/>
                <w:b/>
                <w:bCs/>
                <w:u w:val="single"/>
                <w:lang w:val="en-GB"/>
              </w:rPr>
            </w:pPr>
            <w:r w:rsidRPr="000D67C6">
              <w:rPr>
                <w:rFonts w:ascii="Arial" w:hAnsi="Arial" w:cs="Arial"/>
                <w:b/>
                <w:bCs/>
                <w:u w:val="single"/>
                <w:lang w:val="en-GB"/>
              </w:rPr>
              <w:t>STATEMENT OF ACCOUNTS</w:t>
            </w:r>
          </w:p>
          <w:p w14:paraId="17BB8578" w14:textId="77777777" w:rsidR="008F013B" w:rsidRPr="000D67C6" w:rsidRDefault="008F013B" w:rsidP="008F013B">
            <w:pPr>
              <w:pStyle w:val="Normal0"/>
              <w:tabs>
                <w:tab w:val="left" w:pos="8640"/>
              </w:tabs>
              <w:rPr>
                <w:rFonts w:ascii="Arial" w:hAnsi="Arial" w:cs="Arial"/>
                <w:lang w:val="en-GB"/>
              </w:rPr>
            </w:pPr>
          </w:p>
        </w:tc>
        <w:tc>
          <w:tcPr>
            <w:tcW w:w="1071" w:type="dxa"/>
          </w:tcPr>
          <w:p w14:paraId="0FFC00AC" w14:textId="77777777" w:rsidR="008F013B" w:rsidRPr="000D67C6" w:rsidRDefault="008F013B" w:rsidP="002166B5">
            <w:pPr>
              <w:pStyle w:val="Normal0"/>
              <w:tabs>
                <w:tab w:val="left" w:pos="8640"/>
              </w:tabs>
              <w:jc w:val="right"/>
              <w:rPr>
                <w:rFonts w:ascii="Arial" w:hAnsi="Arial" w:cs="Arial"/>
                <w:lang w:val="en-GB"/>
              </w:rPr>
            </w:pPr>
            <w:r w:rsidRPr="000D67C6">
              <w:rPr>
                <w:rFonts w:ascii="Arial" w:hAnsi="Arial" w:cs="Arial"/>
                <w:b/>
                <w:u w:val="single"/>
                <w:lang w:val="en-GB"/>
              </w:rPr>
              <w:t>PAGE</w:t>
            </w:r>
          </w:p>
        </w:tc>
      </w:tr>
      <w:tr w:rsidR="006F4FCA" w:rsidRPr="000D67C6" w14:paraId="015E5659" w14:textId="77777777" w:rsidTr="008F013B">
        <w:tc>
          <w:tcPr>
            <w:tcW w:w="7955" w:type="dxa"/>
            <w:gridSpan w:val="2"/>
          </w:tcPr>
          <w:p w14:paraId="485F3422" w14:textId="77777777" w:rsidR="006F4FCA" w:rsidRPr="000D67C6" w:rsidRDefault="006F4FCA" w:rsidP="008F013B">
            <w:pPr>
              <w:pStyle w:val="Normal0"/>
              <w:tabs>
                <w:tab w:val="left" w:pos="8640"/>
              </w:tabs>
              <w:rPr>
                <w:rFonts w:ascii="Arial" w:hAnsi="Arial" w:cs="Arial"/>
                <w:b/>
                <w:bCs/>
                <w:u w:val="single"/>
                <w:lang w:val="en-GB"/>
              </w:rPr>
            </w:pPr>
          </w:p>
        </w:tc>
        <w:tc>
          <w:tcPr>
            <w:tcW w:w="1071" w:type="dxa"/>
          </w:tcPr>
          <w:p w14:paraId="075FCD94" w14:textId="77777777" w:rsidR="006F4FCA" w:rsidRPr="000D67C6" w:rsidRDefault="006F4FCA" w:rsidP="00462176">
            <w:pPr>
              <w:pStyle w:val="Normal0"/>
              <w:tabs>
                <w:tab w:val="left" w:pos="8640"/>
              </w:tabs>
              <w:jc w:val="center"/>
              <w:rPr>
                <w:rFonts w:ascii="Arial" w:hAnsi="Arial" w:cs="Arial"/>
                <w:b/>
                <w:u w:val="single"/>
                <w:lang w:val="en-GB"/>
              </w:rPr>
            </w:pPr>
          </w:p>
        </w:tc>
      </w:tr>
      <w:tr w:rsidR="00464E99" w:rsidRPr="000D67C6" w14:paraId="14786A3E" w14:textId="77777777" w:rsidTr="008F013B">
        <w:tc>
          <w:tcPr>
            <w:tcW w:w="7955" w:type="dxa"/>
            <w:gridSpan w:val="2"/>
          </w:tcPr>
          <w:p w14:paraId="1B2354EC" w14:textId="77777777" w:rsidR="008F013B" w:rsidRPr="000D67C6" w:rsidRDefault="008F013B" w:rsidP="008F013B">
            <w:pPr>
              <w:pStyle w:val="Normal0"/>
              <w:tabs>
                <w:tab w:val="left" w:pos="8640"/>
              </w:tabs>
              <w:rPr>
                <w:rFonts w:ascii="Arial" w:hAnsi="Arial" w:cs="Arial"/>
                <w:lang w:val="en-GB"/>
              </w:rPr>
            </w:pPr>
            <w:r w:rsidRPr="000D67C6">
              <w:rPr>
                <w:rFonts w:ascii="Arial" w:hAnsi="Arial" w:cs="Arial"/>
                <w:lang w:val="en-GB"/>
              </w:rPr>
              <w:t>Narrative Report</w:t>
            </w:r>
          </w:p>
        </w:tc>
        <w:tc>
          <w:tcPr>
            <w:tcW w:w="1071" w:type="dxa"/>
            <w:shd w:val="clear" w:color="auto" w:fill="auto"/>
          </w:tcPr>
          <w:p w14:paraId="357DAB3E" w14:textId="0B18EBBB" w:rsidR="008F013B" w:rsidRPr="000D67C6" w:rsidRDefault="00F54FAD" w:rsidP="00DB1774">
            <w:pPr>
              <w:pStyle w:val="Normal0"/>
              <w:tabs>
                <w:tab w:val="left" w:pos="8640"/>
              </w:tabs>
              <w:jc w:val="right"/>
              <w:rPr>
                <w:rFonts w:ascii="Arial" w:hAnsi="Arial" w:cs="Arial"/>
                <w:lang w:val="en-GB"/>
              </w:rPr>
            </w:pPr>
            <w:r w:rsidRPr="000D67C6">
              <w:rPr>
                <w:rFonts w:ascii="Arial" w:hAnsi="Arial" w:cs="Arial"/>
                <w:lang w:val="en-GB"/>
              </w:rPr>
              <w:t xml:space="preserve">2 – </w:t>
            </w:r>
            <w:r w:rsidR="002D431D" w:rsidRPr="000D67C6">
              <w:rPr>
                <w:rFonts w:ascii="Arial" w:hAnsi="Arial" w:cs="Arial"/>
                <w:lang w:val="en-GB"/>
              </w:rPr>
              <w:t>7</w:t>
            </w:r>
          </w:p>
          <w:p w14:paraId="311F2FC5" w14:textId="77777777" w:rsidR="008F013B" w:rsidRPr="000D67C6" w:rsidRDefault="008F013B" w:rsidP="00DB1774">
            <w:pPr>
              <w:pStyle w:val="Normal0"/>
              <w:tabs>
                <w:tab w:val="left" w:pos="8640"/>
              </w:tabs>
              <w:jc w:val="right"/>
              <w:rPr>
                <w:rFonts w:ascii="Arial" w:hAnsi="Arial" w:cs="Arial"/>
                <w:lang w:val="en-GB"/>
              </w:rPr>
            </w:pPr>
          </w:p>
        </w:tc>
      </w:tr>
      <w:tr w:rsidR="00464E99" w:rsidRPr="000D67C6" w14:paraId="1C07C27D" w14:textId="77777777" w:rsidTr="008F013B">
        <w:tc>
          <w:tcPr>
            <w:tcW w:w="7955" w:type="dxa"/>
            <w:gridSpan w:val="2"/>
          </w:tcPr>
          <w:p w14:paraId="6A907F8C" w14:textId="77777777" w:rsidR="008F013B" w:rsidRPr="000D67C6" w:rsidRDefault="008F013B" w:rsidP="008F013B">
            <w:pPr>
              <w:pStyle w:val="Normal0"/>
              <w:tabs>
                <w:tab w:val="left" w:pos="8640"/>
              </w:tabs>
              <w:rPr>
                <w:rFonts w:ascii="Arial" w:hAnsi="Arial" w:cs="Arial"/>
                <w:lang w:val="en-GB"/>
              </w:rPr>
            </w:pPr>
            <w:r w:rsidRPr="000D67C6">
              <w:rPr>
                <w:rFonts w:ascii="Arial" w:hAnsi="Arial" w:cs="Arial"/>
                <w:lang w:val="en-GB"/>
              </w:rPr>
              <w:t xml:space="preserve">Statement of Responsibilities </w:t>
            </w:r>
          </w:p>
          <w:p w14:paraId="447A1273" w14:textId="77777777" w:rsidR="008F013B" w:rsidRPr="000D67C6" w:rsidRDefault="008F013B" w:rsidP="008F013B">
            <w:pPr>
              <w:pStyle w:val="Normal0"/>
              <w:tabs>
                <w:tab w:val="left" w:pos="8640"/>
              </w:tabs>
              <w:rPr>
                <w:rFonts w:ascii="Arial" w:hAnsi="Arial" w:cs="Arial"/>
                <w:lang w:val="en-GB"/>
              </w:rPr>
            </w:pPr>
          </w:p>
        </w:tc>
        <w:tc>
          <w:tcPr>
            <w:tcW w:w="1071" w:type="dxa"/>
            <w:shd w:val="clear" w:color="auto" w:fill="auto"/>
          </w:tcPr>
          <w:p w14:paraId="1A229188" w14:textId="67150897" w:rsidR="008F013B" w:rsidRPr="000D67C6" w:rsidRDefault="002D431D" w:rsidP="00DB1774">
            <w:pPr>
              <w:pStyle w:val="Normal0"/>
              <w:tabs>
                <w:tab w:val="left" w:pos="8640"/>
              </w:tabs>
              <w:jc w:val="right"/>
              <w:rPr>
                <w:rFonts w:ascii="Arial" w:hAnsi="Arial" w:cs="Arial"/>
                <w:lang w:val="en-GB"/>
              </w:rPr>
            </w:pPr>
            <w:r w:rsidRPr="000D67C6">
              <w:rPr>
                <w:rFonts w:ascii="Arial" w:hAnsi="Arial" w:cs="Arial"/>
                <w:lang w:val="en-GB"/>
              </w:rPr>
              <w:t>8</w:t>
            </w:r>
          </w:p>
          <w:p w14:paraId="3B35DA62" w14:textId="77777777" w:rsidR="008F013B" w:rsidRPr="000D67C6" w:rsidRDefault="008F013B" w:rsidP="00DB1774">
            <w:pPr>
              <w:pStyle w:val="Normal0"/>
              <w:tabs>
                <w:tab w:val="left" w:pos="8640"/>
              </w:tabs>
              <w:jc w:val="right"/>
              <w:rPr>
                <w:rFonts w:ascii="Arial" w:hAnsi="Arial" w:cs="Arial"/>
                <w:lang w:val="en-GB"/>
              </w:rPr>
            </w:pPr>
          </w:p>
        </w:tc>
      </w:tr>
      <w:tr w:rsidR="00464E99" w:rsidRPr="000D67C6" w14:paraId="4CC0C182" w14:textId="77777777" w:rsidTr="008F013B">
        <w:tc>
          <w:tcPr>
            <w:tcW w:w="7955" w:type="dxa"/>
            <w:gridSpan w:val="2"/>
          </w:tcPr>
          <w:p w14:paraId="70BCE390" w14:textId="77777777" w:rsidR="008F013B" w:rsidRPr="000D67C6" w:rsidRDefault="008F013B" w:rsidP="008F013B">
            <w:pPr>
              <w:pStyle w:val="Normal0"/>
              <w:tabs>
                <w:tab w:val="left" w:pos="8640"/>
              </w:tabs>
              <w:rPr>
                <w:rFonts w:ascii="Arial" w:hAnsi="Arial" w:cs="Arial"/>
                <w:lang w:val="en-GB"/>
              </w:rPr>
            </w:pPr>
            <w:r w:rsidRPr="000D67C6">
              <w:rPr>
                <w:rFonts w:ascii="Arial" w:hAnsi="Arial" w:cs="Arial"/>
                <w:lang w:val="en-GB"/>
              </w:rPr>
              <w:t>Independent Auditors Report</w:t>
            </w:r>
          </w:p>
        </w:tc>
        <w:tc>
          <w:tcPr>
            <w:tcW w:w="1071" w:type="dxa"/>
            <w:shd w:val="clear" w:color="auto" w:fill="auto"/>
          </w:tcPr>
          <w:p w14:paraId="0E5ED4C3" w14:textId="5B03936B" w:rsidR="002D431D" w:rsidRPr="000D67C6" w:rsidRDefault="007143DB" w:rsidP="00DB1774">
            <w:pPr>
              <w:pStyle w:val="Normal0"/>
              <w:tabs>
                <w:tab w:val="left" w:pos="8640"/>
              </w:tabs>
              <w:jc w:val="right"/>
              <w:rPr>
                <w:rFonts w:ascii="Arial" w:hAnsi="Arial" w:cs="Arial"/>
                <w:lang w:val="en-GB"/>
              </w:rPr>
            </w:pPr>
            <w:r w:rsidRPr="000D67C6">
              <w:rPr>
                <w:rFonts w:ascii="Arial" w:hAnsi="Arial" w:cs="Arial"/>
                <w:lang w:val="en-GB"/>
              </w:rPr>
              <w:t>9</w:t>
            </w:r>
            <w:r w:rsidR="002D431D" w:rsidRPr="000D67C6">
              <w:rPr>
                <w:rFonts w:ascii="Arial" w:hAnsi="Arial" w:cs="Arial"/>
                <w:lang w:val="en-GB"/>
              </w:rPr>
              <w:t xml:space="preserve"> – 1</w:t>
            </w:r>
            <w:r w:rsidRPr="000D67C6">
              <w:rPr>
                <w:rFonts w:ascii="Arial" w:hAnsi="Arial" w:cs="Arial"/>
                <w:lang w:val="en-GB"/>
              </w:rPr>
              <w:t>1</w:t>
            </w:r>
          </w:p>
          <w:p w14:paraId="6CEC9FF1" w14:textId="77777777" w:rsidR="008F013B" w:rsidRPr="000D67C6" w:rsidRDefault="008F013B" w:rsidP="00DB1774">
            <w:pPr>
              <w:pStyle w:val="Normal0"/>
              <w:tabs>
                <w:tab w:val="left" w:pos="8640"/>
              </w:tabs>
              <w:jc w:val="right"/>
              <w:rPr>
                <w:rFonts w:ascii="Arial" w:hAnsi="Arial" w:cs="Arial"/>
                <w:lang w:val="en-GB"/>
              </w:rPr>
            </w:pPr>
          </w:p>
        </w:tc>
      </w:tr>
      <w:tr w:rsidR="00462176" w:rsidRPr="000D67C6" w14:paraId="4DD99699" w14:textId="77777777" w:rsidTr="008F013B">
        <w:tc>
          <w:tcPr>
            <w:tcW w:w="7955" w:type="dxa"/>
            <w:gridSpan w:val="2"/>
          </w:tcPr>
          <w:p w14:paraId="19CC73DE" w14:textId="77777777" w:rsidR="00462176" w:rsidRPr="000D67C6" w:rsidRDefault="00462176" w:rsidP="008F013B">
            <w:pPr>
              <w:pStyle w:val="Normal0"/>
              <w:tabs>
                <w:tab w:val="left" w:pos="8640"/>
              </w:tabs>
              <w:rPr>
                <w:rFonts w:ascii="Arial" w:hAnsi="Arial" w:cs="Arial"/>
                <w:lang w:val="en-GB"/>
              </w:rPr>
            </w:pPr>
            <w:r w:rsidRPr="000D67C6">
              <w:rPr>
                <w:rFonts w:ascii="Arial" w:hAnsi="Arial" w:cs="Arial"/>
                <w:lang w:val="en-GB"/>
              </w:rPr>
              <w:t>Expenditure and Funding Analysis</w:t>
            </w:r>
          </w:p>
        </w:tc>
        <w:tc>
          <w:tcPr>
            <w:tcW w:w="1071" w:type="dxa"/>
            <w:shd w:val="clear" w:color="auto" w:fill="auto"/>
          </w:tcPr>
          <w:p w14:paraId="5385C4BE" w14:textId="0DAF01D0" w:rsidR="00462176" w:rsidRPr="000D67C6" w:rsidRDefault="00462176" w:rsidP="00DB1774">
            <w:pPr>
              <w:pStyle w:val="Normal0"/>
              <w:tabs>
                <w:tab w:val="left" w:pos="8640"/>
              </w:tabs>
              <w:jc w:val="right"/>
              <w:rPr>
                <w:rFonts w:ascii="Arial" w:hAnsi="Arial" w:cs="Arial"/>
                <w:lang w:val="en-GB"/>
              </w:rPr>
            </w:pPr>
            <w:r w:rsidRPr="000D67C6">
              <w:rPr>
                <w:rFonts w:ascii="Arial" w:hAnsi="Arial" w:cs="Arial"/>
                <w:lang w:val="en-GB"/>
              </w:rPr>
              <w:t>1</w:t>
            </w:r>
            <w:r w:rsidR="008B539A" w:rsidRPr="000D67C6">
              <w:rPr>
                <w:rFonts w:ascii="Arial" w:hAnsi="Arial" w:cs="Arial"/>
                <w:lang w:val="en-GB"/>
              </w:rPr>
              <w:t>2</w:t>
            </w:r>
          </w:p>
        </w:tc>
      </w:tr>
      <w:tr w:rsidR="00462176" w:rsidRPr="000D67C6" w14:paraId="058A5080" w14:textId="77777777" w:rsidTr="008F013B">
        <w:tc>
          <w:tcPr>
            <w:tcW w:w="7955" w:type="dxa"/>
            <w:gridSpan w:val="2"/>
          </w:tcPr>
          <w:p w14:paraId="2F7342CD" w14:textId="77777777" w:rsidR="00462176" w:rsidRPr="000D67C6" w:rsidRDefault="00462176" w:rsidP="008F013B">
            <w:pPr>
              <w:pStyle w:val="Normal0"/>
              <w:tabs>
                <w:tab w:val="left" w:pos="8640"/>
              </w:tabs>
              <w:rPr>
                <w:rFonts w:ascii="Arial" w:hAnsi="Arial" w:cs="Arial"/>
                <w:lang w:val="en-GB"/>
              </w:rPr>
            </w:pPr>
          </w:p>
        </w:tc>
        <w:tc>
          <w:tcPr>
            <w:tcW w:w="1071" w:type="dxa"/>
            <w:shd w:val="clear" w:color="auto" w:fill="auto"/>
          </w:tcPr>
          <w:p w14:paraId="73D6766E" w14:textId="77777777" w:rsidR="00462176" w:rsidRPr="000D67C6" w:rsidRDefault="00462176" w:rsidP="00DB1774">
            <w:pPr>
              <w:pStyle w:val="Normal0"/>
              <w:tabs>
                <w:tab w:val="left" w:pos="8640"/>
              </w:tabs>
              <w:jc w:val="right"/>
              <w:rPr>
                <w:rFonts w:ascii="Arial" w:hAnsi="Arial" w:cs="Arial"/>
                <w:lang w:val="en-GB"/>
              </w:rPr>
            </w:pPr>
          </w:p>
        </w:tc>
      </w:tr>
      <w:tr w:rsidR="00464E99" w:rsidRPr="000D67C6" w14:paraId="4A5AEACB" w14:textId="77777777" w:rsidTr="008F013B">
        <w:tc>
          <w:tcPr>
            <w:tcW w:w="7955" w:type="dxa"/>
            <w:gridSpan w:val="2"/>
          </w:tcPr>
          <w:p w14:paraId="263EFFC4" w14:textId="77777777" w:rsidR="008F013B" w:rsidRPr="000D67C6" w:rsidRDefault="008F013B" w:rsidP="008F013B">
            <w:pPr>
              <w:pStyle w:val="Normal0"/>
              <w:tabs>
                <w:tab w:val="left" w:pos="8640"/>
              </w:tabs>
              <w:rPr>
                <w:rFonts w:ascii="Arial" w:hAnsi="Arial" w:cs="Arial"/>
                <w:lang w:val="en-GB"/>
              </w:rPr>
            </w:pPr>
            <w:r w:rsidRPr="000D67C6">
              <w:rPr>
                <w:rFonts w:ascii="Arial" w:hAnsi="Arial" w:cs="Arial"/>
                <w:lang w:val="en-GB"/>
              </w:rPr>
              <w:t xml:space="preserve">Core Financial Statements </w:t>
            </w:r>
          </w:p>
        </w:tc>
        <w:tc>
          <w:tcPr>
            <w:tcW w:w="1071" w:type="dxa"/>
            <w:shd w:val="clear" w:color="auto" w:fill="auto"/>
          </w:tcPr>
          <w:p w14:paraId="59E6BDB2" w14:textId="0A339D20" w:rsidR="008F013B" w:rsidRPr="000D67C6" w:rsidRDefault="00462176" w:rsidP="00DB1774">
            <w:pPr>
              <w:pStyle w:val="Normal0"/>
              <w:tabs>
                <w:tab w:val="left" w:pos="8640"/>
              </w:tabs>
              <w:jc w:val="right"/>
              <w:rPr>
                <w:rFonts w:ascii="Arial" w:hAnsi="Arial" w:cs="Arial"/>
                <w:lang w:val="en-GB"/>
              </w:rPr>
            </w:pPr>
            <w:r w:rsidRPr="000D67C6">
              <w:rPr>
                <w:rFonts w:ascii="Arial" w:hAnsi="Arial" w:cs="Arial"/>
                <w:lang w:val="en-GB"/>
              </w:rPr>
              <w:t>1</w:t>
            </w:r>
            <w:r w:rsidR="008B539A" w:rsidRPr="000D67C6">
              <w:rPr>
                <w:rFonts w:ascii="Arial" w:hAnsi="Arial" w:cs="Arial"/>
                <w:lang w:val="en-GB"/>
              </w:rPr>
              <w:t>3</w:t>
            </w:r>
            <w:r w:rsidRPr="000D67C6">
              <w:rPr>
                <w:rFonts w:ascii="Arial" w:hAnsi="Arial" w:cs="Arial"/>
                <w:lang w:val="en-GB"/>
              </w:rPr>
              <w:t xml:space="preserve"> – 1</w:t>
            </w:r>
            <w:r w:rsidR="008B539A" w:rsidRPr="000D67C6">
              <w:rPr>
                <w:rFonts w:ascii="Arial" w:hAnsi="Arial" w:cs="Arial"/>
                <w:lang w:val="en-GB"/>
              </w:rPr>
              <w:t>6</w:t>
            </w:r>
          </w:p>
          <w:p w14:paraId="0408380D" w14:textId="77777777" w:rsidR="008F013B" w:rsidRPr="000D67C6" w:rsidRDefault="008F013B" w:rsidP="00DB1774">
            <w:pPr>
              <w:pStyle w:val="Normal0"/>
              <w:tabs>
                <w:tab w:val="left" w:pos="8640"/>
              </w:tabs>
              <w:jc w:val="right"/>
              <w:rPr>
                <w:rFonts w:ascii="Arial" w:hAnsi="Arial" w:cs="Arial"/>
                <w:lang w:val="en-GB"/>
              </w:rPr>
            </w:pPr>
          </w:p>
        </w:tc>
      </w:tr>
      <w:tr w:rsidR="00464E99" w:rsidRPr="000D67C6" w14:paraId="640A76D6" w14:textId="77777777" w:rsidTr="008F013B">
        <w:tc>
          <w:tcPr>
            <w:tcW w:w="7955" w:type="dxa"/>
            <w:gridSpan w:val="2"/>
          </w:tcPr>
          <w:p w14:paraId="1CEE3DB2" w14:textId="77777777" w:rsidR="008F013B" w:rsidRPr="000D67C6" w:rsidRDefault="008F013B" w:rsidP="008F013B">
            <w:pPr>
              <w:pStyle w:val="Normal0"/>
              <w:tabs>
                <w:tab w:val="left" w:pos="8640"/>
              </w:tabs>
              <w:rPr>
                <w:rFonts w:ascii="Arial" w:hAnsi="Arial" w:cs="Arial"/>
                <w:lang w:val="en-GB"/>
              </w:rPr>
            </w:pPr>
            <w:r w:rsidRPr="000D67C6">
              <w:rPr>
                <w:rFonts w:ascii="Arial" w:hAnsi="Arial" w:cs="Arial"/>
                <w:lang w:val="en-GB"/>
              </w:rPr>
              <w:t>Notes to the Core Financial Statements</w:t>
            </w:r>
          </w:p>
        </w:tc>
        <w:tc>
          <w:tcPr>
            <w:tcW w:w="1071" w:type="dxa"/>
            <w:shd w:val="clear" w:color="auto" w:fill="auto"/>
          </w:tcPr>
          <w:p w14:paraId="7AC1A83B" w14:textId="7762B6DF" w:rsidR="008F013B" w:rsidRPr="000D67C6" w:rsidRDefault="00462176" w:rsidP="00DB1774">
            <w:pPr>
              <w:pStyle w:val="Normal0"/>
              <w:tabs>
                <w:tab w:val="left" w:pos="8640"/>
              </w:tabs>
              <w:jc w:val="right"/>
              <w:rPr>
                <w:rFonts w:ascii="Arial" w:hAnsi="Arial" w:cs="Arial"/>
                <w:lang w:val="en-GB"/>
              </w:rPr>
            </w:pPr>
            <w:r w:rsidRPr="000D67C6">
              <w:rPr>
                <w:rFonts w:ascii="Arial" w:hAnsi="Arial" w:cs="Arial"/>
                <w:lang w:val="en-GB"/>
              </w:rPr>
              <w:t>1</w:t>
            </w:r>
            <w:r w:rsidR="008B539A" w:rsidRPr="000D67C6">
              <w:rPr>
                <w:rFonts w:ascii="Arial" w:hAnsi="Arial" w:cs="Arial"/>
                <w:lang w:val="en-GB"/>
              </w:rPr>
              <w:t>7</w:t>
            </w:r>
            <w:r w:rsidRPr="000D67C6">
              <w:rPr>
                <w:rFonts w:ascii="Arial" w:hAnsi="Arial" w:cs="Arial"/>
                <w:lang w:val="en-GB"/>
              </w:rPr>
              <w:t xml:space="preserve"> – </w:t>
            </w:r>
            <w:r w:rsidR="00A76C28" w:rsidRPr="000D67C6">
              <w:rPr>
                <w:rFonts w:ascii="Arial" w:hAnsi="Arial" w:cs="Arial"/>
                <w:lang w:val="en-GB"/>
              </w:rPr>
              <w:t>6</w:t>
            </w:r>
            <w:r w:rsidR="008B539A" w:rsidRPr="000D67C6">
              <w:rPr>
                <w:rFonts w:ascii="Arial" w:hAnsi="Arial" w:cs="Arial"/>
                <w:lang w:val="en-GB"/>
              </w:rPr>
              <w:t>6</w:t>
            </w:r>
          </w:p>
          <w:p w14:paraId="725FE614" w14:textId="77777777" w:rsidR="008F013B" w:rsidRPr="000D67C6" w:rsidRDefault="008F013B" w:rsidP="00DB1774">
            <w:pPr>
              <w:pStyle w:val="Normal0"/>
              <w:tabs>
                <w:tab w:val="left" w:pos="8640"/>
              </w:tabs>
              <w:jc w:val="right"/>
              <w:rPr>
                <w:rFonts w:ascii="Arial" w:hAnsi="Arial" w:cs="Arial"/>
                <w:lang w:val="en-GB"/>
              </w:rPr>
            </w:pPr>
          </w:p>
        </w:tc>
      </w:tr>
      <w:tr w:rsidR="00464E99" w:rsidRPr="000D67C6" w14:paraId="686B600B" w14:textId="77777777" w:rsidTr="008F013B">
        <w:tc>
          <w:tcPr>
            <w:tcW w:w="7955" w:type="dxa"/>
            <w:gridSpan w:val="2"/>
          </w:tcPr>
          <w:p w14:paraId="007DED67" w14:textId="77777777" w:rsidR="008F013B" w:rsidRPr="000D67C6" w:rsidRDefault="008F56B1" w:rsidP="008F013B">
            <w:pPr>
              <w:pStyle w:val="Normal0"/>
              <w:tabs>
                <w:tab w:val="left" w:pos="8640"/>
              </w:tabs>
              <w:rPr>
                <w:rFonts w:ascii="Arial" w:hAnsi="Arial" w:cs="Arial"/>
                <w:lang w:val="en-GB"/>
              </w:rPr>
            </w:pPr>
            <w:r w:rsidRPr="000D67C6">
              <w:rPr>
                <w:rFonts w:ascii="Arial" w:hAnsi="Arial" w:cs="Arial"/>
                <w:lang w:val="en-GB"/>
              </w:rPr>
              <w:t>Firef</w:t>
            </w:r>
            <w:r w:rsidR="008F013B" w:rsidRPr="000D67C6">
              <w:rPr>
                <w:rFonts w:ascii="Arial" w:hAnsi="Arial" w:cs="Arial"/>
                <w:lang w:val="en-GB"/>
              </w:rPr>
              <w:t>ighters Pension Fund Accounts</w:t>
            </w:r>
          </w:p>
        </w:tc>
        <w:tc>
          <w:tcPr>
            <w:tcW w:w="1071" w:type="dxa"/>
            <w:shd w:val="clear" w:color="auto" w:fill="auto"/>
          </w:tcPr>
          <w:p w14:paraId="7A092CFB" w14:textId="3C2338FE" w:rsidR="008F013B" w:rsidRPr="000D67C6" w:rsidRDefault="002E29E6" w:rsidP="00DB1774">
            <w:pPr>
              <w:pStyle w:val="Normal0"/>
              <w:tabs>
                <w:tab w:val="left" w:pos="8640"/>
              </w:tabs>
              <w:jc w:val="right"/>
              <w:rPr>
                <w:rFonts w:ascii="Arial" w:hAnsi="Arial" w:cs="Arial"/>
                <w:lang w:val="en-GB"/>
              </w:rPr>
            </w:pPr>
            <w:r w:rsidRPr="000D67C6">
              <w:rPr>
                <w:rFonts w:ascii="Arial" w:hAnsi="Arial" w:cs="Arial"/>
                <w:lang w:val="en-GB"/>
              </w:rPr>
              <w:t>6</w:t>
            </w:r>
            <w:r w:rsidR="008B539A" w:rsidRPr="000D67C6">
              <w:rPr>
                <w:rFonts w:ascii="Arial" w:hAnsi="Arial" w:cs="Arial"/>
                <w:lang w:val="en-GB"/>
              </w:rPr>
              <w:t>7</w:t>
            </w:r>
            <w:r w:rsidR="00462176" w:rsidRPr="000D67C6">
              <w:rPr>
                <w:rFonts w:ascii="Arial" w:hAnsi="Arial" w:cs="Arial"/>
                <w:lang w:val="en-GB"/>
              </w:rPr>
              <w:t xml:space="preserve"> – </w:t>
            </w:r>
            <w:r w:rsidR="008B539A" w:rsidRPr="000D67C6">
              <w:rPr>
                <w:rFonts w:ascii="Arial" w:hAnsi="Arial" w:cs="Arial"/>
                <w:lang w:val="en-GB"/>
              </w:rPr>
              <w:t>69</w:t>
            </w:r>
          </w:p>
          <w:p w14:paraId="4D0F8B9A" w14:textId="77777777" w:rsidR="008F013B" w:rsidRPr="000D67C6" w:rsidRDefault="008F013B" w:rsidP="00DB1774">
            <w:pPr>
              <w:pStyle w:val="Normal0"/>
              <w:tabs>
                <w:tab w:val="left" w:pos="8640"/>
              </w:tabs>
              <w:jc w:val="right"/>
              <w:rPr>
                <w:rFonts w:ascii="Arial" w:hAnsi="Arial" w:cs="Arial"/>
                <w:lang w:val="en-GB"/>
              </w:rPr>
            </w:pPr>
          </w:p>
        </w:tc>
      </w:tr>
      <w:tr w:rsidR="00464E99" w:rsidRPr="000D67C6" w14:paraId="40B222C1" w14:textId="77777777" w:rsidTr="008F013B">
        <w:tc>
          <w:tcPr>
            <w:tcW w:w="7955" w:type="dxa"/>
            <w:gridSpan w:val="2"/>
            <w:shd w:val="clear" w:color="auto" w:fill="auto"/>
          </w:tcPr>
          <w:p w14:paraId="7A5082AC" w14:textId="63933812" w:rsidR="008F013B" w:rsidRDefault="008F013B" w:rsidP="008F013B">
            <w:pPr>
              <w:pStyle w:val="Normal0"/>
              <w:tabs>
                <w:tab w:val="left" w:pos="1576"/>
              </w:tabs>
              <w:rPr>
                <w:rFonts w:ascii="Arial" w:hAnsi="Arial" w:cs="Arial"/>
                <w:lang w:val="en-GB"/>
              </w:rPr>
            </w:pPr>
            <w:r w:rsidRPr="000D67C6">
              <w:rPr>
                <w:rFonts w:ascii="Arial" w:hAnsi="Arial" w:cs="Arial"/>
                <w:lang w:val="en-GB"/>
              </w:rPr>
              <w:t>Glossary</w:t>
            </w:r>
          </w:p>
          <w:p w14:paraId="21DAF491" w14:textId="67E512F9" w:rsidR="006A783B" w:rsidRDefault="006A783B" w:rsidP="008F013B">
            <w:pPr>
              <w:pStyle w:val="Normal0"/>
              <w:tabs>
                <w:tab w:val="left" w:pos="1576"/>
              </w:tabs>
              <w:rPr>
                <w:rFonts w:ascii="Arial" w:hAnsi="Arial" w:cs="Arial"/>
                <w:lang w:val="en-GB"/>
              </w:rPr>
            </w:pPr>
          </w:p>
          <w:p w14:paraId="5A15D26A" w14:textId="3121AD91" w:rsidR="006A783B" w:rsidRPr="000D67C6" w:rsidRDefault="006A783B" w:rsidP="008F013B">
            <w:pPr>
              <w:pStyle w:val="Normal0"/>
              <w:tabs>
                <w:tab w:val="left" w:pos="1576"/>
              </w:tabs>
              <w:rPr>
                <w:rFonts w:ascii="Arial" w:hAnsi="Arial" w:cs="Arial"/>
                <w:lang w:val="en-GB"/>
              </w:rPr>
            </w:pPr>
            <w:r>
              <w:rPr>
                <w:rFonts w:ascii="Arial" w:hAnsi="Arial" w:cs="Arial"/>
                <w:lang w:val="en-GB"/>
              </w:rPr>
              <w:t>Annual Governance Statement</w:t>
            </w:r>
          </w:p>
          <w:p w14:paraId="7DB20A46" w14:textId="77777777" w:rsidR="008F013B" w:rsidRPr="000D67C6" w:rsidRDefault="008F013B" w:rsidP="008F013B">
            <w:pPr>
              <w:pStyle w:val="Normal0"/>
              <w:tabs>
                <w:tab w:val="left" w:pos="1576"/>
              </w:tabs>
              <w:rPr>
                <w:rFonts w:ascii="Arial" w:hAnsi="Arial" w:cs="Arial"/>
                <w:lang w:val="en-GB"/>
              </w:rPr>
            </w:pPr>
          </w:p>
          <w:p w14:paraId="32412122" w14:textId="77777777" w:rsidR="008F013B" w:rsidRPr="000D67C6" w:rsidRDefault="008F013B" w:rsidP="008F013B">
            <w:pPr>
              <w:pStyle w:val="Normal0"/>
              <w:tabs>
                <w:tab w:val="left" w:pos="8640"/>
              </w:tabs>
              <w:rPr>
                <w:rFonts w:ascii="Arial" w:hAnsi="Arial" w:cs="Arial"/>
                <w:lang w:val="en-GB"/>
              </w:rPr>
            </w:pPr>
          </w:p>
        </w:tc>
        <w:tc>
          <w:tcPr>
            <w:tcW w:w="1071" w:type="dxa"/>
            <w:shd w:val="clear" w:color="auto" w:fill="auto"/>
          </w:tcPr>
          <w:p w14:paraId="1873D96D" w14:textId="77777777" w:rsidR="008F013B" w:rsidRDefault="00DA234E" w:rsidP="00DB1774">
            <w:pPr>
              <w:pStyle w:val="Normal0"/>
              <w:tabs>
                <w:tab w:val="left" w:pos="8640"/>
              </w:tabs>
              <w:jc w:val="right"/>
              <w:rPr>
                <w:rFonts w:ascii="Arial" w:hAnsi="Arial" w:cs="Arial"/>
                <w:lang w:val="en-GB"/>
              </w:rPr>
            </w:pPr>
            <w:r w:rsidRPr="000D67C6">
              <w:rPr>
                <w:rFonts w:ascii="Arial" w:hAnsi="Arial" w:cs="Arial"/>
                <w:lang w:val="en-GB"/>
              </w:rPr>
              <w:t>7</w:t>
            </w:r>
            <w:r w:rsidR="006D74A3" w:rsidRPr="000D67C6">
              <w:rPr>
                <w:rFonts w:ascii="Arial" w:hAnsi="Arial" w:cs="Arial"/>
                <w:lang w:val="en-GB"/>
              </w:rPr>
              <w:t>0</w:t>
            </w:r>
            <w:r w:rsidR="00462176" w:rsidRPr="000D67C6">
              <w:rPr>
                <w:rFonts w:ascii="Arial" w:hAnsi="Arial" w:cs="Arial"/>
                <w:lang w:val="en-GB"/>
              </w:rPr>
              <w:t xml:space="preserve"> – 7</w:t>
            </w:r>
            <w:r w:rsidR="006D74A3" w:rsidRPr="000D67C6">
              <w:rPr>
                <w:rFonts w:ascii="Arial" w:hAnsi="Arial" w:cs="Arial"/>
                <w:lang w:val="en-GB"/>
              </w:rPr>
              <w:t>4</w:t>
            </w:r>
          </w:p>
          <w:p w14:paraId="665E4216" w14:textId="77777777" w:rsidR="006A783B" w:rsidRDefault="006A783B" w:rsidP="00DB1774">
            <w:pPr>
              <w:pStyle w:val="Normal0"/>
              <w:tabs>
                <w:tab w:val="left" w:pos="8640"/>
              </w:tabs>
              <w:jc w:val="right"/>
              <w:rPr>
                <w:rFonts w:ascii="Arial" w:hAnsi="Arial" w:cs="Arial"/>
                <w:lang w:val="en-GB"/>
              </w:rPr>
            </w:pPr>
          </w:p>
          <w:p w14:paraId="07A0D904" w14:textId="6E54CB1D" w:rsidR="006A783B" w:rsidRPr="000D67C6" w:rsidRDefault="006A783B" w:rsidP="00DB1774">
            <w:pPr>
              <w:pStyle w:val="Normal0"/>
              <w:tabs>
                <w:tab w:val="left" w:pos="8640"/>
              </w:tabs>
              <w:jc w:val="right"/>
              <w:rPr>
                <w:rFonts w:ascii="Arial" w:hAnsi="Arial" w:cs="Arial"/>
                <w:lang w:val="en-GB"/>
              </w:rPr>
            </w:pPr>
            <w:r>
              <w:rPr>
                <w:rFonts w:ascii="Arial" w:hAnsi="Arial" w:cs="Arial"/>
                <w:lang w:val="en-GB"/>
              </w:rPr>
              <w:t>75 – 9</w:t>
            </w:r>
            <w:r w:rsidR="00DB1774">
              <w:rPr>
                <w:rFonts w:ascii="Arial" w:hAnsi="Arial" w:cs="Arial"/>
                <w:lang w:val="en-GB"/>
              </w:rPr>
              <w:t>2</w:t>
            </w:r>
            <w:r>
              <w:rPr>
                <w:rFonts w:ascii="Arial" w:hAnsi="Arial" w:cs="Arial"/>
                <w:lang w:val="en-GB"/>
              </w:rPr>
              <w:t xml:space="preserve"> </w:t>
            </w:r>
          </w:p>
        </w:tc>
      </w:tr>
      <w:tr w:rsidR="00464E99" w:rsidRPr="000D67C6" w14:paraId="079B477C" w14:textId="77777777" w:rsidTr="008F013B">
        <w:tc>
          <w:tcPr>
            <w:tcW w:w="7955" w:type="dxa"/>
            <w:gridSpan w:val="2"/>
            <w:shd w:val="clear" w:color="auto" w:fill="auto"/>
          </w:tcPr>
          <w:p w14:paraId="0CEC17B7" w14:textId="77777777" w:rsidR="008F013B" w:rsidRPr="000D67C6" w:rsidRDefault="008F013B" w:rsidP="008F013B">
            <w:pPr>
              <w:pStyle w:val="Normal0"/>
              <w:tabs>
                <w:tab w:val="left" w:pos="8640"/>
              </w:tabs>
              <w:rPr>
                <w:rFonts w:ascii="Arial" w:hAnsi="Arial" w:cs="Arial"/>
                <w:b/>
                <w:lang w:val="en-GB"/>
              </w:rPr>
            </w:pPr>
          </w:p>
        </w:tc>
        <w:tc>
          <w:tcPr>
            <w:tcW w:w="1071" w:type="dxa"/>
          </w:tcPr>
          <w:p w14:paraId="5856738A"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4B53FA43" w14:textId="77777777" w:rsidTr="008F013B">
        <w:tc>
          <w:tcPr>
            <w:tcW w:w="7955" w:type="dxa"/>
            <w:gridSpan w:val="2"/>
            <w:shd w:val="clear" w:color="auto" w:fill="auto"/>
          </w:tcPr>
          <w:p w14:paraId="6B12050F" w14:textId="77777777" w:rsidR="008F013B" w:rsidRPr="000D67C6" w:rsidRDefault="008F013B" w:rsidP="008F013B">
            <w:pPr>
              <w:pStyle w:val="Normal0"/>
              <w:tabs>
                <w:tab w:val="left" w:pos="1576"/>
              </w:tabs>
              <w:rPr>
                <w:rFonts w:ascii="Arial" w:hAnsi="Arial" w:cs="Arial"/>
                <w:lang w:val="en-GB"/>
              </w:rPr>
            </w:pPr>
          </w:p>
        </w:tc>
        <w:tc>
          <w:tcPr>
            <w:tcW w:w="1071" w:type="dxa"/>
          </w:tcPr>
          <w:p w14:paraId="2D590650"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7910A9C3" w14:textId="77777777" w:rsidTr="008F013B">
        <w:tc>
          <w:tcPr>
            <w:tcW w:w="1512" w:type="dxa"/>
            <w:shd w:val="clear" w:color="auto" w:fill="auto"/>
          </w:tcPr>
          <w:p w14:paraId="6FB4B5F4"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02B534C6" w14:textId="77777777" w:rsidR="008F013B" w:rsidRPr="000D67C6" w:rsidRDefault="008F013B" w:rsidP="008F013B">
            <w:pPr>
              <w:pStyle w:val="Normal0"/>
              <w:tabs>
                <w:tab w:val="left" w:pos="8640"/>
              </w:tabs>
              <w:rPr>
                <w:rFonts w:ascii="Arial" w:hAnsi="Arial" w:cs="Arial"/>
                <w:lang w:val="en-GB"/>
              </w:rPr>
            </w:pPr>
          </w:p>
        </w:tc>
        <w:tc>
          <w:tcPr>
            <w:tcW w:w="1071" w:type="dxa"/>
          </w:tcPr>
          <w:p w14:paraId="7CB64F64"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0A4975AA" w14:textId="77777777" w:rsidTr="008F013B">
        <w:tc>
          <w:tcPr>
            <w:tcW w:w="1512" w:type="dxa"/>
            <w:shd w:val="clear" w:color="auto" w:fill="auto"/>
          </w:tcPr>
          <w:p w14:paraId="0F4D871E"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2C454551" w14:textId="77777777" w:rsidR="008F013B" w:rsidRPr="000D67C6" w:rsidRDefault="008F013B" w:rsidP="008F013B">
            <w:pPr>
              <w:pStyle w:val="Normal0"/>
              <w:tabs>
                <w:tab w:val="left" w:pos="8640"/>
              </w:tabs>
              <w:rPr>
                <w:rFonts w:ascii="Arial" w:hAnsi="Arial" w:cs="Arial"/>
                <w:lang w:val="en-GB"/>
              </w:rPr>
            </w:pPr>
          </w:p>
        </w:tc>
        <w:tc>
          <w:tcPr>
            <w:tcW w:w="1071" w:type="dxa"/>
          </w:tcPr>
          <w:p w14:paraId="78810FD6"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1D37E733" w14:textId="77777777" w:rsidTr="008F013B">
        <w:tc>
          <w:tcPr>
            <w:tcW w:w="1512" w:type="dxa"/>
            <w:shd w:val="clear" w:color="auto" w:fill="auto"/>
          </w:tcPr>
          <w:p w14:paraId="3F33A40B"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3B29170F" w14:textId="77777777" w:rsidR="008F013B" w:rsidRPr="000D67C6" w:rsidRDefault="008F013B" w:rsidP="008F013B">
            <w:pPr>
              <w:pStyle w:val="Normal0"/>
              <w:tabs>
                <w:tab w:val="left" w:pos="8640"/>
              </w:tabs>
              <w:rPr>
                <w:rFonts w:ascii="Arial" w:hAnsi="Arial" w:cs="Arial"/>
                <w:lang w:val="en-GB"/>
              </w:rPr>
            </w:pPr>
          </w:p>
        </w:tc>
        <w:tc>
          <w:tcPr>
            <w:tcW w:w="1071" w:type="dxa"/>
          </w:tcPr>
          <w:p w14:paraId="326664DB"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559E1EC9" w14:textId="77777777" w:rsidTr="008F013B">
        <w:tc>
          <w:tcPr>
            <w:tcW w:w="1512" w:type="dxa"/>
            <w:shd w:val="clear" w:color="auto" w:fill="auto"/>
          </w:tcPr>
          <w:p w14:paraId="04AD4781"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069CC748" w14:textId="77777777" w:rsidR="008F013B" w:rsidRPr="000D67C6" w:rsidRDefault="008F013B" w:rsidP="008F013B">
            <w:pPr>
              <w:pStyle w:val="Normal0"/>
              <w:tabs>
                <w:tab w:val="left" w:pos="8640"/>
              </w:tabs>
              <w:rPr>
                <w:rFonts w:ascii="Arial" w:hAnsi="Arial" w:cs="Arial"/>
                <w:lang w:val="en-GB"/>
              </w:rPr>
            </w:pPr>
          </w:p>
        </w:tc>
        <w:tc>
          <w:tcPr>
            <w:tcW w:w="1071" w:type="dxa"/>
          </w:tcPr>
          <w:p w14:paraId="4795B719"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750082DF" w14:textId="77777777" w:rsidTr="008F013B">
        <w:tc>
          <w:tcPr>
            <w:tcW w:w="1512" w:type="dxa"/>
            <w:shd w:val="clear" w:color="auto" w:fill="auto"/>
          </w:tcPr>
          <w:p w14:paraId="2E0FE3A8"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329D6751" w14:textId="77777777" w:rsidR="008F013B" w:rsidRPr="000D67C6" w:rsidRDefault="008F013B" w:rsidP="008F013B">
            <w:pPr>
              <w:pStyle w:val="Normal0"/>
              <w:tabs>
                <w:tab w:val="left" w:pos="8640"/>
              </w:tabs>
              <w:rPr>
                <w:rFonts w:ascii="Arial" w:hAnsi="Arial" w:cs="Arial"/>
                <w:lang w:val="en-GB"/>
              </w:rPr>
            </w:pPr>
          </w:p>
        </w:tc>
        <w:tc>
          <w:tcPr>
            <w:tcW w:w="1071" w:type="dxa"/>
          </w:tcPr>
          <w:p w14:paraId="5B916C9C"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6334FE6C" w14:textId="77777777" w:rsidTr="008F013B">
        <w:tc>
          <w:tcPr>
            <w:tcW w:w="1512" w:type="dxa"/>
            <w:shd w:val="clear" w:color="auto" w:fill="auto"/>
          </w:tcPr>
          <w:p w14:paraId="2FA99BED"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18CF90C4" w14:textId="77777777" w:rsidR="008F013B" w:rsidRPr="000D67C6" w:rsidRDefault="008F013B" w:rsidP="008F013B">
            <w:pPr>
              <w:pStyle w:val="Normal0"/>
              <w:tabs>
                <w:tab w:val="left" w:pos="8640"/>
              </w:tabs>
              <w:rPr>
                <w:rFonts w:ascii="Arial" w:hAnsi="Arial" w:cs="Arial"/>
                <w:lang w:val="en-GB"/>
              </w:rPr>
            </w:pPr>
          </w:p>
        </w:tc>
        <w:tc>
          <w:tcPr>
            <w:tcW w:w="1071" w:type="dxa"/>
          </w:tcPr>
          <w:p w14:paraId="6DF1757C"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2A2018D1" w14:textId="77777777" w:rsidTr="008F013B">
        <w:tc>
          <w:tcPr>
            <w:tcW w:w="1512" w:type="dxa"/>
            <w:shd w:val="clear" w:color="auto" w:fill="auto"/>
          </w:tcPr>
          <w:p w14:paraId="03115020"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4A3B9BC3" w14:textId="77777777" w:rsidR="008F013B" w:rsidRPr="000D67C6" w:rsidRDefault="008F013B" w:rsidP="008F013B">
            <w:pPr>
              <w:pStyle w:val="Normal0"/>
              <w:tabs>
                <w:tab w:val="left" w:pos="8640"/>
              </w:tabs>
              <w:rPr>
                <w:rFonts w:ascii="Arial" w:hAnsi="Arial" w:cs="Arial"/>
                <w:lang w:val="en-GB"/>
              </w:rPr>
            </w:pPr>
          </w:p>
        </w:tc>
        <w:tc>
          <w:tcPr>
            <w:tcW w:w="1071" w:type="dxa"/>
          </w:tcPr>
          <w:p w14:paraId="6BD37443"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174C9260" w14:textId="77777777" w:rsidTr="008F013B">
        <w:tc>
          <w:tcPr>
            <w:tcW w:w="1512" w:type="dxa"/>
            <w:shd w:val="clear" w:color="auto" w:fill="auto"/>
          </w:tcPr>
          <w:p w14:paraId="2C64C1C0"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3069A297" w14:textId="77777777" w:rsidR="008F013B" w:rsidRPr="000D67C6" w:rsidRDefault="008F013B" w:rsidP="008F013B">
            <w:pPr>
              <w:pStyle w:val="Normal0"/>
              <w:tabs>
                <w:tab w:val="left" w:pos="8640"/>
              </w:tabs>
              <w:rPr>
                <w:rFonts w:ascii="Arial" w:hAnsi="Arial" w:cs="Arial"/>
                <w:lang w:val="en-GB"/>
              </w:rPr>
            </w:pPr>
          </w:p>
        </w:tc>
        <w:tc>
          <w:tcPr>
            <w:tcW w:w="1071" w:type="dxa"/>
          </w:tcPr>
          <w:p w14:paraId="5F8F4B67"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48B3AD65" w14:textId="77777777" w:rsidTr="008F013B">
        <w:tc>
          <w:tcPr>
            <w:tcW w:w="1512" w:type="dxa"/>
            <w:shd w:val="clear" w:color="auto" w:fill="auto"/>
          </w:tcPr>
          <w:p w14:paraId="6F982C30"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3BE419EF" w14:textId="77777777" w:rsidR="008F013B" w:rsidRPr="000D67C6" w:rsidRDefault="008F013B" w:rsidP="008F013B">
            <w:pPr>
              <w:pStyle w:val="Normal0"/>
              <w:tabs>
                <w:tab w:val="left" w:pos="8640"/>
              </w:tabs>
              <w:rPr>
                <w:rFonts w:ascii="Arial" w:hAnsi="Arial" w:cs="Arial"/>
                <w:lang w:val="en-GB"/>
              </w:rPr>
            </w:pPr>
          </w:p>
        </w:tc>
        <w:tc>
          <w:tcPr>
            <w:tcW w:w="1071" w:type="dxa"/>
          </w:tcPr>
          <w:p w14:paraId="38C3C043"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5E1354B6" w14:textId="77777777" w:rsidTr="008F013B">
        <w:tc>
          <w:tcPr>
            <w:tcW w:w="1512" w:type="dxa"/>
            <w:shd w:val="clear" w:color="auto" w:fill="auto"/>
          </w:tcPr>
          <w:p w14:paraId="300FDA7A"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6B3D4B8A" w14:textId="77777777" w:rsidR="008F013B" w:rsidRPr="000D67C6" w:rsidRDefault="008F013B" w:rsidP="008F013B">
            <w:pPr>
              <w:pStyle w:val="Normal0"/>
              <w:tabs>
                <w:tab w:val="left" w:pos="8640"/>
              </w:tabs>
              <w:rPr>
                <w:rFonts w:ascii="Arial" w:hAnsi="Arial" w:cs="Arial"/>
                <w:lang w:val="en-GB"/>
              </w:rPr>
            </w:pPr>
          </w:p>
        </w:tc>
        <w:tc>
          <w:tcPr>
            <w:tcW w:w="1071" w:type="dxa"/>
          </w:tcPr>
          <w:p w14:paraId="2987E971"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1ACD15DC" w14:textId="77777777" w:rsidTr="008F013B">
        <w:tc>
          <w:tcPr>
            <w:tcW w:w="1512" w:type="dxa"/>
            <w:shd w:val="clear" w:color="auto" w:fill="auto"/>
          </w:tcPr>
          <w:p w14:paraId="26A5C0F5"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3FE82DA1" w14:textId="77777777" w:rsidR="008F013B" w:rsidRPr="000D67C6" w:rsidRDefault="008F013B" w:rsidP="008F013B">
            <w:pPr>
              <w:pStyle w:val="Normal0"/>
              <w:tabs>
                <w:tab w:val="left" w:pos="8640"/>
              </w:tabs>
              <w:rPr>
                <w:rFonts w:ascii="Arial" w:hAnsi="Arial" w:cs="Arial"/>
                <w:lang w:val="en-GB"/>
              </w:rPr>
            </w:pPr>
          </w:p>
        </w:tc>
        <w:tc>
          <w:tcPr>
            <w:tcW w:w="1071" w:type="dxa"/>
          </w:tcPr>
          <w:p w14:paraId="492B3CEC"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5351A4BE" w14:textId="77777777" w:rsidTr="008F013B">
        <w:tc>
          <w:tcPr>
            <w:tcW w:w="1512" w:type="dxa"/>
            <w:shd w:val="clear" w:color="auto" w:fill="auto"/>
          </w:tcPr>
          <w:p w14:paraId="48CC5085"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6139CF9D" w14:textId="77777777" w:rsidR="008F013B" w:rsidRPr="000D67C6" w:rsidRDefault="008F013B" w:rsidP="008F013B">
            <w:pPr>
              <w:pStyle w:val="Normal0"/>
              <w:tabs>
                <w:tab w:val="left" w:pos="8640"/>
              </w:tabs>
              <w:rPr>
                <w:rFonts w:ascii="Arial" w:hAnsi="Arial" w:cs="Arial"/>
                <w:lang w:val="en-GB"/>
              </w:rPr>
            </w:pPr>
          </w:p>
        </w:tc>
        <w:tc>
          <w:tcPr>
            <w:tcW w:w="1071" w:type="dxa"/>
          </w:tcPr>
          <w:p w14:paraId="01DE96F3"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46150EFA" w14:textId="77777777" w:rsidTr="008F013B">
        <w:tc>
          <w:tcPr>
            <w:tcW w:w="1512" w:type="dxa"/>
            <w:shd w:val="clear" w:color="auto" w:fill="auto"/>
          </w:tcPr>
          <w:p w14:paraId="7E29FD44"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2BE60E4B" w14:textId="77777777" w:rsidR="008F013B" w:rsidRPr="000D67C6" w:rsidRDefault="008F013B" w:rsidP="008F013B">
            <w:pPr>
              <w:pStyle w:val="Normal0"/>
              <w:tabs>
                <w:tab w:val="left" w:pos="8640"/>
              </w:tabs>
              <w:rPr>
                <w:rFonts w:ascii="Arial" w:hAnsi="Arial" w:cs="Arial"/>
                <w:lang w:val="en-GB"/>
              </w:rPr>
            </w:pPr>
          </w:p>
        </w:tc>
        <w:tc>
          <w:tcPr>
            <w:tcW w:w="1071" w:type="dxa"/>
          </w:tcPr>
          <w:p w14:paraId="33BF1F00"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3A4FB809" w14:textId="77777777" w:rsidTr="008F013B">
        <w:tc>
          <w:tcPr>
            <w:tcW w:w="1512" w:type="dxa"/>
            <w:shd w:val="clear" w:color="auto" w:fill="auto"/>
          </w:tcPr>
          <w:p w14:paraId="30EC6DB4" w14:textId="77777777" w:rsidR="008F013B" w:rsidRPr="000D67C6" w:rsidRDefault="008F013B" w:rsidP="008F013B">
            <w:pPr>
              <w:pStyle w:val="Normal0"/>
              <w:tabs>
                <w:tab w:val="left" w:pos="8640"/>
              </w:tabs>
              <w:rPr>
                <w:rFonts w:ascii="Arial" w:hAnsi="Arial" w:cs="Arial"/>
                <w:lang w:val="en-GB"/>
              </w:rPr>
            </w:pPr>
          </w:p>
        </w:tc>
        <w:tc>
          <w:tcPr>
            <w:tcW w:w="6443" w:type="dxa"/>
            <w:shd w:val="clear" w:color="auto" w:fill="auto"/>
          </w:tcPr>
          <w:p w14:paraId="793966E8" w14:textId="77777777" w:rsidR="008F013B" w:rsidRPr="000D67C6" w:rsidRDefault="008F013B" w:rsidP="008F013B">
            <w:pPr>
              <w:pStyle w:val="Normal0"/>
              <w:tabs>
                <w:tab w:val="left" w:pos="8640"/>
              </w:tabs>
              <w:rPr>
                <w:rFonts w:ascii="Arial" w:hAnsi="Arial" w:cs="Arial"/>
                <w:lang w:val="en-GB"/>
              </w:rPr>
            </w:pPr>
          </w:p>
        </w:tc>
        <w:tc>
          <w:tcPr>
            <w:tcW w:w="1071" w:type="dxa"/>
          </w:tcPr>
          <w:p w14:paraId="2A2DCE4A" w14:textId="77777777" w:rsidR="008F013B" w:rsidRPr="000D67C6" w:rsidRDefault="008F013B" w:rsidP="00462176">
            <w:pPr>
              <w:pStyle w:val="Normal0"/>
              <w:tabs>
                <w:tab w:val="left" w:pos="8640"/>
              </w:tabs>
              <w:jc w:val="center"/>
              <w:rPr>
                <w:rFonts w:ascii="Arial" w:hAnsi="Arial" w:cs="Arial"/>
                <w:lang w:val="en-GB"/>
              </w:rPr>
            </w:pPr>
          </w:p>
        </w:tc>
      </w:tr>
      <w:tr w:rsidR="00464E99" w:rsidRPr="000D67C6" w14:paraId="4CE51669" w14:textId="77777777" w:rsidTr="008F013B">
        <w:tc>
          <w:tcPr>
            <w:tcW w:w="1512" w:type="dxa"/>
            <w:shd w:val="clear" w:color="auto" w:fill="auto"/>
          </w:tcPr>
          <w:p w14:paraId="1F54123B" w14:textId="77777777" w:rsidR="008F013B" w:rsidRPr="000D67C6" w:rsidRDefault="008F013B" w:rsidP="008F013B">
            <w:pPr>
              <w:pStyle w:val="Normal0"/>
              <w:rPr>
                <w:rFonts w:ascii="Arial" w:hAnsi="Arial" w:cs="Arial"/>
                <w:lang w:val="en-GB"/>
              </w:rPr>
            </w:pPr>
          </w:p>
        </w:tc>
        <w:tc>
          <w:tcPr>
            <w:tcW w:w="6443" w:type="dxa"/>
            <w:shd w:val="clear" w:color="auto" w:fill="auto"/>
          </w:tcPr>
          <w:p w14:paraId="774C168E" w14:textId="77777777" w:rsidR="008F013B" w:rsidRPr="000D67C6" w:rsidRDefault="008F013B" w:rsidP="008F013B">
            <w:pPr>
              <w:pStyle w:val="Normal0"/>
              <w:tabs>
                <w:tab w:val="left" w:pos="8640"/>
              </w:tabs>
              <w:rPr>
                <w:rFonts w:ascii="Arial" w:hAnsi="Arial" w:cs="Arial"/>
                <w:lang w:val="en-GB"/>
              </w:rPr>
            </w:pPr>
          </w:p>
        </w:tc>
        <w:tc>
          <w:tcPr>
            <w:tcW w:w="1071" w:type="dxa"/>
          </w:tcPr>
          <w:p w14:paraId="3D0A3D79" w14:textId="77777777" w:rsidR="008F013B" w:rsidRPr="000D67C6" w:rsidRDefault="008F013B" w:rsidP="00462176">
            <w:pPr>
              <w:pStyle w:val="Normal0"/>
              <w:tabs>
                <w:tab w:val="left" w:pos="8640"/>
              </w:tabs>
              <w:jc w:val="center"/>
              <w:rPr>
                <w:rFonts w:ascii="Arial" w:hAnsi="Arial" w:cs="Arial"/>
                <w:lang w:val="en-GB"/>
              </w:rPr>
            </w:pPr>
          </w:p>
        </w:tc>
      </w:tr>
    </w:tbl>
    <w:p w14:paraId="0B99909E" w14:textId="77777777" w:rsidR="008F013B" w:rsidRPr="000D67C6" w:rsidRDefault="008F013B">
      <w:pPr>
        <w:rPr>
          <w:rFonts w:ascii="Arial" w:hAnsi="Arial" w:cs="Arial"/>
          <w:sz w:val="22"/>
          <w:szCs w:val="22"/>
          <w:lang w:val="en-AU"/>
        </w:rPr>
      </w:pPr>
      <w:r w:rsidRPr="000D67C6">
        <w:rPr>
          <w:rFonts w:ascii="Arial" w:hAnsi="Arial" w:cs="Arial"/>
          <w:sz w:val="22"/>
          <w:szCs w:val="22"/>
          <w:lang w:val="en-AU"/>
        </w:rPr>
        <w:br w:type="page"/>
      </w:r>
    </w:p>
    <w:p w14:paraId="1D4DA20A" w14:textId="77777777" w:rsidR="008F013B" w:rsidRPr="000D67C6" w:rsidRDefault="00462176" w:rsidP="008F013B">
      <w:pPr>
        <w:pStyle w:val="Heading1"/>
        <w:spacing w:line="259" w:lineRule="auto"/>
        <w:rPr>
          <w:rFonts w:ascii="Arial" w:eastAsia="Times New Roman" w:hAnsi="Arial" w:cs="Arial"/>
          <w:sz w:val="28"/>
          <w:szCs w:val="28"/>
          <w:lang w:val="en-GB"/>
        </w:rPr>
      </w:pPr>
      <w:r w:rsidRPr="000D67C6">
        <w:rPr>
          <w:rFonts w:ascii="Arial" w:eastAsia="Times New Roman" w:hAnsi="Arial" w:cs="Arial"/>
          <w:sz w:val="28"/>
          <w:szCs w:val="28"/>
          <w:lang w:val="en-GB"/>
        </w:rPr>
        <w:t>Narrative Report</w:t>
      </w:r>
    </w:p>
    <w:p w14:paraId="464E2CA7"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4013E66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Operational guidance for Fire and Rescue </w:t>
      </w:r>
      <w:r w:rsidR="003B74FB" w:rsidRPr="000D67C6">
        <w:rPr>
          <w:rFonts w:ascii="Arial" w:eastAsia="Times New Roman" w:hAnsi="Arial" w:cs="Arial"/>
          <w:sz w:val="22"/>
          <w:szCs w:val="22"/>
          <w:lang w:val="en-GB"/>
        </w:rPr>
        <w:t>Authorities</w:t>
      </w:r>
      <w:r w:rsidRPr="000D67C6">
        <w:rPr>
          <w:rFonts w:ascii="Arial" w:eastAsia="Times New Roman" w:hAnsi="Arial" w:cs="Arial"/>
          <w:sz w:val="22"/>
          <w:szCs w:val="22"/>
          <w:lang w:val="en-GB"/>
        </w:rPr>
        <w:t xml:space="preserve"> in Wales is detailed in the Fire and Rescue National Framework which has been produced by Welsh Government.  The National Framework seeks to expand the role of Fire and Rescue </w:t>
      </w:r>
      <w:r w:rsidR="003B74FB" w:rsidRPr="000D67C6">
        <w:rPr>
          <w:rFonts w:ascii="Arial" w:eastAsia="Times New Roman" w:hAnsi="Arial" w:cs="Arial"/>
          <w:sz w:val="22"/>
          <w:szCs w:val="22"/>
          <w:lang w:val="en-GB"/>
        </w:rPr>
        <w:t>Authorities</w:t>
      </w:r>
      <w:r w:rsidRPr="000D67C6">
        <w:rPr>
          <w:rFonts w:ascii="Arial" w:eastAsia="Times New Roman" w:hAnsi="Arial" w:cs="Arial"/>
          <w:sz w:val="22"/>
          <w:szCs w:val="22"/>
          <w:lang w:val="en-GB"/>
        </w:rPr>
        <w:t xml:space="preserve"> in Wales in relation to prevention, education and engaging with the communities they serve whilst ensuring that their reactive firefighting capability is not compromised.</w:t>
      </w:r>
    </w:p>
    <w:p w14:paraId="567AA7D4"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3A854283"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shd w:val="clear" w:color="auto" w:fill="FFFFFF"/>
          <w:lang w:val="en-GB"/>
        </w:rPr>
        <w:t xml:space="preserve">Mid and West Wales Fire and Rescue </w:t>
      </w:r>
      <w:r w:rsidR="003B74FB" w:rsidRPr="000D67C6">
        <w:rPr>
          <w:rFonts w:ascii="Arial" w:eastAsia="Times New Roman" w:hAnsi="Arial" w:cs="Arial"/>
          <w:sz w:val="22"/>
          <w:szCs w:val="22"/>
          <w:shd w:val="clear" w:color="auto" w:fill="FFFFFF"/>
          <w:lang w:val="en-GB"/>
        </w:rPr>
        <w:t>Authority</w:t>
      </w:r>
      <w:r w:rsidRPr="000D67C6">
        <w:rPr>
          <w:rFonts w:ascii="Arial" w:eastAsia="Times New Roman" w:hAnsi="Arial" w:cs="Arial"/>
          <w:sz w:val="22"/>
          <w:szCs w:val="22"/>
          <w:shd w:val="clear" w:color="auto" w:fill="FFFFFF"/>
          <w:lang w:val="en-GB"/>
        </w:rPr>
        <w:t xml:space="preserve"> produces annual action plans for managing down risks and improving services with an increasing emphasis on prevention and education. The Service is actively engaged in working with the communities it serves, an example of which is carrying out Home Safety checks. The Authority works in partnership with other emergency services, for example,</w:t>
      </w:r>
      <w:r w:rsidRPr="000D67C6">
        <w:rPr>
          <w:rFonts w:ascii="Arial" w:eastAsia="Times New Roman" w:hAnsi="Arial" w:cs="Arial"/>
          <w:sz w:val="22"/>
          <w:szCs w:val="22"/>
          <w:lang w:val="en-GB"/>
        </w:rPr>
        <w:t xml:space="preserve"> the Welsh Ambulance Service, Dyfed Powys Police and South Wales Police are located at several of our properties, also the Welsh Ambulance Service through the Co</w:t>
      </w:r>
      <w:r w:rsidR="0065038B" w:rsidRPr="000D67C6">
        <w:rPr>
          <w:rFonts w:ascii="Arial" w:eastAsia="Times New Roman" w:hAnsi="Arial" w:cs="Arial"/>
          <w:sz w:val="22"/>
          <w:szCs w:val="22"/>
          <w:lang w:val="en-GB"/>
        </w:rPr>
        <w:t>-</w:t>
      </w:r>
      <w:r w:rsidRPr="000D67C6">
        <w:rPr>
          <w:rFonts w:ascii="Arial" w:eastAsia="Times New Roman" w:hAnsi="Arial" w:cs="Arial"/>
          <w:sz w:val="22"/>
          <w:szCs w:val="22"/>
          <w:lang w:val="en-GB"/>
        </w:rPr>
        <w:t>Responder scheme. Other schemes include our p</w:t>
      </w:r>
      <w:r w:rsidR="00FF52D7" w:rsidRPr="000D67C6">
        <w:rPr>
          <w:rFonts w:ascii="Arial" w:eastAsia="Times New Roman" w:hAnsi="Arial" w:cs="Arial"/>
          <w:sz w:val="22"/>
          <w:szCs w:val="22"/>
          <w:lang w:val="en-GB"/>
        </w:rPr>
        <w:t>articipation in the Young Firef</w:t>
      </w:r>
      <w:r w:rsidRPr="000D67C6">
        <w:rPr>
          <w:rFonts w:ascii="Arial" w:eastAsia="Times New Roman" w:hAnsi="Arial" w:cs="Arial"/>
          <w:sz w:val="22"/>
          <w:szCs w:val="22"/>
          <w:lang w:val="en-GB"/>
        </w:rPr>
        <w:t>ighters’ Association operated by off duty</w:t>
      </w:r>
      <w:r w:rsidR="00FF52D7" w:rsidRPr="000D67C6">
        <w:rPr>
          <w:rFonts w:ascii="Arial" w:eastAsia="Times New Roman" w:hAnsi="Arial" w:cs="Arial"/>
          <w:sz w:val="22"/>
          <w:szCs w:val="22"/>
          <w:lang w:val="en-GB"/>
        </w:rPr>
        <w:t xml:space="preserve"> fire</w:t>
      </w:r>
      <w:r w:rsidRPr="000D67C6">
        <w:rPr>
          <w:rFonts w:ascii="Arial" w:eastAsia="Times New Roman" w:hAnsi="Arial" w:cs="Arial"/>
          <w:sz w:val="22"/>
          <w:szCs w:val="22"/>
          <w:lang w:val="en-GB"/>
        </w:rPr>
        <w:t>fighters with branches across Mid and West Wales; the Phoenix project which has proved very successful with youth groups in the area; as well as participating in the new Public Services Boards formed under the Wellbeing of Future Generations Act.</w:t>
      </w:r>
    </w:p>
    <w:p w14:paraId="255574E8"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5A72AF89"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Authority’s Statement of Accounts is a publication required by law; the prime purpose of which is to give clear information about the financial position and the financial performance of Mid and West Wales Fire and Rescue Authority for the financial yea</w:t>
      </w:r>
      <w:r w:rsidR="007C4B12" w:rsidRPr="000D67C6">
        <w:rPr>
          <w:rFonts w:ascii="Arial" w:eastAsia="Times New Roman" w:hAnsi="Arial" w:cs="Arial"/>
          <w:sz w:val="22"/>
          <w:szCs w:val="22"/>
          <w:lang w:val="en-GB"/>
        </w:rPr>
        <w:t>r 201</w:t>
      </w:r>
      <w:r w:rsidR="00C002D2" w:rsidRPr="000D67C6">
        <w:rPr>
          <w:rFonts w:ascii="Arial" w:eastAsia="Times New Roman" w:hAnsi="Arial" w:cs="Arial"/>
          <w:sz w:val="22"/>
          <w:szCs w:val="22"/>
          <w:lang w:val="en-GB"/>
        </w:rPr>
        <w:t>8</w:t>
      </w:r>
      <w:r w:rsidR="007C4B12" w:rsidRPr="000D67C6">
        <w:rPr>
          <w:rFonts w:ascii="Arial" w:eastAsia="Times New Roman" w:hAnsi="Arial" w:cs="Arial"/>
          <w:sz w:val="22"/>
          <w:szCs w:val="22"/>
          <w:lang w:val="en-GB"/>
        </w:rPr>
        <w:t>/1</w:t>
      </w:r>
      <w:r w:rsidR="00C002D2" w:rsidRPr="000D67C6">
        <w:rPr>
          <w:rFonts w:ascii="Arial" w:eastAsia="Times New Roman" w:hAnsi="Arial" w:cs="Arial"/>
          <w:sz w:val="22"/>
          <w:szCs w:val="22"/>
          <w:lang w:val="en-GB"/>
        </w:rPr>
        <w:t>9</w:t>
      </w:r>
      <w:r w:rsidRPr="000D67C6">
        <w:rPr>
          <w:rFonts w:ascii="Arial" w:eastAsia="Times New Roman" w:hAnsi="Arial" w:cs="Arial"/>
          <w:sz w:val="22"/>
          <w:szCs w:val="22"/>
          <w:lang w:val="en-GB"/>
        </w:rPr>
        <w:t>.</w:t>
      </w:r>
    </w:p>
    <w:p w14:paraId="7CC51101"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2F2A4555"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statements and their purposes are as follows:</w:t>
      </w:r>
    </w:p>
    <w:p w14:paraId="03B28C00"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73B17F5D" w14:textId="77777777" w:rsidR="008F013B" w:rsidRPr="000D67C6" w:rsidRDefault="008F013B" w:rsidP="008F013B">
      <w:pPr>
        <w:pStyle w:val="Normal0"/>
        <w:tabs>
          <w:tab w:val="left" w:pos="540"/>
        </w:tabs>
        <w:spacing w:line="259" w:lineRule="auto"/>
        <w:ind w:left="540" w:hanging="540"/>
        <w:jc w:val="both"/>
        <w:rPr>
          <w:rFonts w:ascii="Arial" w:eastAsia="Times New Roman" w:hAnsi="Arial" w:cs="Arial"/>
          <w:b/>
          <w:sz w:val="22"/>
          <w:szCs w:val="22"/>
          <w:lang w:val="en-GB"/>
        </w:rPr>
      </w:pPr>
      <w:r w:rsidRPr="000D67C6">
        <w:rPr>
          <w:rFonts w:ascii="Arial" w:eastAsia="Times New Roman" w:hAnsi="Arial" w:cs="Arial"/>
          <w:b/>
          <w:sz w:val="22"/>
          <w:szCs w:val="22"/>
          <w:lang w:val="en-GB"/>
        </w:rPr>
        <w:t>Statement of Responsibilities for the Statement of Accounts</w:t>
      </w:r>
    </w:p>
    <w:p w14:paraId="7B7008CB" w14:textId="77777777" w:rsidR="008F013B" w:rsidRPr="000D67C6" w:rsidRDefault="008F013B" w:rsidP="008F013B">
      <w:pPr>
        <w:pStyle w:val="Normal0"/>
        <w:tabs>
          <w:tab w:val="left" w:pos="0"/>
        </w:tabs>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This sets out the respective responsibilities of the Authority and its officers for the preparation and approval of the Statement of Accounts.</w:t>
      </w:r>
    </w:p>
    <w:p w14:paraId="140E5740" w14:textId="77777777" w:rsidR="008F013B" w:rsidRPr="000D67C6" w:rsidRDefault="008F013B" w:rsidP="008F013B">
      <w:pPr>
        <w:pStyle w:val="Normal0"/>
        <w:tabs>
          <w:tab w:val="left" w:pos="540"/>
        </w:tabs>
        <w:spacing w:line="259" w:lineRule="auto"/>
        <w:ind w:left="540" w:hanging="540"/>
        <w:jc w:val="both"/>
        <w:rPr>
          <w:rFonts w:ascii="Arial" w:eastAsia="Times New Roman" w:hAnsi="Arial" w:cs="Arial"/>
          <w:sz w:val="22"/>
          <w:szCs w:val="22"/>
          <w:lang w:val="en-GB"/>
        </w:rPr>
      </w:pPr>
    </w:p>
    <w:p w14:paraId="0535DD56" w14:textId="77777777" w:rsidR="00AA2413" w:rsidRPr="000D67C6" w:rsidRDefault="00AA2413" w:rsidP="00AA2413">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Comprehensive Income and Expenditure Statement</w:t>
      </w:r>
      <w:r w:rsidR="008D641B" w:rsidRPr="000D67C6">
        <w:rPr>
          <w:rFonts w:ascii="Arial" w:eastAsia="Times New Roman" w:hAnsi="Arial" w:cs="Arial"/>
          <w:b/>
          <w:sz w:val="22"/>
          <w:szCs w:val="22"/>
          <w:lang w:val="en-GB"/>
        </w:rPr>
        <w:t xml:space="preserve"> </w:t>
      </w:r>
      <w:r w:rsidR="006432C7" w:rsidRPr="000D67C6">
        <w:rPr>
          <w:rFonts w:ascii="Arial" w:eastAsia="Times New Roman" w:hAnsi="Arial" w:cs="Arial"/>
          <w:b/>
          <w:sz w:val="22"/>
          <w:szCs w:val="22"/>
          <w:lang w:val="en-GB"/>
        </w:rPr>
        <w:t>(</w:t>
      </w:r>
      <w:r w:rsidR="008D641B" w:rsidRPr="000D67C6">
        <w:rPr>
          <w:rFonts w:ascii="Arial" w:eastAsia="Times New Roman" w:hAnsi="Arial" w:cs="Arial"/>
          <w:b/>
          <w:sz w:val="22"/>
          <w:szCs w:val="22"/>
          <w:lang w:val="en-GB"/>
        </w:rPr>
        <w:t>CIES</w:t>
      </w:r>
      <w:r w:rsidR="006432C7" w:rsidRPr="000D67C6">
        <w:rPr>
          <w:rFonts w:ascii="Arial" w:eastAsia="Times New Roman" w:hAnsi="Arial" w:cs="Arial"/>
          <w:b/>
          <w:sz w:val="22"/>
          <w:szCs w:val="22"/>
          <w:lang w:val="en-GB"/>
        </w:rPr>
        <w:t>)</w:t>
      </w:r>
    </w:p>
    <w:p w14:paraId="7E78F0B9" w14:textId="77777777" w:rsidR="00AA2413" w:rsidRPr="000D67C6" w:rsidRDefault="00AA2413" w:rsidP="00AA2413">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This statement shows the accounting cost in the year of providing services in accordance with generally accepted accounting practices, rather than the amount to be funded from taxation.  Authorities raise taxation to cover expenditure in accordance with regulations; this may be different from the accounting cost.  The taxation position is shown in both Expenditure and Funding Analysis and the Movement in Reserves Statement.</w:t>
      </w:r>
    </w:p>
    <w:p w14:paraId="00B7EA2A" w14:textId="77777777" w:rsidR="00635DF1" w:rsidRPr="000D67C6" w:rsidRDefault="00635DF1" w:rsidP="00AA2413">
      <w:pPr>
        <w:pStyle w:val="Normal0"/>
        <w:spacing w:line="259" w:lineRule="auto"/>
        <w:jc w:val="both"/>
        <w:rPr>
          <w:rFonts w:ascii="Arial" w:eastAsia="Times New Roman" w:hAnsi="Arial" w:cs="Arial"/>
          <w:sz w:val="22"/>
          <w:szCs w:val="22"/>
          <w:lang w:val="en-GB"/>
        </w:rPr>
      </w:pPr>
    </w:p>
    <w:p w14:paraId="2A9EF19A" w14:textId="77777777" w:rsidR="00635DF1" w:rsidRPr="000D67C6" w:rsidRDefault="00635DF1" w:rsidP="00AA2413">
      <w:pPr>
        <w:pStyle w:val="Normal0"/>
        <w:spacing w:line="259" w:lineRule="auto"/>
        <w:jc w:val="both"/>
        <w:rPr>
          <w:rFonts w:ascii="Arial" w:eastAsia="Times New Roman" w:hAnsi="Arial" w:cs="Arial"/>
          <w:sz w:val="22"/>
          <w:szCs w:val="22"/>
          <w:u w:val="single"/>
          <w:lang w:val="en-GB"/>
        </w:rPr>
      </w:pPr>
      <w:r w:rsidRPr="000D67C6">
        <w:rPr>
          <w:rFonts w:ascii="Arial" w:eastAsia="Times New Roman" w:hAnsi="Arial" w:cs="Arial"/>
          <w:sz w:val="22"/>
          <w:szCs w:val="22"/>
          <w:lang w:val="en-GB"/>
        </w:rPr>
        <w:t xml:space="preserve">Fire </w:t>
      </w:r>
      <w:r w:rsidR="0046591D" w:rsidRPr="000D67C6">
        <w:rPr>
          <w:rFonts w:ascii="Arial" w:eastAsia="Times New Roman" w:hAnsi="Arial" w:cs="Arial"/>
          <w:sz w:val="22"/>
          <w:szCs w:val="22"/>
          <w:lang w:val="en-GB"/>
        </w:rPr>
        <w:t xml:space="preserve">and Rescue </w:t>
      </w:r>
      <w:r w:rsidRPr="000D67C6">
        <w:rPr>
          <w:rFonts w:ascii="Arial" w:eastAsia="Times New Roman" w:hAnsi="Arial" w:cs="Arial"/>
          <w:sz w:val="22"/>
          <w:szCs w:val="22"/>
          <w:lang w:val="en-GB"/>
        </w:rPr>
        <w:t xml:space="preserve">Authorities are </w:t>
      </w:r>
      <w:r w:rsidR="0046591D" w:rsidRPr="000D67C6">
        <w:rPr>
          <w:rFonts w:ascii="Arial" w:eastAsia="Times New Roman" w:hAnsi="Arial" w:cs="Arial"/>
          <w:sz w:val="22"/>
          <w:szCs w:val="22"/>
          <w:lang w:val="en-GB"/>
        </w:rPr>
        <w:t>considered to be</w:t>
      </w:r>
      <w:r w:rsidRPr="000D67C6">
        <w:rPr>
          <w:rFonts w:ascii="Arial" w:eastAsia="Times New Roman" w:hAnsi="Arial" w:cs="Arial"/>
          <w:sz w:val="22"/>
          <w:szCs w:val="22"/>
          <w:lang w:val="en-GB"/>
        </w:rPr>
        <w:t xml:space="preserve"> “one service” entities and </w:t>
      </w:r>
      <w:r w:rsidR="0046591D" w:rsidRPr="000D67C6">
        <w:rPr>
          <w:rFonts w:ascii="Arial" w:eastAsia="Times New Roman" w:hAnsi="Arial" w:cs="Arial"/>
          <w:sz w:val="22"/>
          <w:szCs w:val="22"/>
          <w:lang w:val="en-GB"/>
        </w:rPr>
        <w:t>the “provision of Fire Services” is presented as one-line in the CIES.</w:t>
      </w:r>
    </w:p>
    <w:p w14:paraId="2EA75818" w14:textId="77777777" w:rsidR="00AA2413" w:rsidRPr="000D67C6" w:rsidRDefault="00AA2413" w:rsidP="00AA2413">
      <w:pPr>
        <w:pStyle w:val="Normal0"/>
        <w:spacing w:line="259" w:lineRule="auto"/>
        <w:jc w:val="both"/>
        <w:rPr>
          <w:rFonts w:ascii="Arial" w:eastAsia="Times New Roman" w:hAnsi="Arial" w:cs="Arial"/>
          <w:sz w:val="22"/>
          <w:szCs w:val="22"/>
          <w:u w:val="single"/>
          <w:lang w:val="en-GB"/>
        </w:rPr>
      </w:pPr>
    </w:p>
    <w:p w14:paraId="64EB6A12"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Movement in Reserves Statement</w:t>
      </w:r>
      <w:r w:rsidR="00AA2413" w:rsidRPr="000D67C6">
        <w:rPr>
          <w:rFonts w:ascii="Arial" w:eastAsia="Times New Roman" w:hAnsi="Arial" w:cs="Arial"/>
          <w:b/>
          <w:sz w:val="22"/>
          <w:szCs w:val="22"/>
          <w:lang w:val="en-GB"/>
        </w:rPr>
        <w:t xml:space="preserve"> (MiRS)</w:t>
      </w:r>
    </w:p>
    <w:p w14:paraId="3651127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This </w:t>
      </w:r>
      <w:r w:rsidR="00AA2413" w:rsidRPr="000D67C6">
        <w:rPr>
          <w:rFonts w:ascii="Arial" w:eastAsia="Times New Roman" w:hAnsi="Arial" w:cs="Arial"/>
          <w:sz w:val="22"/>
          <w:szCs w:val="22"/>
          <w:lang w:val="en-GB"/>
        </w:rPr>
        <w:t>MiRS</w:t>
      </w:r>
      <w:r w:rsidRPr="000D67C6">
        <w:rPr>
          <w:rFonts w:ascii="Arial" w:eastAsia="Times New Roman" w:hAnsi="Arial" w:cs="Arial"/>
          <w:sz w:val="22"/>
          <w:szCs w:val="22"/>
          <w:lang w:val="en-GB"/>
        </w:rPr>
        <w:t xml:space="preserve"> shows the movement in the year on the different reserves held by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analysed into ‘usable reserves’ (i.e. those that can be applied to fund expenditure or reduce local taxation) and other reserves.  The (Surplus) or Deficit on the Provision of Services line shows the true economic cost of providing the Authority’s services, more details of which are shown in the Comprehensive Income and Expenditure Statement.  This is different from the statutory amounts required to be charged to the General Fund Balance, and the Increase / Decrease before Transfers to Earmarked Reserves line shows the statutory General Fund Balance before any discretionary transfers to or from earmarked reserves are undertaken by the Fire and Rescue Authority.  </w:t>
      </w:r>
    </w:p>
    <w:p w14:paraId="5F3E19D3" w14:textId="77777777" w:rsidR="00C002D2" w:rsidRPr="000D67C6" w:rsidRDefault="00C002D2" w:rsidP="008F013B">
      <w:pPr>
        <w:pStyle w:val="Normal0"/>
        <w:spacing w:line="259" w:lineRule="auto"/>
        <w:jc w:val="both"/>
        <w:rPr>
          <w:rFonts w:ascii="Arial" w:eastAsia="Times New Roman" w:hAnsi="Arial" w:cs="Arial"/>
          <w:sz w:val="22"/>
          <w:szCs w:val="22"/>
          <w:lang w:val="en-GB"/>
        </w:rPr>
      </w:pPr>
    </w:p>
    <w:p w14:paraId="6C718F23" w14:textId="77777777" w:rsidR="00C002D2" w:rsidRPr="000D67C6" w:rsidRDefault="00C002D2" w:rsidP="008F013B">
      <w:pPr>
        <w:pStyle w:val="Normal0"/>
        <w:spacing w:line="259" w:lineRule="auto"/>
        <w:jc w:val="both"/>
        <w:rPr>
          <w:rFonts w:ascii="Arial" w:eastAsia="Times New Roman" w:hAnsi="Arial" w:cs="Arial"/>
          <w:sz w:val="22"/>
          <w:szCs w:val="22"/>
          <w:lang w:val="en-GB"/>
        </w:rPr>
      </w:pPr>
    </w:p>
    <w:p w14:paraId="5B8D2999" w14:textId="58CC3B63"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Balance Sheet</w:t>
      </w:r>
    </w:p>
    <w:p w14:paraId="5181C46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Balance Sheet shows the value as at the Balance Sheet date of the assets and liabilities recognised by the Authority.  The net assets of the Authority (assets less liabilities) are matched by the reserves held by the Authority.  Reserves are reported in two categories.  The first category of reserves are usable reserves, i.e. those reserves that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may use to provide services, subject to the need to maintain a prudent level of reserves and any statutory limitations on their use (for example the Capital Receipts Reserve that may only be used to fund capital expenditure or repay debt).  The second category of reserves includes reserves that hold unrealised gains and losses (for example the Revaluation Reserve), where amounts would only become available to provide services if the assets are sold; and reserves that hold timing differences shown in the Movement in Reserves Statement line ‘Adjustments between accounting basis and funding basis under regulations’.</w:t>
      </w:r>
    </w:p>
    <w:p w14:paraId="7A585385"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298906AF"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Cash Flow Statement</w:t>
      </w:r>
      <w:r w:rsidR="00AA2413" w:rsidRPr="000D67C6">
        <w:rPr>
          <w:rFonts w:ascii="Arial" w:eastAsia="Times New Roman" w:hAnsi="Arial" w:cs="Arial"/>
          <w:b/>
          <w:sz w:val="22"/>
          <w:szCs w:val="22"/>
          <w:lang w:val="en-GB"/>
        </w:rPr>
        <w:t xml:space="preserve"> </w:t>
      </w:r>
      <w:r w:rsidR="00B9075B" w:rsidRPr="000D67C6">
        <w:rPr>
          <w:rFonts w:ascii="Arial" w:eastAsia="Times New Roman" w:hAnsi="Arial" w:cs="Arial"/>
          <w:b/>
          <w:sz w:val="22"/>
          <w:szCs w:val="22"/>
          <w:lang w:val="en-GB"/>
        </w:rPr>
        <w:t>(C</w:t>
      </w:r>
      <w:r w:rsidR="00AA2413" w:rsidRPr="000D67C6">
        <w:rPr>
          <w:rFonts w:ascii="Arial" w:eastAsia="Times New Roman" w:hAnsi="Arial" w:cs="Arial"/>
          <w:b/>
          <w:sz w:val="22"/>
          <w:szCs w:val="22"/>
          <w:lang w:val="en-GB"/>
        </w:rPr>
        <w:t>FS</w:t>
      </w:r>
      <w:r w:rsidR="00B9075B" w:rsidRPr="000D67C6">
        <w:rPr>
          <w:rFonts w:ascii="Arial" w:eastAsia="Times New Roman" w:hAnsi="Arial" w:cs="Arial"/>
          <w:b/>
          <w:sz w:val="22"/>
          <w:szCs w:val="22"/>
          <w:lang w:val="en-GB"/>
        </w:rPr>
        <w:t>)</w:t>
      </w:r>
    </w:p>
    <w:p w14:paraId="08D23AAC"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Cash Flow Statement shows the changes in cash and cash equivalents of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are funded by way of taxation and grant income or from the recipients of services provided by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Investing activities represent the extent to which cash outflows have been made for resources which are intended to contribute to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’s future service delivery.  Cash flows arising from financing activities are useful in predicting claims on future cash flows by providers of capital (i.e. borrowing) to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w:t>
      </w:r>
    </w:p>
    <w:p w14:paraId="04219CD3" w14:textId="77777777" w:rsidR="008F013B" w:rsidRPr="000D67C6" w:rsidRDefault="008F013B" w:rsidP="008F013B">
      <w:pPr>
        <w:pStyle w:val="Normal0"/>
        <w:spacing w:line="259" w:lineRule="auto"/>
        <w:jc w:val="both"/>
        <w:rPr>
          <w:rFonts w:ascii="Arial" w:eastAsia="Times New Roman" w:hAnsi="Arial" w:cs="Arial"/>
          <w:sz w:val="22"/>
          <w:szCs w:val="22"/>
          <w:u w:val="single"/>
          <w:lang w:val="en-GB"/>
        </w:rPr>
      </w:pPr>
    </w:p>
    <w:p w14:paraId="1889F0F2" w14:textId="77777777" w:rsidR="008F013B" w:rsidRPr="000D67C6" w:rsidRDefault="00FF52D7"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Firef</w:t>
      </w:r>
      <w:r w:rsidR="008F013B" w:rsidRPr="000D67C6">
        <w:rPr>
          <w:rFonts w:ascii="Arial" w:eastAsia="Times New Roman" w:hAnsi="Arial" w:cs="Arial"/>
          <w:b/>
          <w:sz w:val="22"/>
          <w:szCs w:val="22"/>
          <w:lang w:val="en-GB"/>
        </w:rPr>
        <w:t>ighters Pension Fund Account</w:t>
      </w:r>
      <w:r w:rsidR="008D641B" w:rsidRPr="000D67C6">
        <w:rPr>
          <w:rFonts w:ascii="Arial" w:eastAsia="Times New Roman" w:hAnsi="Arial" w:cs="Arial"/>
          <w:b/>
          <w:sz w:val="22"/>
          <w:szCs w:val="22"/>
          <w:lang w:val="en-GB"/>
        </w:rPr>
        <w:t xml:space="preserve"> </w:t>
      </w:r>
    </w:p>
    <w:p w14:paraId="7EED206B"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This shows the </w:t>
      </w:r>
      <w:r w:rsidR="00FF52D7" w:rsidRPr="000D67C6">
        <w:rPr>
          <w:rFonts w:ascii="Arial" w:eastAsia="Times New Roman" w:hAnsi="Arial" w:cs="Arial"/>
          <w:sz w:val="22"/>
          <w:szCs w:val="22"/>
          <w:lang w:val="en-GB"/>
        </w:rPr>
        <w:t>financial position of the Firef</w:t>
      </w:r>
      <w:r w:rsidRPr="000D67C6">
        <w:rPr>
          <w:rFonts w:ascii="Arial" w:eastAsia="Times New Roman" w:hAnsi="Arial" w:cs="Arial"/>
          <w:sz w:val="22"/>
          <w:szCs w:val="22"/>
          <w:lang w:val="en-GB"/>
        </w:rPr>
        <w:t xml:space="preserve">ighters pension fund account, indicating whether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owes, or is owed money by the Welsh Government to balance the account, together with details of its net assets. </w:t>
      </w:r>
    </w:p>
    <w:p w14:paraId="6A01A506" w14:textId="77777777" w:rsidR="008D641B" w:rsidRPr="000D67C6" w:rsidRDefault="008D641B" w:rsidP="008D641B">
      <w:pPr>
        <w:pStyle w:val="Normal0"/>
        <w:spacing w:line="259" w:lineRule="auto"/>
        <w:jc w:val="both"/>
        <w:rPr>
          <w:rFonts w:ascii="Arial" w:eastAsia="Times New Roman" w:hAnsi="Arial" w:cs="Arial"/>
          <w:b/>
          <w:sz w:val="22"/>
          <w:szCs w:val="22"/>
          <w:lang w:val="en-GB"/>
        </w:rPr>
      </w:pPr>
    </w:p>
    <w:p w14:paraId="5C24D6A2" w14:textId="77777777" w:rsidR="008D641B" w:rsidRPr="000D67C6" w:rsidRDefault="008D641B" w:rsidP="008D641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Expenditure and Funding Analysis (EFA)</w:t>
      </w:r>
    </w:p>
    <w:p w14:paraId="2F22DFEA" w14:textId="77777777" w:rsidR="008D641B" w:rsidRPr="000D67C6" w:rsidRDefault="00141C78" w:rsidP="008D641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EFA </w:t>
      </w:r>
      <w:r w:rsidR="004F35F8" w:rsidRPr="000D67C6">
        <w:rPr>
          <w:rFonts w:ascii="Arial" w:eastAsia="Times New Roman" w:hAnsi="Arial" w:cs="Arial"/>
          <w:sz w:val="22"/>
          <w:szCs w:val="22"/>
          <w:lang w:val="en-GB"/>
        </w:rPr>
        <w:t>is a disclosure note</w:t>
      </w:r>
      <w:r w:rsidR="00410C41" w:rsidRPr="000D67C6">
        <w:rPr>
          <w:rFonts w:ascii="Arial" w:eastAsia="Times New Roman" w:hAnsi="Arial" w:cs="Arial"/>
          <w:sz w:val="22"/>
          <w:szCs w:val="22"/>
          <w:lang w:val="en-GB"/>
        </w:rPr>
        <w:t>, it</w:t>
      </w:r>
      <w:r w:rsidR="004F35F8" w:rsidRPr="000D67C6">
        <w:rPr>
          <w:rFonts w:ascii="Arial" w:eastAsia="Times New Roman" w:hAnsi="Arial" w:cs="Arial"/>
          <w:sz w:val="22"/>
          <w:szCs w:val="22"/>
          <w:lang w:val="en-GB"/>
        </w:rPr>
        <w:t xml:space="preserve"> </w:t>
      </w:r>
      <w:r w:rsidR="008D641B" w:rsidRPr="000D67C6">
        <w:rPr>
          <w:rFonts w:ascii="Arial" w:eastAsia="Times New Roman" w:hAnsi="Arial" w:cs="Arial"/>
          <w:sz w:val="22"/>
          <w:szCs w:val="22"/>
          <w:lang w:val="en-GB"/>
        </w:rPr>
        <w:t>brings together Authority performance reported on the basis of expenditure measured under proper accounting practices with statutorily defined charges to the General Fund.</w:t>
      </w:r>
    </w:p>
    <w:p w14:paraId="2C40B5AB" w14:textId="77777777" w:rsidR="002D7409" w:rsidRPr="000D67C6" w:rsidRDefault="002D7409" w:rsidP="008D641B">
      <w:pPr>
        <w:pStyle w:val="Normal0"/>
        <w:spacing w:line="259" w:lineRule="auto"/>
        <w:jc w:val="both"/>
        <w:rPr>
          <w:rFonts w:ascii="Arial" w:eastAsia="Times New Roman" w:hAnsi="Arial" w:cs="Arial"/>
          <w:sz w:val="22"/>
          <w:szCs w:val="22"/>
          <w:lang w:val="en-GB"/>
        </w:rPr>
      </w:pPr>
    </w:p>
    <w:p w14:paraId="49862F45"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Notes to the Accounting Statements</w:t>
      </w:r>
    </w:p>
    <w:p w14:paraId="3BD05537" w14:textId="77777777" w:rsidR="00B9075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notes present information about the basis of preparation of the financial statements and the specific accounting policies used.  They disclose information not presented elsewhere in the financial statements but is relevant to an understanding of them. </w:t>
      </w:r>
    </w:p>
    <w:p w14:paraId="4261EF14"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421DB2C6" w14:textId="77777777" w:rsidR="0065038B" w:rsidRPr="000D67C6" w:rsidRDefault="0065038B" w:rsidP="0065038B">
      <w:pPr>
        <w:pStyle w:val="Normal0"/>
        <w:tabs>
          <w:tab w:val="left" w:pos="540"/>
        </w:tabs>
        <w:spacing w:line="259" w:lineRule="auto"/>
        <w:ind w:left="540" w:hanging="540"/>
        <w:jc w:val="both"/>
        <w:rPr>
          <w:rFonts w:ascii="Arial" w:eastAsia="Times New Roman" w:hAnsi="Arial" w:cs="Arial"/>
          <w:b/>
          <w:sz w:val="22"/>
          <w:szCs w:val="22"/>
          <w:lang w:val="en-GB"/>
        </w:rPr>
      </w:pPr>
      <w:r w:rsidRPr="000D67C6">
        <w:rPr>
          <w:rFonts w:ascii="Arial" w:eastAsia="Times New Roman" w:hAnsi="Arial" w:cs="Arial"/>
          <w:b/>
          <w:sz w:val="22"/>
          <w:szCs w:val="22"/>
          <w:lang w:val="en-GB"/>
        </w:rPr>
        <w:t>Annual Governance Statement</w:t>
      </w:r>
    </w:p>
    <w:p w14:paraId="08602DF9" w14:textId="77777777" w:rsidR="0065038B" w:rsidRPr="000D67C6" w:rsidRDefault="0065038B" w:rsidP="00D66111">
      <w:pPr>
        <w:pStyle w:val="Normal0"/>
        <w:tabs>
          <w:tab w:val="left" w:pos="0"/>
        </w:tabs>
        <w:spacing w:line="259" w:lineRule="auto"/>
        <w:ind w:hanging="540"/>
        <w:jc w:val="both"/>
        <w:rPr>
          <w:rFonts w:ascii="Arial" w:eastAsia="Times New Roman" w:hAnsi="Arial" w:cs="Arial"/>
          <w:sz w:val="22"/>
          <w:szCs w:val="22"/>
          <w:lang w:val="en-GB"/>
        </w:rPr>
      </w:pPr>
      <w:r w:rsidRPr="000D67C6">
        <w:rPr>
          <w:rFonts w:ascii="Arial" w:eastAsia="Times New Roman" w:hAnsi="Arial" w:cs="Arial"/>
          <w:sz w:val="22"/>
          <w:szCs w:val="22"/>
          <w:lang w:val="en-GB"/>
        </w:rPr>
        <w:tab/>
        <w:t xml:space="preserve">This statement provides a continuous review of the effectiveness of the Authority’s governance framework including the system of internal control and risk management systems, to give assurance on their effectiveness and/or to produce a management action plan to address identified weaknesses. </w:t>
      </w:r>
    </w:p>
    <w:p w14:paraId="6CD06D57" w14:textId="77777777" w:rsidR="00D66111" w:rsidRPr="000D67C6" w:rsidRDefault="00D66111" w:rsidP="0065038B">
      <w:pPr>
        <w:pStyle w:val="Normal0"/>
        <w:spacing w:line="259" w:lineRule="auto"/>
        <w:jc w:val="both"/>
        <w:rPr>
          <w:rFonts w:ascii="Arial" w:eastAsia="Times New Roman" w:hAnsi="Arial" w:cs="Arial"/>
          <w:sz w:val="22"/>
          <w:szCs w:val="22"/>
          <w:lang w:val="en-GB"/>
        </w:rPr>
      </w:pPr>
    </w:p>
    <w:p w14:paraId="12FF922D" w14:textId="77777777" w:rsidR="0065038B" w:rsidRPr="000D67C6" w:rsidRDefault="0065038B" w:rsidP="0065038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Annual Governance Statement accompanies the Statement of Accounts but is not </w:t>
      </w:r>
      <w:r w:rsidR="000B7FA1" w:rsidRPr="000D67C6">
        <w:rPr>
          <w:rFonts w:ascii="Arial" w:eastAsia="Times New Roman" w:hAnsi="Arial" w:cs="Arial"/>
          <w:sz w:val="22"/>
          <w:szCs w:val="22"/>
          <w:lang w:val="en-GB"/>
        </w:rPr>
        <w:t>part of</w:t>
      </w:r>
      <w:r w:rsidR="00D66111" w:rsidRPr="000D67C6">
        <w:rPr>
          <w:rFonts w:ascii="Arial" w:eastAsia="Times New Roman" w:hAnsi="Arial" w:cs="Arial"/>
          <w:sz w:val="22"/>
          <w:szCs w:val="22"/>
          <w:lang w:val="en-GB"/>
        </w:rPr>
        <w:t xml:space="preserve"> </w:t>
      </w:r>
      <w:r w:rsidRPr="000D67C6">
        <w:rPr>
          <w:rFonts w:ascii="Arial" w:eastAsia="Times New Roman" w:hAnsi="Arial" w:cs="Arial"/>
          <w:sz w:val="22"/>
          <w:szCs w:val="22"/>
          <w:lang w:val="en-GB"/>
        </w:rPr>
        <w:t xml:space="preserve">the </w:t>
      </w:r>
      <w:r w:rsidR="00D85BED" w:rsidRPr="000D67C6">
        <w:rPr>
          <w:rFonts w:ascii="Arial" w:eastAsia="Times New Roman" w:hAnsi="Arial" w:cs="Arial"/>
          <w:sz w:val="22"/>
          <w:szCs w:val="22"/>
          <w:lang w:val="en-GB"/>
        </w:rPr>
        <w:t>Statement</w:t>
      </w:r>
      <w:r w:rsidRPr="000D67C6">
        <w:rPr>
          <w:rFonts w:ascii="Arial" w:eastAsia="Times New Roman" w:hAnsi="Arial" w:cs="Arial"/>
          <w:sz w:val="22"/>
          <w:szCs w:val="22"/>
          <w:lang w:val="en-GB"/>
        </w:rPr>
        <w:t>.</w:t>
      </w:r>
    </w:p>
    <w:p w14:paraId="71978DA7" w14:textId="77777777" w:rsidR="00432B60" w:rsidRPr="000D67C6" w:rsidRDefault="00432B60" w:rsidP="0065038B">
      <w:pPr>
        <w:pStyle w:val="Normal0"/>
        <w:spacing w:line="259" w:lineRule="auto"/>
        <w:jc w:val="both"/>
        <w:rPr>
          <w:rFonts w:ascii="Arial" w:eastAsia="Times New Roman" w:hAnsi="Arial" w:cs="Arial"/>
          <w:sz w:val="22"/>
          <w:szCs w:val="22"/>
          <w:lang w:val="en-GB"/>
        </w:rPr>
      </w:pPr>
    </w:p>
    <w:p w14:paraId="1C8BD466" w14:textId="77777777" w:rsidR="00D638E4" w:rsidRPr="000D67C6" w:rsidRDefault="00D638E4">
      <w:pPr>
        <w:rPr>
          <w:rFonts w:ascii="Arial" w:eastAsia="Times New Roman" w:hAnsi="Arial" w:cs="Arial"/>
          <w:b/>
          <w:sz w:val="22"/>
          <w:szCs w:val="22"/>
          <w:u w:val="single"/>
          <w:lang w:val="en-GB"/>
        </w:rPr>
      </w:pPr>
      <w:r w:rsidRPr="000D67C6">
        <w:rPr>
          <w:rFonts w:ascii="Arial" w:eastAsia="Times New Roman" w:hAnsi="Arial" w:cs="Arial"/>
          <w:b/>
          <w:sz w:val="22"/>
          <w:szCs w:val="22"/>
          <w:u w:val="single"/>
          <w:lang w:val="en-GB"/>
        </w:rPr>
        <w:br w:type="page"/>
      </w:r>
    </w:p>
    <w:p w14:paraId="5E22408B" w14:textId="04967ED1" w:rsidR="008F013B" w:rsidRPr="000D67C6" w:rsidRDefault="008F013B" w:rsidP="008F013B">
      <w:pPr>
        <w:pStyle w:val="Normal0"/>
        <w:spacing w:line="259" w:lineRule="auto"/>
        <w:rPr>
          <w:rFonts w:ascii="Arial" w:eastAsia="Times New Roman" w:hAnsi="Arial" w:cs="Arial"/>
          <w:b/>
          <w:sz w:val="22"/>
          <w:szCs w:val="22"/>
          <w:u w:val="single"/>
          <w:lang w:val="en-GB"/>
        </w:rPr>
      </w:pPr>
      <w:r w:rsidRPr="000D67C6">
        <w:rPr>
          <w:rFonts w:ascii="Arial" w:eastAsia="Times New Roman" w:hAnsi="Arial" w:cs="Arial"/>
          <w:b/>
          <w:sz w:val="22"/>
          <w:szCs w:val="22"/>
          <w:u w:val="single"/>
          <w:lang w:val="en-GB"/>
        </w:rPr>
        <w:t>Summary of the Financial Year</w:t>
      </w:r>
    </w:p>
    <w:p w14:paraId="6312FE85" w14:textId="77777777" w:rsidR="008F013B" w:rsidRPr="000D67C6" w:rsidRDefault="008F013B" w:rsidP="008F013B">
      <w:pPr>
        <w:pStyle w:val="Normal0"/>
        <w:spacing w:line="259" w:lineRule="auto"/>
        <w:rPr>
          <w:rFonts w:ascii="Arial" w:eastAsia="Times New Roman" w:hAnsi="Arial" w:cs="Arial"/>
          <w:b/>
          <w:sz w:val="22"/>
          <w:szCs w:val="22"/>
          <w:u w:val="single"/>
          <w:lang w:val="en-GB"/>
        </w:rPr>
      </w:pPr>
    </w:p>
    <w:p w14:paraId="6ABB0EFA" w14:textId="714A5261" w:rsidR="000A0B77" w:rsidRPr="000D67C6" w:rsidRDefault="002D2214" w:rsidP="00E671B6">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net revenue expenditure for the y</w:t>
      </w:r>
      <w:r w:rsidR="001624B9" w:rsidRPr="000D67C6">
        <w:rPr>
          <w:rFonts w:ascii="Arial" w:eastAsia="Times New Roman" w:hAnsi="Arial" w:cs="Arial"/>
          <w:sz w:val="22"/>
          <w:szCs w:val="22"/>
          <w:lang w:val="en-GB"/>
        </w:rPr>
        <w:t>ear was £</w:t>
      </w:r>
      <w:r w:rsidR="00281D7E" w:rsidRPr="000D67C6">
        <w:rPr>
          <w:rFonts w:ascii="Arial" w:eastAsia="Times New Roman" w:hAnsi="Arial" w:cs="Arial"/>
          <w:sz w:val="22"/>
          <w:szCs w:val="22"/>
          <w:lang w:val="en-GB"/>
        </w:rPr>
        <w:t>45</w:t>
      </w:r>
      <w:r w:rsidR="00E772C8" w:rsidRPr="000D67C6">
        <w:rPr>
          <w:rFonts w:ascii="Arial" w:eastAsia="Times New Roman" w:hAnsi="Arial" w:cs="Arial"/>
          <w:sz w:val="22"/>
          <w:szCs w:val="22"/>
          <w:lang w:val="en-GB"/>
        </w:rPr>
        <w:t>.</w:t>
      </w:r>
      <w:r w:rsidR="005B208A" w:rsidRPr="000D67C6">
        <w:rPr>
          <w:rFonts w:ascii="Arial" w:eastAsia="Times New Roman" w:hAnsi="Arial" w:cs="Arial"/>
          <w:sz w:val="22"/>
          <w:szCs w:val="22"/>
          <w:lang w:val="en-GB"/>
        </w:rPr>
        <w:t>75</w:t>
      </w:r>
      <w:r w:rsidR="00A128DC" w:rsidRPr="000D67C6">
        <w:rPr>
          <w:rFonts w:ascii="Arial" w:eastAsia="Times New Roman" w:hAnsi="Arial" w:cs="Arial"/>
          <w:sz w:val="22"/>
          <w:szCs w:val="22"/>
          <w:lang w:val="en-GB"/>
        </w:rPr>
        <w:t>7</w:t>
      </w:r>
      <w:r w:rsidR="001624B9" w:rsidRPr="000D67C6">
        <w:rPr>
          <w:rFonts w:ascii="Arial" w:eastAsia="Times New Roman" w:hAnsi="Arial" w:cs="Arial"/>
          <w:sz w:val="22"/>
          <w:szCs w:val="22"/>
          <w:lang w:val="en-GB"/>
        </w:rPr>
        <w:t>m</w:t>
      </w:r>
      <w:r w:rsidR="00E671B6" w:rsidRPr="000D67C6">
        <w:rPr>
          <w:rFonts w:ascii="Arial" w:eastAsia="Times New Roman" w:hAnsi="Arial" w:cs="Arial"/>
          <w:sz w:val="22"/>
          <w:szCs w:val="22"/>
          <w:lang w:val="en-GB"/>
        </w:rPr>
        <w:t>, the contributions received from Unitary Authorities totalled £4</w:t>
      </w:r>
      <w:r w:rsidR="00B34360" w:rsidRPr="000D67C6">
        <w:rPr>
          <w:rFonts w:ascii="Arial" w:eastAsia="Times New Roman" w:hAnsi="Arial" w:cs="Arial"/>
          <w:sz w:val="22"/>
          <w:szCs w:val="22"/>
          <w:lang w:val="en-GB"/>
        </w:rPr>
        <w:t>6.659</w:t>
      </w:r>
      <w:r w:rsidR="00E671B6" w:rsidRPr="000D67C6">
        <w:rPr>
          <w:rFonts w:ascii="Arial" w:eastAsia="Times New Roman" w:hAnsi="Arial" w:cs="Arial"/>
          <w:sz w:val="22"/>
          <w:szCs w:val="22"/>
          <w:lang w:val="en-GB"/>
        </w:rPr>
        <w:t>m. During the year</w:t>
      </w:r>
      <w:r w:rsidR="008556F3" w:rsidRPr="000D67C6">
        <w:rPr>
          <w:rFonts w:ascii="Arial" w:eastAsia="Times New Roman" w:hAnsi="Arial" w:cs="Arial"/>
          <w:sz w:val="22"/>
          <w:szCs w:val="22"/>
          <w:lang w:val="en-GB"/>
        </w:rPr>
        <w:t xml:space="preserve"> a sum of</w:t>
      </w:r>
      <w:r w:rsidR="00E671B6" w:rsidRPr="000D67C6">
        <w:rPr>
          <w:rFonts w:ascii="Arial" w:eastAsia="Times New Roman" w:hAnsi="Arial" w:cs="Arial"/>
          <w:sz w:val="22"/>
          <w:szCs w:val="22"/>
          <w:lang w:val="en-GB"/>
        </w:rPr>
        <w:t xml:space="preserve"> </w:t>
      </w:r>
      <w:r w:rsidR="00060CD3" w:rsidRPr="000D67C6">
        <w:rPr>
          <w:rFonts w:ascii="Arial" w:eastAsia="Times New Roman" w:hAnsi="Arial" w:cs="Arial"/>
          <w:sz w:val="22"/>
          <w:szCs w:val="22"/>
          <w:lang w:val="en-GB"/>
        </w:rPr>
        <w:t>£</w:t>
      </w:r>
      <w:r w:rsidR="003E3D0D" w:rsidRPr="000D67C6">
        <w:rPr>
          <w:rFonts w:ascii="Arial" w:eastAsia="Times New Roman" w:hAnsi="Arial" w:cs="Arial"/>
          <w:sz w:val="22"/>
          <w:szCs w:val="22"/>
          <w:lang w:val="en-GB"/>
        </w:rPr>
        <w:t>729</w:t>
      </w:r>
      <w:r w:rsidR="00E671B6" w:rsidRPr="000D67C6">
        <w:rPr>
          <w:rFonts w:ascii="Arial" w:eastAsia="Times New Roman" w:hAnsi="Arial" w:cs="Arial"/>
          <w:sz w:val="22"/>
          <w:szCs w:val="22"/>
          <w:lang w:val="en-GB"/>
        </w:rPr>
        <w:t>k was appropriated to Earmarked Reserve</w:t>
      </w:r>
      <w:r w:rsidR="008556F3" w:rsidRPr="000D67C6">
        <w:rPr>
          <w:rFonts w:ascii="Arial" w:eastAsia="Times New Roman" w:hAnsi="Arial" w:cs="Arial"/>
          <w:sz w:val="22"/>
          <w:szCs w:val="22"/>
          <w:lang w:val="en-GB"/>
        </w:rPr>
        <w:t>s</w:t>
      </w:r>
      <w:r w:rsidR="00503BEA" w:rsidRPr="000D67C6">
        <w:rPr>
          <w:rFonts w:ascii="Arial" w:eastAsia="Times New Roman" w:hAnsi="Arial" w:cs="Arial"/>
          <w:sz w:val="22"/>
          <w:szCs w:val="22"/>
          <w:lang w:val="en-GB"/>
        </w:rPr>
        <w:t xml:space="preserve">, </w:t>
      </w:r>
      <w:r w:rsidR="00B4735B" w:rsidRPr="000D67C6">
        <w:rPr>
          <w:rFonts w:ascii="Arial" w:eastAsia="Times New Roman" w:hAnsi="Arial" w:cs="Arial"/>
          <w:sz w:val="22"/>
          <w:szCs w:val="22"/>
          <w:lang w:val="en-GB"/>
        </w:rPr>
        <w:t xml:space="preserve">including </w:t>
      </w:r>
      <w:r w:rsidR="00D0496C" w:rsidRPr="000D67C6">
        <w:rPr>
          <w:rFonts w:ascii="Arial" w:eastAsia="Times New Roman" w:hAnsi="Arial" w:cs="Arial"/>
          <w:sz w:val="22"/>
          <w:szCs w:val="22"/>
          <w:lang w:val="en-GB"/>
        </w:rPr>
        <w:t>£400k for Northern Area Development</w:t>
      </w:r>
      <w:r w:rsidR="00072DD8" w:rsidRPr="000D67C6">
        <w:rPr>
          <w:rFonts w:ascii="Arial" w:eastAsia="Times New Roman" w:hAnsi="Arial" w:cs="Arial"/>
          <w:sz w:val="22"/>
          <w:szCs w:val="22"/>
          <w:lang w:val="en-GB"/>
        </w:rPr>
        <w:t xml:space="preserve">, </w:t>
      </w:r>
      <w:r w:rsidR="00AB4C3E" w:rsidRPr="000D67C6">
        <w:rPr>
          <w:rFonts w:ascii="Arial" w:eastAsia="Times New Roman" w:hAnsi="Arial" w:cs="Arial"/>
          <w:sz w:val="22"/>
          <w:szCs w:val="22"/>
          <w:lang w:val="en-GB"/>
        </w:rPr>
        <w:t xml:space="preserve">£314k for </w:t>
      </w:r>
      <w:r w:rsidR="00072DD8" w:rsidRPr="000D67C6">
        <w:rPr>
          <w:rFonts w:ascii="Arial" w:eastAsia="Times New Roman" w:hAnsi="Arial" w:cs="Arial"/>
          <w:sz w:val="22"/>
          <w:szCs w:val="22"/>
          <w:lang w:val="en-GB"/>
        </w:rPr>
        <w:t>revenue budget slippage</w:t>
      </w:r>
      <w:r w:rsidR="00AB4C3E" w:rsidRPr="000D67C6">
        <w:rPr>
          <w:rFonts w:ascii="Arial" w:eastAsia="Times New Roman" w:hAnsi="Arial" w:cs="Arial"/>
          <w:sz w:val="22"/>
          <w:szCs w:val="22"/>
          <w:lang w:val="en-GB"/>
        </w:rPr>
        <w:t>, £15k</w:t>
      </w:r>
      <w:r w:rsidR="008556F3" w:rsidRPr="000D67C6">
        <w:rPr>
          <w:rFonts w:ascii="Arial" w:eastAsia="Times New Roman" w:hAnsi="Arial" w:cs="Arial"/>
          <w:sz w:val="22"/>
          <w:szCs w:val="22"/>
          <w:lang w:val="en-GB"/>
        </w:rPr>
        <w:t xml:space="preserve"> </w:t>
      </w:r>
      <w:r w:rsidR="00F07CF8" w:rsidRPr="000D67C6">
        <w:rPr>
          <w:rFonts w:ascii="Arial" w:eastAsia="Times New Roman" w:hAnsi="Arial" w:cs="Arial"/>
          <w:sz w:val="22"/>
          <w:szCs w:val="22"/>
          <w:lang w:val="en-GB"/>
        </w:rPr>
        <w:t>for ring-fenced activities</w:t>
      </w:r>
      <w:r w:rsidR="00912094" w:rsidRPr="000D67C6">
        <w:rPr>
          <w:rFonts w:ascii="Arial" w:eastAsia="Times New Roman" w:hAnsi="Arial" w:cs="Arial"/>
          <w:sz w:val="22"/>
          <w:szCs w:val="22"/>
          <w:lang w:val="en-GB"/>
        </w:rPr>
        <w:t>, resulting in a surplus of</w:t>
      </w:r>
      <w:r w:rsidR="00AB4C3E" w:rsidRPr="000D67C6">
        <w:rPr>
          <w:rFonts w:ascii="Arial" w:eastAsia="Times New Roman" w:hAnsi="Arial" w:cs="Arial"/>
          <w:sz w:val="22"/>
          <w:szCs w:val="22"/>
          <w:lang w:val="en-GB"/>
        </w:rPr>
        <w:t xml:space="preserve"> £</w:t>
      </w:r>
      <w:r w:rsidR="009145DD" w:rsidRPr="000D67C6">
        <w:rPr>
          <w:rFonts w:ascii="Arial" w:eastAsia="Times New Roman" w:hAnsi="Arial" w:cs="Arial"/>
          <w:sz w:val="22"/>
          <w:szCs w:val="22"/>
          <w:lang w:val="en-GB"/>
        </w:rPr>
        <w:t>173</w:t>
      </w:r>
      <w:r w:rsidR="00AB4C3E" w:rsidRPr="000D67C6">
        <w:rPr>
          <w:rFonts w:ascii="Arial" w:eastAsia="Times New Roman" w:hAnsi="Arial" w:cs="Arial"/>
          <w:sz w:val="22"/>
          <w:szCs w:val="22"/>
          <w:lang w:val="en-GB"/>
        </w:rPr>
        <w:t>k</w:t>
      </w:r>
      <w:r w:rsidR="005A2FD2" w:rsidRPr="000D67C6">
        <w:rPr>
          <w:rFonts w:ascii="Arial" w:eastAsia="Times New Roman" w:hAnsi="Arial" w:cs="Arial"/>
          <w:sz w:val="22"/>
          <w:szCs w:val="22"/>
          <w:lang w:val="en-GB"/>
        </w:rPr>
        <w:t xml:space="preserve">. The </w:t>
      </w:r>
      <w:r w:rsidR="00470428" w:rsidRPr="000D67C6">
        <w:rPr>
          <w:rFonts w:ascii="Arial" w:eastAsia="Times New Roman" w:hAnsi="Arial" w:cs="Arial"/>
          <w:sz w:val="22"/>
          <w:szCs w:val="22"/>
          <w:lang w:val="en-GB"/>
        </w:rPr>
        <w:t xml:space="preserve">surplus </w:t>
      </w:r>
      <w:r w:rsidR="005A2FD2" w:rsidRPr="000D67C6">
        <w:rPr>
          <w:rFonts w:ascii="Arial" w:eastAsia="Times New Roman" w:hAnsi="Arial" w:cs="Arial"/>
          <w:sz w:val="22"/>
          <w:szCs w:val="22"/>
          <w:lang w:val="en-GB"/>
        </w:rPr>
        <w:t>has been transferred to the General Fund Balance</w:t>
      </w:r>
      <w:r w:rsidR="00470428" w:rsidRPr="000D67C6">
        <w:rPr>
          <w:rFonts w:ascii="Arial" w:eastAsia="Times New Roman" w:hAnsi="Arial" w:cs="Arial"/>
          <w:sz w:val="22"/>
          <w:szCs w:val="22"/>
          <w:lang w:val="en-GB"/>
        </w:rPr>
        <w:t xml:space="preserve">. </w:t>
      </w:r>
      <w:r w:rsidR="00DD7E37" w:rsidRPr="000D67C6">
        <w:rPr>
          <w:rFonts w:ascii="Arial" w:eastAsia="Times New Roman" w:hAnsi="Arial" w:cs="Arial"/>
          <w:sz w:val="22"/>
          <w:szCs w:val="22"/>
          <w:lang w:val="en-GB"/>
        </w:rPr>
        <w:t xml:space="preserve">Outturn is based on actuals at the time of preparing the accounts. </w:t>
      </w:r>
    </w:p>
    <w:p w14:paraId="253A84C8" w14:textId="77777777" w:rsidR="001624B9" w:rsidRPr="000D67C6" w:rsidRDefault="001624B9" w:rsidP="00033B69">
      <w:pPr>
        <w:pStyle w:val="Normal0"/>
        <w:spacing w:line="259" w:lineRule="auto"/>
        <w:jc w:val="both"/>
        <w:rPr>
          <w:rFonts w:ascii="Arial" w:eastAsia="Times New Roman" w:hAnsi="Arial" w:cs="Arial"/>
          <w:sz w:val="22"/>
          <w:szCs w:val="22"/>
          <w:lang w:val="en-GB"/>
        </w:rPr>
      </w:pPr>
    </w:p>
    <w:p w14:paraId="5104BF14" w14:textId="77777777" w:rsidR="008F013B" w:rsidRPr="000D67C6" w:rsidRDefault="001624B9" w:rsidP="00033B69">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Revenue for the year compared to budget is detailed in the following table:</w:t>
      </w:r>
    </w:p>
    <w:p w14:paraId="3E23349D" w14:textId="77777777" w:rsidR="008F013B" w:rsidRPr="000D67C6" w:rsidRDefault="008F013B" w:rsidP="008F013B">
      <w:pPr>
        <w:pStyle w:val="Normal0"/>
        <w:spacing w:line="259" w:lineRule="auto"/>
        <w:rPr>
          <w:rFonts w:ascii="Arial" w:eastAsia="Times New Roman" w:hAnsi="Arial" w:cs="Arial"/>
          <w:b/>
          <w:sz w:val="22"/>
          <w:szCs w:val="22"/>
          <w:lang w:val="en-GB"/>
        </w:rPr>
      </w:pPr>
    </w:p>
    <w:tbl>
      <w:tblPr>
        <w:tblW w:w="8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1402"/>
        <w:gridCol w:w="1403"/>
        <w:gridCol w:w="1403"/>
      </w:tblGrid>
      <w:tr w:rsidR="003D3EAE" w:rsidRPr="000D67C6" w14:paraId="31864B5C" w14:textId="77777777" w:rsidTr="00033B69">
        <w:trPr>
          <w:trHeight w:val="288"/>
          <w:jc w:val="center"/>
        </w:trPr>
        <w:tc>
          <w:tcPr>
            <w:tcW w:w="3823" w:type="dxa"/>
            <w:tcBorders>
              <w:top w:val="single" w:sz="4" w:space="0" w:color="auto"/>
              <w:bottom w:val="nil"/>
              <w:right w:val="single" w:sz="4" w:space="0" w:color="auto"/>
            </w:tcBorders>
            <w:shd w:val="clear" w:color="auto" w:fill="auto"/>
            <w:noWrap/>
            <w:vAlign w:val="bottom"/>
            <w:hideMark/>
          </w:tcPr>
          <w:p w14:paraId="67A63669" w14:textId="77777777" w:rsidR="002D2214" w:rsidRPr="000D67C6" w:rsidRDefault="007C4B12" w:rsidP="002D2214">
            <w:pPr>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Outturn for the year 201</w:t>
            </w:r>
            <w:r w:rsidR="00C002D2" w:rsidRPr="000D67C6">
              <w:rPr>
                <w:rFonts w:ascii="Arial" w:eastAsia="Times New Roman" w:hAnsi="Arial" w:cs="Arial"/>
                <w:b/>
                <w:bCs/>
                <w:sz w:val="22"/>
                <w:szCs w:val="22"/>
                <w:lang w:val="en-GB" w:eastAsia="en-GB"/>
              </w:rPr>
              <w:t>8</w:t>
            </w:r>
            <w:r w:rsidRPr="000D67C6">
              <w:rPr>
                <w:rFonts w:ascii="Arial" w:eastAsia="Times New Roman" w:hAnsi="Arial" w:cs="Arial"/>
                <w:b/>
                <w:bCs/>
                <w:sz w:val="22"/>
                <w:szCs w:val="22"/>
                <w:lang w:val="en-GB" w:eastAsia="en-GB"/>
              </w:rPr>
              <w:t>/1</w:t>
            </w:r>
            <w:r w:rsidR="00C002D2" w:rsidRPr="000D67C6">
              <w:rPr>
                <w:rFonts w:ascii="Arial" w:eastAsia="Times New Roman" w:hAnsi="Arial" w:cs="Arial"/>
                <w:b/>
                <w:bCs/>
                <w:sz w:val="22"/>
                <w:szCs w:val="22"/>
                <w:lang w:val="en-GB" w:eastAsia="en-GB"/>
              </w:rPr>
              <w:t>9</w:t>
            </w:r>
          </w:p>
        </w:tc>
        <w:tc>
          <w:tcPr>
            <w:tcW w:w="1402" w:type="dxa"/>
            <w:tcBorders>
              <w:top w:val="single" w:sz="4" w:space="0" w:color="auto"/>
              <w:left w:val="single" w:sz="4" w:space="0" w:color="auto"/>
              <w:bottom w:val="nil"/>
              <w:right w:val="single" w:sz="4" w:space="0" w:color="auto"/>
            </w:tcBorders>
            <w:shd w:val="clear" w:color="auto" w:fill="auto"/>
            <w:noWrap/>
            <w:vAlign w:val="bottom"/>
            <w:hideMark/>
          </w:tcPr>
          <w:p w14:paraId="6E825001"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Budget</w:t>
            </w:r>
          </w:p>
        </w:tc>
        <w:tc>
          <w:tcPr>
            <w:tcW w:w="1403" w:type="dxa"/>
            <w:tcBorders>
              <w:top w:val="single" w:sz="4" w:space="0" w:color="auto"/>
              <w:left w:val="single" w:sz="4" w:space="0" w:color="auto"/>
              <w:bottom w:val="nil"/>
              <w:right w:val="single" w:sz="4" w:space="0" w:color="auto"/>
            </w:tcBorders>
            <w:shd w:val="clear" w:color="auto" w:fill="auto"/>
            <w:noWrap/>
            <w:vAlign w:val="bottom"/>
            <w:hideMark/>
          </w:tcPr>
          <w:p w14:paraId="18442BDB"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Actual</w:t>
            </w:r>
          </w:p>
        </w:tc>
        <w:tc>
          <w:tcPr>
            <w:tcW w:w="1403" w:type="dxa"/>
            <w:tcBorders>
              <w:top w:val="single" w:sz="4" w:space="0" w:color="auto"/>
              <w:left w:val="single" w:sz="4" w:space="0" w:color="auto"/>
              <w:bottom w:val="nil"/>
            </w:tcBorders>
            <w:shd w:val="clear" w:color="auto" w:fill="auto"/>
            <w:noWrap/>
            <w:vAlign w:val="bottom"/>
            <w:hideMark/>
          </w:tcPr>
          <w:p w14:paraId="0A531CD8"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Variance</w:t>
            </w:r>
          </w:p>
        </w:tc>
      </w:tr>
      <w:tr w:rsidR="003D3EAE" w:rsidRPr="000D67C6" w14:paraId="781DCE4B" w14:textId="77777777" w:rsidTr="00033B69">
        <w:trPr>
          <w:trHeight w:val="288"/>
          <w:jc w:val="center"/>
        </w:trPr>
        <w:tc>
          <w:tcPr>
            <w:tcW w:w="3823" w:type="dxa"/>
            <w:tcBorders>
              <w:top w:val="nil"/>
              <w:bottom w:val="single" w:sz="4" w:space="0" w:color="auto"/>
              <w:right w:val="single" w:sz="4" w:space="0" w:color="auto"/>
            </w:tcBorders>
            <w:shd w:val="clear" w:color="auto" w:fill="auto"/>
            <w:noWrap/>
            <w:vAlign w:val="bottom"/>
            <w:hideMark/>
          </w:tcPr>
          <w:p w14:paraId="0805C771" w14:textId="77777777" w:rsidR="002D2214" w:rsidRPr="000D67C6" w:rsidRDefault="002D2214" w:rsidP="002D2214">
            <w:pPr>
              <w:jc w:val="right"/>
              <w:rPr>
                <w:rFonts w:ascii="Arial" w:eastAsia="Times New Roman" w:hAnsi="Arial" w:cs="Arial"/>
                <w:b/>
                <w:bCs/>
                <w:sz w:val="22"/>
                <w:szCs w:val="22"/>
                <w:lang w:val="en-GB" w:eastAsia="en-GB"/>
              </w:rPr>
            </w:pP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60C0E44F"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£000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303959F"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£000</w:t>
            </w:r>
          </w:p>
        </w:tc>
        <w:tc>
          <w:tcPr>
            <w:tcW w:w="1403" w:type="dxa"/>
            <w:tcBorders>
              <w:top w:val="nil"/>
              <w:left w:val="single" w:sz="4" w:space="0" w:color="auto"/>
              <w:bottom w:val="single" w:sz="4" w:space="0" w:color="auto"/>
            </w:tcBorders>
            <w:shd w:val="clear" w:color="auto" w:fill="auto"/>
            <w:noWrap/>
            <w:vAlign w:val="bottom"/>
            <w:hideMark/>
          </w:tcPr>
          <w:p w14:paraId="1B8FD652" w14:textId="77777777" w:rsidR="002D2214" w:rsidRPr="000D67C6" w:rsidRDefault="002D2214"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£000</w:t>
            </w:r>
          </w:p>
        </w:tc>
      </w:tr>
      <w:tr w:rsidR="003D3EAE" w:rsidRPr="000D67C6" w14:paraId="4816A532" w14:textId="77777777" w:rsidTr="00EB3F39">
        <w:trPr>
          <w:trHeight w:val="288"/>
          <w:jc w:val="center"/>
        </w:trPr>
        <w:tc>
          <w:tcPr>
            <w:tcW w:w="3823" w:type="dxa"/>
            <w:tcBorders>
              <w:top w:val="single" w:sz="4" w:space="0" w:color="auto"/>
              <w:right w:val="single" w:sz="4" w:space="0" w:color="auto"/>
            </w:tcBorders>
            <w:shd w:val="clear" w:color="auto" w:fill="auto"/>
            <w:noWrap/>
            <w:vAlign w:val="center"/>
            <w:hideMark/>
          </w:tcPr>
          <w:p w14:paraId="2A801087" w14:textId="77777777" w:rsidR="002D2214" w:rsidRPr="000D67C6" w:rsidRDefault="002D2214" w:rsidP="002D2214">
            <w:pPr>
              <w:rPr>
                <w:rFonts w:ascii="Arial" w:eastAsia="Times New Roman" w:hAnsi="Arial" w:cs="Arial"/>
                <w:b/>
                <w:sz w:val="22"/>
                <w:szCs w:val="22"/>
                <w:lang w:val="en-GB" w:eastAsia="en-GB"/>
              </w:rPr>
            </w:pPr>
            <w:r w:rsidRPr="000D67C6">
              <w:rPr>
                <w:rFonts w:ascii="Arial" w:eastAsia="Times New Roman" w:hAnsi="Arial" w:cs="Arial"/>
                <w:b/>
                <w:sz w:val="22"/>
                <w:szCs w:val="22"/>
                <w:lang w:val="en-GB" w:eastAsia="en-GB"/>
              </w:rPr>
              <w:t>Revenue</w:t>
            </w:r>
          </w:p>
        </w:tc>
        <w:tc>
          <w:tcPr>
            <w:tcW w:w="1402" w:type="dxa"/>
            <w:tcBorders>
              <w:top w:val="single" w:sz="4" w:space="0" w:color="auto"/>
              <w:left w:val="single" w:sz="4" w:space="0" w:color="auto"/>
              <w:bottom w:val="nil"/>
              <w:right w:val="single" w:sz="4" w:space="0" w:color="auto"/>
            </w:tcBorders>
            <w:shd w:val="clear" w:color="auto" w:fill="auto"/>
            <w:noWrap/>
            <w:vAlign w:val="center"/>
            <w:hideMark/>
          </w:tcPr>
          <w:p w14:paraId="0E06D97F" w14:textId="77777777" w:rsidR="002D2214" w:rsidRPr="000D67C6" w:rsidRDefault="002D2214" w:rsidP="002D2214">
            <w:pPr>
              <w:rPr>
                <w:rFonts w:ascii="Arial" w:eastAsia="Times New Roman" w:hAnsi="Arial" w:cs="Arial"/>
                <w:sz w:val="22"/>
                <w:szCs w:val="22"/>
                <w:lang w:val="en-GB" w:eastAsia="en-GB"/>
              </w:rPr>
            </w:pPr>
          </w:p>
        </w:tc>
        <w:tc>
          <w:tcPr>
            <w:tcW w:w="1403" w:type="dxa"/>
            <w:tcBorders>
              <w:top w:val="single" w:sz="4" w:space="0" w:color="auto"/>
              <w:left w:val="single" w:sz="4" w:space="0" w:color="auto"/>
              <w:bottom w:val="nil"/>
              <w:right w:val="single" w:sz="4" w:space="0" w:color="auto"/>
            </w:tcBorders>
            <w:shd w:val="clear" w:color="auto" w:fill="auto"/>
            <w:noWrap/>
            <w:vAlign w:val="center"/>
            <w:hideMark/>
          </w:tcPr>
          <w:p w14:paraId="37D2976F" w14:textId="77777777" w:rsidR="002D2214" w:rsidRPr="000D67C6" w:rsidRDefault="002D2214" w:rsidP="002D2214">
            <w:pPr>
              <w:jc w:val="right"/>
              <w:rPr>
                <w:rFonts w:ascii="Arial" w:eastAsia="Times New Roman" w:hAnsi="Arial" w:cs="Arial"/>
                <w:sz w:val="22"/>
                <w:szCs w:val="22"/>
                <w:lang w:val="en-GB" w:eastAsia="en-GB"/>
              </w:rPr>
            </w:pPr>
          </w:p>
        </w:tc>
        <w:tc>
          <w:tcPr>
            <w:tcW w:w="1403" w:type="dxa"/>
            <w:tcBorders>
              <w:top w:val="single" w:sz="4" w:space="0" w:color="auto"/>
              <w:left w:val="single" w:sz="4" w:space="0" w:color="auto"/>
            </w:tcBorders>
            <w:shd w:val="clear" w:color="auto" w:fill="auto"/>
            <w:noWrap/>
            <w:vAlign w:val="center"/>
            <w:hideMark/>
          </w:tcPr>
          <w:p w14:paraId="25083CF1" w14:textId="77777777" w:rsidR="002D2214" w:rsidRPr="000D67C6" w:rsidRDefault="002D2214" w:rsidP="002D2214">
            <w:pPr>
              <w:jc w:val="right"/>
              <w:rPr>
                <w:rFonts w:ascii="Arial" w:eastAsia="Times New Roman" w:hAnsi="Arial" w:cs="Arial"/>
                <w:sz w:val="22"/>
                <w:szCs w:val="22"/>
                <w:lang w:val="en-GB" w:eastAsia="en-GB"/>
              </w:rPr>
            </w:pPr>
          </w:p>
        </w:tc>
      </w:tr>
      <w:tr w:rsidR="003D3EAE" w:rsidRPr="000D67C6" w14:paraId="0AE8F54A" w14:textId="77777777" w:rsidTr="00EB3F39">
        <w:trPr>
          <w:trHeight w:val="363"/>
          <w:jc w:val="center"/>
        </w:trPr>
        <w:tc>
          <w:tcPr>
            <w:tcW w:w="3823" w:type="dxa"/>
            <w:tcBorders>
              <w:right w:val="single" w:sz="4" w:space="0" w:color="auto"/>
            </w:tcBorders>
            <w:shd w:val="clear" w:color="auto" w:fill="auto"/>
            <w:noWrap/>
            <w:vAlign w:val="center"/>
            <w:hideMark/>
          </w:tcPr>
          <w:p w14:paraId="27CC391F" w14:textId="77777777" w:rsidR="002D2214" w:rsidRPr="000D67C6" w:rsidRDefault="002D2214" w:rsidP="002D2214">
            <w:pPr>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Expenditure including grants</w:t>
            </w:r>
          </w:p>
        </w:tc>
        <w:tc>
          <w:tcPr>
            <w:tcW w:w="1402" w:type="dxa"/>
            <w:tcBorders>
              <w:top w:val="nil"/>
              <w:left w:val="single" w:sz="4" w:space="0" w:color="auto"/>
              <w:bottom w:val="nil"/>
              <w:right w:val="single" w:sz="4" w:space="0" w:color="auto"/>
            </w:tcBorders>
            <w:shd w:val="clear" w:color="auto" w:fill="auto"/>
            <w:noWrap/>
            <w:vAlign w:val="center"/>
          </w:tcPr>
          <w:p w14:paraId="60B81873" w14:textId="77777777" w:rsidR="002D2214" w:rsidRPr="000D67C6" w:rsidRDefault="003837AB"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50,909</w:t>
            </w:r>
          </w:p>
        </w:tc>
        <w:tc>
          <w:tcPr>
            <w:tcW w:w="1403" w:type="dxa"/>
            <w:tcBorders>
              <w:top w:val="nil"/>
              <w:left w:val="single" w:sz="4" w:space="0" w:color="auto"/>
              <w:bottom w:val="nil"/>
              <w:right w:val="single" w:sz="4" w:space="0" w:color="auto"/>
            </w:tcBorders>
            <w:shd w:val="clear" w:color="auto" w:fill="auto"/>
            <w:noWrap/>
            <w:vAlign w:val="center"/>
          </w:tcPr>
          <w:p w14:paraId="118EEAD7" w14:textId="77777777" w:rsidR="002D2214" w:rsidRPr="000D67C6" w:rsidRDefault="009273AD"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50,1</w:t>
            </w:r>
            <w:r w:rsidR="009C6B1F" w:rsidRPr="000D67C6">
              <w:rPr>
                <w:rFonts w:ascii="Arial" w:eastAsia="Times New Roman" w:hAnsi="Arial" w:cs="Arial"/>
                <w:sz w:val="22"/>
                <w:szCs w:val="22"/>
                <w:lang w:val="en-GB" w:eastAsia="en-GB"/>
              </w:rPr>
              <w:t>80</w:t>
            </w:r>
          </w:p>
        </w:tc>
        <w:tc>
          <w:tcPr>
            <w:tcW w:w="1403" w:type="dxa"/>
            <w:tcBorders>
              <w:left w:val="single" w:sz="4" w:space="0" w:color="auto"/>
            </w:tcBorders>
            <w:shd w:val="clear" w:color="auto" w:fill="auto"/>
            <w:noWrap/>
            <w:vAlign w:val="center"/>
          </w:tcPr>
          <w:p w14:paraId="32D405A2" w14:textId="77777777" w:rsidR="002D2214" w:rsidRPr="000D67C6" w:rsidRDefault="00133576"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2A40DF" w:rsidRPr="000D67C6">
              <w:rPr>
                <w:rFonts w:ascii="Arial" w:eastAsia="Times New Roman" w:hAnsi="Arial" w:cs="Arial"/>
                <w:sz w:val="22"/>
                <w:szCs w:val="22"/>
                <w:lang w:val="en-GB" w:eastAsia="en-GB"/>
              </w:rPr>
              <w:t>729</w:t>
            </w:r>
            <w:r w:rsidRPr="000D67C6">
              <w:rPr>
                <w:rFonts w:ascii="Arial" w:eastAsia="Times New Roman" w:hAnsi="Arial" w:cs="Arial"/>
                <w:sz w:val="22"/>
                <w:szCs w:val="22"/>
                <w:lang w:val="en-GB" w:eastAsia="en-GB"/>
              </w:rPr>
              <w:t>)</w:t>
            </w:r>
          </w:p>
        </w:tc>
      </w:tr>
      <w:tr w:rsidR="003D3EAE" w:rsidRPr="000D67C6" w14:paraId="52FC3D60" w14:textId="77777777" w:rsidTr="00EB3F39">
        <w:trPr>
          <w:trHeight w:val="363"/>
          <w:jc w:val="center"/>
        </w:trPr>
        <w:tc>
          <w:tcPr>
            <w:tcW w:w="3823" w:type="dxa"/>
            <w:tcBorders>
              <w:right w:val="single" w:sz="4" w:space="0" w:color="auto"/>
            </w:tcBorders>
            <w:shd w:val="clear" w:color="auto" w:fill="auto"/>
            <w:noWrap/>
            <w:vAlign w:val="center"/>
            <w:hideMark/>
          </w:tcPr>
          <w:p w14:paraId="2616DEC4" w14:textId="77777777" w:rsidR="002D2214" w:rsidRPr="000D67C6" w:rsidRDefault="002D2214" w:rsidP="002D2214">
            <w:pPr>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Income including grants</w:t>
            </w:r>
          </w:p>
        </w:tc>
        <w:tc>
          <w:tcPr>
            <w:tcW w:w="1402" w:type="dxa"/>
            <w:tcBorders>
              <w:top w:val="nil"/>
              <w:left w:val="single" w:sz="4" w:space="0" w:color="auto"/>
              <w:bottom w:val="nil"/>
              <w:right w:val="single" w:sz="4" w:space="0" w:color="auto"/>
            </w:tcBorders>
            <w:shd w:val="clear" w:color="auto" w:fill="auto"/>
            <w:noWrap/>
            <w:vAlign w:val="center"/>
          </w:tcPr>
          <w:p w14:paraId="566CD899" w14:textId="77777777" w:rsidR="002D2214" w:rsidRPr="000D67C6" w:rsidRDefault="00790D8B"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(4,100)</w:t>
            </w:r>
          </w:p>
        </w:tc>
        <w:tc>
          <w:tcPr>
            <w:tcW w:w="1403" w:type="dxa"/>
            <w:tcBorders>
              <w:top w:val="nil"/>
              <w:left w:val="single" w:sz="4" w:space="0" w:color="auto"/>
              <w:bottom w:val="nil"/>
              <w:right w:val="single" w:sz="4" w:space="0" w:color="auto"/>
            </w:tcBorders>
            <w:shd w:val="clear" w:color="auto" w:fill="auto"/>
            <w:noWrap/>
            <w:vAlign w:val="center"/>
          </w:tcPr>
          <w:p w14:paraId="28BE45CB" w14:textId="77777777" w:rsidR="002D2214" w:rsidRPr="000D67C6" w:rsidRDefault="009273AD"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(4,42</w:t>
            </w:r>
            <w:r w:rsidR="00330E77" w:rsidRPr="000D67C6">
              <w:rPr>
                <w:rFonts w:ascii="Arial" w:eastAsia="Times New Roman" w:hAnsi="Arial" w:cs="Arial"/>
                <w:sz w:val="22"/>
                <w:szCs w:val="22"/>
                <w:lang w:val="en-GB" w:eastAsia="en-GB"/>
              </w:rPr>
              <w:t>3</w:t>
            </w:r>
            <w:r w:rsidRPr="000D67C6">
              <w:rPr>
                <w:rFonts w:ascii="Arial" w:eastAsia="Times New Roman" w:hAnsi="Arial" w:cs="Arial"/>
                <w:sz w:val="22"/>
                <w:szCs w:val="22"/>
                <w:lang w:val="en-GB" w:eastAsia="en-GB"/>
              </w:rPr>
              <w:t>)</w:t>
            </w:r>
          </w:p>
        </w:tc>
        <w:tc>
          <w:tcPr>
            <w:tcW w:w="1403" w:type="dxa"/>
            <w:tcBorders>
              <w:left w:val="single" w:sz="4" w:space="0" w:color="auto"/>
            </w:tcBorders>
            <w:shd w:val="clear" w:color="auto" w:fill="auto"/>
            <w:noWrap/>
            <w:vAlign w:val="center"/>
          </w:tcPr>
          <w:p w14:paraId="268838EA" w14:textId="77777777" w:rsidR="002D2214" w:rsidRPr="000D67C6" w:rsidRDefault="00E24C8D"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(32</w:t>
            </w:r>
            <w:r w:rsidR="00C87887" w:rsidRPr="000D67C6">
              <w:rPr>
                <w:rFonts w:ascii="Arial" w:eastAsia="Times New Roman" w:hAnsi="Arial" w:cs="Arial"/>
                <w:sz w:val="22"/>
                <w:szCs w:val="22"/>
                <w:lang w:val="en-GB" w:eastAsia="en-GB"/>
              </w:rPr>
              <w:t>3</w:t>
            </w:r>
            <w:r w:rsidRPr="000D67C6">
              <w:rPr>
                <w:rFonts w:ascii="Arial" w:eastAsia="Times New Roman" w:hAnsi="Arial" w:cs="Arial"/>
                <w:sz w:val="22"/>
                <w:szCs w:val="22"/>
                <w:lang w:val="en-GB" w:eastAsia="en-GB"/>
              </w:rPr>
              <w:t>)</w:t>
            </w:r>
          </w:p>
        </w:tc>
      </w:tr>
      <w:tr w:rsidR="003D3EAE" w:rsidRPr="000D67C6" w14:paraId="55521FBA" w14:textId="77777777" w:rsidTr="00EB3F39">
        <w:trPr>
          <w:trHeight w:val="363"/>
          <w:jc w:val="center"/>
        </w:trPr>
        <w:tc>
          <w:tcPr>
            <w:tcW w:w="3823" w:type="dxa"/>
            <w:tcBorders>
              <w:right w:val="single" w:sz="4" w:space="0" w:color="auto"/>
            </w:tcBorders>
            <w:shd w:val="clear" w:color="auto" w:fill="auto"/>
            <w:noWrap/>
            <w:vAlign w:val="center"/>
            <w:hideMark/>
          </w:tcPr>
          <w:p w14:paraId="31CB79F2" w14:textId="77777777" w:rsidR="002D2214" w:rsidRPr="000D67C6" w:rsidRDefault="002D2214" w:rsidP="002D2214">
            <w:pPr>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Net Expenditure including grants</w:t>
            </w:r>
          </w:p>
        </w:tc>
        <w:tc>
          <w:tcPr>
            <w:tcW w:w="1402" w:type="dxa"/>
            <w:tcBorders>
              <w:top w:val="nil"/>
              <w:left w:val="single" w:sz="4" w:space="0" w:color="auto"/>
              <w:bottom w:val="nil"/>
              <w:right w:val="single" w:sz="4" w:space="0" w:color="auto"/>
            </w:tcBorders>
            <w:shd w:val="clear" w:color="auto" w:fill="auto"/>
            <w:noWrap/>
            <w:vAlign w:val="center"/>
          </w:tcPr>
          <w:p w14:paraId="66120C3B" w14:textId="77777777" w:rsidR="002D2214" w:rsidRPr="000D67C6" w:rsidRDefault="00790D8B"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46,809</w:t>
            </w:r>
          </w:p>
        </w:tc>
        <w:tc>
          <w:tcPr>
            <w:tcW w:w="1403" w:type="dxa"/>
            <w:tcBorders>
              <w:top w:val="nil"/>
              <w:left w:val="single" w:sz="4" w:space="0" w:color="auto"/>
              <w:bottom w:val="nil"/>
              <w:right w:val="single" w:sz="4" w:space="0" w:color="auto"/>
            </w:tcBorders>
            <w:shd w:val="clear" w:color="auto" w:fill="auto"/>
            <w:noWrap/>
            <w:vAlign w:val="center"/>
          </w:tcPr>
          <w:p w14:paraId="5D6C3309" w14:textId="77777777" w:rsidR="002D2214" w:rsidRPr="000D67C6" w:rsidRDefault="009273AD"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45,</w:t>
            </w:r>
            <w:r w:rsidR="009145DD" w:rsidRPr="000D67C6">
              <w:rPr>
                <w:rFonts w:ascii="Arial" w:eastAsia="Times New Roman" w:hAnsi="Arial" w:cs="Arial"/>
                <w:b/>
                <w:bCs/>
                <w:sz w:val="22"/>
                <w:szCs w:val="22"/>
                <w:lang w:val="en-GB" w:eastAsia="en-GB"/>
              </w:rPr>
              <w:t>75</w:t>
            </w:r>
            <w:r w:rsidR="00A128DC" w:rsidRPr="000D67C6">
              <w:rPr>
                <w:rFonts w:ascii="Arial" w:eastAsia="Times New Roman" w:hAnsi="Arial" w:cs="Arial"/>
                <w:b/>
                <w:bCs/>
                <w:sz w:val="22"/>
                <w:szCs w:val="22"/>
                <w:lang w:val="en-GB" w:eastAsia="en-GB"/>
              </w:rPr>
              <w:t>7</w:t>
            </w:r>
          </w:p>
        </w:tc>
        <w:tc>
          <w:tcPr>
            <w:tcW w:w="1403" w:type="dxa"/>
            <w:tcBorders>
              <w:left w:val="single" w:sz="4" w:space="0" w:color="auto"/>
            </w:tcBorders>
            <w:shd w:val="clear" w:color="auto" w:fill="auto"/>
            <w:noWrap/>
            <w:vAlign w:val="center"/>
          </w:tcPr>
          <w:p w14:paraId="1AEEC6ED" w14:textId="77777777" w:rsidR="002D2214" w:rsidRPr="000D67C6" w:rsidRDefault="00E24C8D" w:rsidP="002D221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(1,</w:t>
            </w:r>
            <w:r w:rsidR="002A40DF" w:rsidRPr="000D67C6">
              <w:rPr>
                <w:rFonts w:ascii="Arial" w:eastAsia="Times New Roman" w:hAnsi="Arial" w:cs="Arial"/>
                <w:b/>
                <w:bCs/>
                <w:sz w:val="22"/>
                <w:szCs w:val="22"/>
                <w:lang w:val="en-GB" w:eastAsia="en-GB"/>
              </w:rPr>
              <w:t>052</w:t>
            </w:r>
            <w:r w:rsidRPr="000D67C6">
              <w:rPr>
                <w:rFonts w:ascii="Arial" w:eastAsia="Times New Roman" w:hAnsi="Arial" w:cs="Arial"/>
                <w:b/>
                <w:bCs/>
                <w:sz w:val="22"/>
                <w:szCs w:val="22"/>
                <w:lang w:val="en-GB" w:eastAsia="en-GB"/>
              </w:rPr>
              <w:t>)</w:t>
            </w:r>
          </w:p>
        </w:tc>
      </w:tr>
      <w:tr w:rsidR="003D3EAE" w:rsidRPr="000D67C6" w14:paraId="7BC24F64" w14:textId="77777777" w:rsidTr="00EB3F39">
        <w:trPr>
          <w:trHeight w:val="363"/>
          <w:jc w:val="center"/>
        </w:trPr>
        <w:tc>
          <w:tcPr>
            <w:tcW w:w="3823" w:type="dxa"/>
            <w:tcBorders>
              <w:right w:val="single" w:sz="4" w:space="0" w:color="auto"/>
            </w:tcBorders>
            <w:shd w:val="clear" w:color="auto" w:fill="auto"/>
            <w:noWrap/>
            <w:vAlign w:val="center"/>
            <w:hideMark/>
          </w:tcPr>
          <w:p w14:paraId="4A981429" w14:textId="77777777" w:rsidR="002D2214" w:rsidRPr="000D67C6" w:rsidRDefault="002D2214" w:rsidP="002D2214">
            <w:pPr>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Unitary Authority contributions</w:t>
            </w:r>
          </w:p>
        </w:tc>
        <w:tc>
          <w:tcPr>
            <w:tcW w:w="1402" w:type="dxa"/>
            <w:tcBorders>
              <w:top w:val="nil"/>
              <w:left w:val="single" w:sz="4" w:space="0" w:color="auto"/>
              <w:bottom w:val="nil"/>
              <w:right w:val="single" w:sz="4" w:space="0" w:color="auto"/>
            </w:tcBorders>
            <w:shd w:val="clear" w:color="auto" w:fill="auto"/>
            <w:noWrap/>
            <w:vAlign w:val="center"/>
          </w:tcPr>
          <w:p w14:paraId="474A50D2" w14:textId="77777777" w:rsidR="002D2214" w:rsidRPr="000D67C6" w:rsidRDefault="00790D8B" w:rsidP="00AC65AA">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(46,659)</w:t>
            </w:r>
          </w:p>
        </w:tc>
        <w:tc>
          <w:tcPr>
            <w:tcW w:w="1403" w:type="dxa"/>
            <w:tcBorders>
              <w:top w:val="nil"/>
              <w:left w:val="single" w:sz="4" w:space="0" w:color="auto"/>
              <w:bottom w:val="nil"/>
              <w:right w:val="single" w:sz="4" w:space="0" w:color="auto"/>
            </w:tcBorders>
            <w:shd w:val="clear" w:color="auto" w:fill="auto"/>
            <w:noWrap/>
            <w:vAlign w:val="center"/>
          </w:tcPr>
          <w:p w14:paraId="090B5FA9" w14:textId="77777777" w:rsidR="002D2214" w:rsidRPr="000D67C6" w:rsidRDefault="009273AD"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(46</w:t>
            </w:r>
            <w:r w:rsidR="001D0C18" w:rsidRPr="000D67C6">
              <w:rPr>
                <w:rFonts w:ascii="Arial" w:eastAsia="Times New Roman" w:hAnsi="Arial" w:cs="Arial"/>
                <w:sz w:val="22"/>
                <w:szCs w:val="22"/>
                <w:lang w:val="en-GB" w:eastAsia="en-GB"/>
              </w:rPr>
              <w:t>,659)</w:t>
            </w:r>
          </w:p>
        </w:tc>
        <w:tc>
          <w:tcPr>
            <w:tcW w:w="1403" w:type="dxa"/>
            <w:tcBorders>
              <w:left w:val="single" w:sz="4" w:space="0" w:color="auto"/>
            </w:tcBorders>
            <w:shd w:val="clear" w:color="auto" w:fill="auto"/>
            <w:noWrap/>
            <w:vAlign w:val="center"/>
          </w:tcPr>
          <w:p w14:paraId="146181EE" w14:textId="77777777" w:rsidR="002D2214" w:rsidRPr="000D67C6" w:rsidRDefault="00E24C8D"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0</w:t>
            </w:r>
          </w:p>
        </w:tc>
      </w:tr>
      <w:tr w:rsidR="00AC65AA" w:rsidRPr="000D67C6" w14:paraId="4AEE6EDA" w14:textId="77777777" w:rsidTr="00EB3F39">
        <w:trPr>
          <w:trHeight w:val="363"/>
          <w:jc w:val="center"/>
        </w:trPr>
        <w:tc>
          <w:tcPr>
            <w:tcW w:w="3823" w:type="dxa"/>
            <w:tcBorders>
              <w:right w:val="single" w:sz="4" w:space="0" w:color="auto"/>
            </w:tcBorders>
            <w:shd w:val="clear" w:color="auto" w:fill="auto"/>
            <w:noWrap/>
            <w:vAlign w:val="center"/>
          </w:tcPr>
          <w:p w14:paraId="686C978D" w14:textId="77777777" w:rsidR="00AC65AA" w:rsidRPr="000D67C6" w:rsidRDefault="00AC65AA" w:rsidP="002D2214">
            <w:pPr>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Transfer to/(from) Reserves</w:t>
            </w:r>
          </w:p>
        </w:tc>
        <w:tc>
          <w:tcPr>
            <w:tcW w:w="1402" w:type="dxa"/>
            <w:tcBorders>
              <w:top w:val="nil"/>
              <w:left w:val="single" w:sz="4" w:space="0" w:color="auto"/>
              <w:bottom w:val="nil"/>
              <w:right w:val="single" w:sz="4" w:space="0" w:color="auto"/>
            </w:tcBorders>
            <w:shd w:val="clear" w:color="auto" w:fill="auto"/>
            <w:noWrap/>
            <w:vAlign w:val="center"/>
          </w:tcPr>
          <w:p w14:paraId="28FEEF8A" w14:textId="77777777" w:rsidR="00AC65AA" w:rsidRPr="000D67C6" w:rsidRDefault="00CB6C7A" w:rsidP="00AC65AA">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(150)</w:t>
            </w:r>
          </w:p>
        </w:tc>
        <w:tc>
          <w:tcPr>
            <w:tcW w:w="1403" w:type="dxa"/>
            <w:tcBorders>
              <w:top w:val="nil"/>
              <w:left w:val="single" w:sz="4" w:space="0" w:color="auto"/>
              <w:bottom w:val="nil"/>
              <w:right w:val="single" w:sz="4" w:space="0" w:color="auto"/>
            </w:tcBorders>
            <w:shd w:val="clear" w:color="auto" w:fill="auto"/>
            <w:noWrap/>
            <w:vAlign w:val="center"/>
          </w:tcPr>
          <w:p w14:paraId="57384983" w14:textId="52717A59" w:rsidR="00AC65AA" w:rsidRPr="000D67C6" w:rsidRDefault="00AB7256"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729</w:t>
            </w:r>
          </w:p>
        </w:tc>
        <w:tc>
          <w:tcPr>
            <w:tcW w:w="1403" w:type="dxa"/>
            <w:tcBorders>
              <w:left w:val="single" w:sz="4" w:space="0" w:color="auto"/>
            </w:tcBorders>
            <w:shd w:val="clear" w:color="auto" w:fill="auto"/>
            <w:noWrap/>
            <w:vAlign w:val="center"/>
          </w:tcPr>
          <w:p w14:paraId="25691244" w14:textId="4355A6A3" w:rsidR="00AC65AA" w:rsidRPr="000D67C6" w:rsidRDefault="000D4855" w:rsidP="002D221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879</w:t>
            </w:r>
          </w:p>
        </w:tc>
      </w:tr>
      <w:tr w:rsidR="003D3EAE" w:rsidRPr="000D67C6" w14:paraId="71DE17BF" w14:textId="77777777" w:rsidTr="00FD67E5">
        <w:trPr>
          <w:trHeight w:val="493"/>
          <w:jc w:val="center"/>
        </w:trPr>
        <w:tc>
          <w:tcPr>
            <w:tcW w:w="3823" w:type="dxa"/>
            <w:tcBorders>
              <w:bottom w:val="single" w:sz="4" w:space="0" w:color="auto"/>
              <w:right w:val="single" w:sz="4" w:space="0" w:color="auto"/>
            </w:tcBorders>
            <w:shd w:val="clear" w:color="auto" w:fill="auto"/>
            <w:noWrap/>
            <w:vAlign w:val="center"/>
            <w:hideMark/>
          </w:tcPr>
          <w:p w14:paraId="381F8B38" w14:textId="77777777" w:rsidR="002D2214" w:rsidRPr="000D67C6" w:rsidRDefault="002D2214" w:rsidP="002D2214">
            <w:pPr>
              <w:rPr>
                <w:rFonts w:ascii="Arial" w:eastAsia="Times New Roman" w:hAnsi="Arial" w:cs="Arial"/>
                <w:b/>
                <w:sz w:val="22"/>
                <w:szCs w:val="22"/>
                <w:lang w:val="en-GB" w:eastAsia="en-GB"/>
              </w:rPr>
            </w:pPr>
            <w:r w:rsidRPr="000D67C6">
              <w:rPr>
                <w:rFonts w:ascii="Arial" w:eastAsia="Times New Roman" w:hAnsi="Arial" w:cs="Arial"/>
                <w:b/>
                <w:sz w:val="22"/>
                <w:szCs w:val="22"/>
                <w:lang w:val="en-GB" w:eastAsia="en-GB"/>
              </w:rPr>
              <w:t>(Surplus)/Deficit</w:t>
            </w: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2D2CBE02" w14:textId="77777777" w:rsidR="002D2214" w:rsidRPr="000D67C6" w:rsidRDefault="00CB6C7A" w:rsidP="00AC65AA">
            <w:pPr>
              <w:jc w:val="right"/>
              <w:rPr>
                <w:rFonts w:ascii="Arial" w:eastAsia="Times New Roman" w:hAnsi="Arial" w:cs="Arial"/>
                <w:b/>
                <w:sz w:val="22"/>
                <w:szCs w:val="22"/>
                <w:lang w:val="en-GB" w:eastAsia="en-GB"/>
              </w:rPr>
            </w:pPr>
            <w:r w:rsidRPr="000D67C6">
              <w:rPr>
                <w:rFonts w:ascii="Arial" w:eastAsia="Times New Roman" w:hAnsi="Arial" w:cs="Arial"/>
                <w:b/>
                <w:sz w:val="22"/>
                <w:szCs w:val="22"/>
                <w:lang w:val="en-GB" w:eastAsia="en-GB"/>
              </w:rPr>
              <w:t>0</w:t>
            </w:r>
          </w:p>
        </w:tc>
        <w:tc>
          <w:tcPr>
            <w:tcW w:w="1403" w:type="dxa"/>
            <w:tcBorders>
              <w:top w:val="nil"/>
              <w:left w:val="single" w:sz="4" w:space="0" w:color="auto"/>
              <w:bottom w:val="single" w:sz="4" w:space="0" w:color="auto"/>
              <w:right w:val="single" w:sz="4" w:space="0" w:color="auto"/>
            </w:tcBorders>
            <w:shd w:val="clear" w:color="auto" w:fill="auto"/>
            <w:noWrap/>
            <w:vAlign w:val="center"/>
          </w:tcPr>
          <w:p w14:paraId="28822453" w14:textId="4527C37D" w:rsidR="002D2214" w:rsidRPr="000D67C6" w:rsidRDefault="000D4855" w:rsidP="002D2214">
            <w:pPr>
              <w:jc w:val="right"/>
              <w:rPr>
                <w:rFonts w:ascii="Arial" w:eastAsia="Times New Roman" w:hAnsi="Arial" w:cs="Arial"/>
                <w:b/>
                <w:sz w:val="22"/>
                <w:szCs w:val="22"/>
                <w:lang w:val="en-GB" w:eastAsia="en-GB"/>
              </w:rPr>
            </w:pPr>
            <w:r w:rsidRPr="000D67C6">
              <w:rPr>
                <w:rFonts w:ascii="Arial" w:eastAsia="Times New Roman" w:hAnsi="Arial" w:cs="Arial"/>
                <w:b/>
                <w:sz w:val="22"/>
                <w:szCs w:val="22"/>
                <w:lang w:val="en-GB" w:eastAsia="en-GB"/>
              </w:rPr>
              <w:t>(173)</w:t>
            </w:r>
          </w:p>
        </w:tc>
        <w:tc>
          <w:tcPr>
            <w:tcW w:w="1403" w:type="dxa"/>
            <w:tcBorders>
              <w:left w:val="single" w:sz="4" w:space="0" w:color="auto"/>
              <w:bottom w:val="single" w:sz="4" w:space="0" w:color="auto"/>
            </w:tcBorders>
            <w:shd w:val="clear" w:color="auto" w:fill="auto"/>
            <w:noWrap/>
            <w:vAlign w:val="center"/>
          </w:tcPr>
          <w:p w14:paraId="23B85693" w14:textId="5BB20782" w:rsidR="002D2214" w:rsidRPr="000D67C6" w:rsidRDefault="000D4855" w:rsidP="002D2214">
            <w:pPr>
              <w:jc w:val="right"/>
              <w:rPr>
                <w:rFonts w:ascii="Arial" w:eastAsia="Times New Roman" w:hAnsi="Arial" w:cs="Arial"/>
                <w:b/>
                <w:sz w:val="22"/>
                <w:szCs w:val="22"/>
                <w:lang w:val="en-GB" w:eastAsia="en-GB"/>
              </w:rPr>
            </w:pPr>
            <w:r w:rsidRPr="000D67C6">
              <w:rPr>
                <w:rFonts w:ascii="Arial" w:eastAsia="Times New Roman" w:hAnsi="Arial" w:cs="Arial"/>
                <w:b/>
                <w:sz w:val="22"/>
                <w:szCs w:val="22"/>
                <w:lang w:val="en-GB" w:eastAsia="en-GB"/>
              </w:rPr>
              <w:t>173</w:t>
            </w:r>
          </w:p>
        </w:tc>
      </w:tr>
    </w:tbl>
    <w:p w14:paraId="7041EC20" w14:textId="77777777" w:rsidR="0093429D" w:rsidRPr="000D67C6" w:rsidRDefault="0093429D" w:rsidP="008F013B">
      <w:pPr>
        <w:pStyle w:val="Normal0"/>
        <w:spacing w:line="259" w:lineRule="auto"/>
        <w:jc w:val="both"/>
        <w:rPr>
          <w:rFonts w:ascii="Arial" w:eastAsia="Times New Roman" w:hAnsi="Arial" w:cs="Arial"/>
          <w:sz w:val="22"/>
          <w:szCs w:val="22"/>
          <w:lang w:val="en-GB"/>
        </w:rPr>
      </w:pPr>
    </w:p>
    <w:p w14:paraId="2C0C7DA3"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incurs revenue spending on items, which are generally consumed within the year, and this is financed by contributions from the six constituent local authorities in pr</w:t>
      </w:r>
      <w:r w:rsidR="007C4B12" w:rsidRPr="000D67C6">
        <w:rPr>
          <w:rFonts w:ascii="Arial" w:eastAsia="Times New Roman" w:hAnsi="Arial" w:cs="Arial"/>
          <w:sz w:val="22"/>
          <w:szCs w:val="22"/>
          <w:lang w:val="en-GB"/>
        </w:rPr>
        <w:t>oportion to population. For 201</w:t>
      </w:r>
      <w:r w:rsidR="00C002D2" w:rsidRPr="000D67C6">
        <w:rPr>
          <w:rFonts w:ascii="Arial" w:eastAsia="Times New Roman" w:hAnsi="Arial" w:cs="Arial"/>
          <w:sz w:val="22"/>
          <w:szCs w:val="22"/>
          <w:lang w:val="en-GB"/>
        </w:rPr>
        <w:t>8</w:t>
      </w:r>
      <w:r w:rsidR="007C4B12" w:rsidRPr="000D67C6">
        <w:rPr>
          <w:rFonts w:ascii="Arial" w:eastAsia="Times New Roman" w:hAnsi="Arial" w:cs="Arial"/>
          <w:sz w:val="22"/>
          <w:szCs w:val="22"/>
          <w:lang w:val="en-GB"/>
        </w:rPr>
        <w:t>/1</w:t>
      </w:r>
      <w:r w:rsidR="00C002D2" w:rsidRPr="000D67C6">
        <w:rPr>
          <w:rFonts w:ascii="Arial" w:eastAsia="Times New Roman" w:hAnsi="Arial" w:cs="Arial"/>
          <w:sz w:val="22"/>
          <w:szCs w:val="22"/>
          <w:lang w:val="en-GB"/>
        </w:rPr>
        <w:t>9</w:t>
      </w:r>
      <w:r w:rsidRPr="000D67C6">
        <w:rPr>
          <w:rFonts w:ascii="Arial" w:eastAsia="Times New Roman" w:hAnsi="Arial" w:cs="Arial"/>
          <w:sz w:val="22"/>
          <w:szCs w:val="22"/>
          <w:lang w:val="en-GB"/>
        </w:rPr>
        <w:t>, the proportions were as follows:</w:t>
      </w:r>
    </w:p>
    <w:p w14:paraId="763CB359" w14:textId="77777777" w:rsidR="00B36794" w:rsidRPr="000D67C6" w:rsidRDefault="00B36794" w:rsidP="008F013B">
      <w:pPr>
        <w:pStyle w:val="Normal0"/>
        <w:spacing w:line="259" w:lineRule="auto"/>
        <w:jc w:val="both"/>
        <w:rPr>
          <w:rFonts w:ascii="Arial" w:eastAsia="Times New Roman"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gridCol w:w="1276"/>
        <w:gridCol w:w="1417"/>
      </w:tblGrid>
      <w:tr w:rsidR="00464E99" w:rsidRPr="000D67C6" w14:paraId="5AE44F25" w14:textId="77777777" w:rsidTr="002166B5">
        <w:trPr>
          <w:jc w:val="center"/>
        </w:trPr>
        <w:tc>
          <w:tcPr>
            <w:tcW w:w="5392" w:type="dxa"/>
            <w:tcBorders>
              <w:bottom w:val="single" w:sz="4" w:space="0" w:color="auto"/>
            </w:tcBorders>
            <w:vAlign w:val="center"/>
          </w:tcPr>
          <w:p w14:paraId="11B95512" w14:textId="77777777" w:rsidR="008F013B" w:rsidRPr="000D67C6" w:rsidRDefault="00432B60"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sz w:val="22"/>
                <w:szCs w:val="22"/>
                <w:lang w:val="en-GB"/>
              </w:rPr>
              <w:br w:type="page"/>
            </w:r>
            <w:r w:rsidR="003D3EAE" w:rsidRPr="000D67C6">
              <w:rPr>
                <w:rFonts w:ascii="Arial" w:eastAsia="Times New Roman" w:hAnsi="Arial" w:cs="Arial"/>
                <w:b/>
                <w:sz w:val="22"/>
                <w:szCs w:val="22"/>
                <w:lang w:val="en-GB"/>
              </w:rPr>
              <w:t xml:space="preserve">Constituent </w:t>
            </w:r>
            <w:r w:rsidR="008F56B1" w:rsidRPr="000D67C6">
              <w:rPr>
                <w:rFonts w:ascii="Arial" w:eastAsia="Times New Roman" w:hAnsi="Arial" w:cs="Arial"/>
                <w:b/>
                <w:sz w:val="22"/>
                <w:szCs w:val="22"/>
                <w:lang w:val="en-GB"/>
              </w:rPr>
              <w:t xml:space="preserve">Local </w:t>
            </w:r>
            <w:r w:rsidR="003D3EAE" w:rsidRPr="000D67C6">
              <w:rPr>
                <w:rFonts w:ascii="Arial" w:eastAsia="Times New Roman" w:hAnsi="Arial" w:cs="Arial"/>
                <w:b/>
                <w:sz w:val="22"/>
                <w:szCs w:val="22"/>
                <w:lang w:val="en-GB"/>
              </w:rPr>
              <w:t>Authorities</w:t>
            </w:r>
          </w:p>
        </w:tc>
        <w:tc>
          <w:tcPr>
            <w:tcW w:w="1276" w:type="dxa"/>
            <w:tcBorders>
              <w:bottom w:val="single" w:sz="4" w:space="0" w:color="auto"/>
            </w:tcBorders>
            <w:shd w:val="clear" w:color="auto" w:fill="auto"/>
            <w:vAlign w:val="center"/>
          </w:tcPr>
          <w:p w14:paraId="0E015135" w14:textId="77777777" w:rsidR="008F013B" w:rsidRPr="000D67C6" w:rsidRDefault="008F013B" w:rsidP="003D3EAE">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Values</w:t>
            </w:r>
          </w:p>
          <w:p w14:paraId="63952489" w14:textId="77777777" w:rsidR="008F013B" w:rsidRPr="000D67C6" w:rsidRDefault="008F013B" w:rsidP="003D3EAE">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£000</w:t>
            </w:r>
          </w:p>
        </w:tc>
        <w:tc>
          <w:tcPr>
            <w:tcW w:w="1417" w:type="dxa"/>
            <w:tcBorders>
              <w:bottom w:val="single" w:sz="4" w:space="0" w:color="auto"/>
            </w:tcBorders>
            <w:shd w:val="clear" w:color="auto" w:fill="auto"/>
            <w:vAlign w:val="center"/>
          </w:tcPr>
          <w:p w14:paraId="6BA78424" w14:textId="77777777" w:rsidR="003D3EAE" w:rsidRPr="000D67C6" w:rsidRDefault="008F013B" w:rsidP="003D3EAE">
            <w:pPr>
              <w:pStyle w:val="Normal0"/>
              <w:spacing w:line="259" w:lineRule="auto"/>
              <w:jc w:val="center"/>
              <w:rPr>
                <w:rFonts w:ascii="Arial" w:eastAsia="Times New Roman" w:hAnsi="Arial" w:cs="Arial"/>
                <w:b/>
                <w:sz w:val="22"/>
                <w:szCs w:val="22"/>
                <w:lang w:val="en-GB"/>
              </w:rPr>
            </w:pPr>
            <w:r w:rsidRPr="000D67C6">
              <w:rPr>
                <w:rFonts w:ascii="Arial" w:eastAsia="Times New Roman" w:hAnsi="Arial" w:cs="Arial"/>
                <w:b/>
                <w:sz w:val="22"/>
                <w:szCs w:val="22"/>
                <w:lang w:val="en-GB"/>
              </w:rPr>
              <w:t>Proportion</w:t>
            </w:r>
          </w:p>
          <w:p w14:paraId="14855A42" w14:textId="77777777" w:rsidR="008F013B" w:rsidRPr="000D67C6" w:rsidRDefault="008F013B" w:rsidP="003D3EAE">
            <w:pPr>
              <w:pStyle w:val="Normal0"/>
              <w:spacing w:line="259" w:lineRule="auto"/>
              <w:jc w:val="center"/>
              <w:rPr>
                <w:rFonts w:ascii="Arial" w:eastAsia="Times New Roman" w:hAnsi="Arial" w:cs="Arial"/>
                <w:b/>
                <w:sz w:val="22"/>
                <w:szCs w:val="22"/>
                <w:lang w:val="en-GB"/>
              </w:rPr>
            </w:pPr>
            <w:r w:rsidRPr="000D67C6">
              <w:rPr>
                <w:rFonts w:ascii="Arial" w:eastAsia="Times New Roman" w:hAnsi="Arial" w:cs="Arial"/>
                <w:b/>
                <w:sz w:val="22"/>
                <w:szCs w:val="22"/>
                <w:lang w:val="en-GB"/>
              </w:rPr>
              <w:t>%</w:t>
            </w:r>
          </w:p>
        </w:tc>
      </w:tr>
      <w:tr w:rsidR="00464E99" w:rsidRPr="000D67C6" w14:paraId="6E81E271" w14:textId="77777777" w:rsidTr="002166B5">
        <w:trPr>
          <w:trHeight w:val="318"/>
          <w:jc w:val="center"/>
        </w:trPr>
        <w:tc>
          <w:tcPr>
            <w:tcW w:w="5392" w:type="dxa"/>
            <w:tcBorders>
              <w:top w:val="single" w:sz="4" w:space="0" w:color="auto"/>
              <w:left w:val="single" w:sz="4" w:space="0" w:color="auto"/>
              <w:bottom w:val="nil"/>
              <w:right w:val="single" w:sz="4" w:space="0" w:color="auto"/>
            </w:tcBorders>
            <w:shd w:val="clear" w:color="auto" w:fill="auto"/>
            <w:vAlign w:val="center"/>
          </w:tcPr>
          <w:p w14:paraId="03BD2EFD"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Carmarthenshire County Council</w:t>
            </w:r>
          </w:p>
        </w:tc>
        <w:tc>
          <w:tcPr>
            <w:tcW w:w="1276" w:type="dxa"/>
            <w:tcBorders>
              <w:top w:val="single" w:sz="4" w:space="0" w:color="auto"/>
              <w:left w:val="single" w:sz="4" w:space="0" w:color="auto"/>
              <w:bottom w:val="nil"/>
              <w:right w:val="single" w:sz="4" w:space="0" w:color="auto"/>
            </w:tcBorders>
            <w:shd w:val="clear" w:color="auto" w:fill="auto"/>
            <w:vAlign w:val="center"/>
          </w:tcPr>
          <w:p w14:paraId="0BC04CA5" w14:textId="77777777" w:rsidR="008F013B" w:rsidRPr="000D67C6" w:rsidRDefault="00661C0D"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9,</w:t>
            </w:r>
            <w:r w:rsidR="00CB4E65" w:rsidRPr="000D67C6">
              <w:rPr>
                <w:rFonts w:ascii="Arial" w:eastAsia="Times New Roman" w:hAnsi="Arial" w:cs="Arial"/>
                <w:sz w:val="22"/>
                <w:szCs w:val="22"/>
                <w:lang w:val="en-GB"/>
              </w:rPr>
              <w:t>600</w:t>
            </w:r>
          </w:p>
        </w:tc>
        <w:tc>
          <w:tcPr>
            <w:tcW w:w="1417" w:type="dxa"/>
            <w:tcBorders>
              <w:top w:val="single" w:sz="4" w:space="0" w:color="auto"/>
              <w:left w:val="single" w:sz="4" w:space="0" w:color="auto"/>
              <w:bottom w:val="nil"/>
              <w:right w:val="single" w:sz="4" w:space="0" w:color="auto"/>
            </w:tcBorders>
            <w:shd w:val="clear" w:color="auto" w:fill="auto"/>
            <w:vAlign w:val="center"/>
          </w:tcPr>
          <w:p w14:paraId="6B491A46" w14:textId="77777777" w:rsidR="007E292B" w:rsidRPr="000D67C6" w:rsidRDefault="00312034" w:rsidP="007E292B">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2</w:t>
            </w:r>
            <w:r w:rsidR="00AC5B23" w:rsidRPr="000D67C6">
              <w:rPr>
                <w:rFonts w:ascii="Arial" w:eastAsia="Times New Roman" w:hAnsi="Arial" w:cs="Arial"/>
                <w:sz w:val="22"/>
                <w:szCs w:val="22"/>
                <w:lang w:val="en-GB"/>
              </w:rPr>
              <w:t>0.6</w:t>
            </w:r>
          </w:p>
        </w:tc>
      </w:tr>
      <w:tr w:rsidR="00464E99" w:rsidRPr="000D67C6" w14:paraId="7811C91A" w14:textId="77777777" w:rsidTr="002166B5">
        <w:trPr>
          <w:trHeight w:val="318"/>
          <w:jc w:val="center"/>
        </w:trPr>
        <w:tc>
          <w:tcPr>
            <w:tcW w:w="5392" w:type="dxa"/>
            <w:tcBorders>
              <w:top w:val="nil"/>
              <w:left w:val="single" w:sz="4" w:space="0" w:color="auto"/>
              <w:bottom w:val="nil"/>
              <w:right w:val="single" w:sz="4" w:space="0" w:color="auto"/>
            </w:tcBorders>
            <w:shd w:val="clear" w:color="auto" w:fill="auto"/>
            <w:vAlign w:val="center"/>
          </w:tcPr>
          <w:p w14:paraId="07D9025D"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Ceredigion County Council</w:t>
            </w:r>
          </w:p>
        </w:tc>
        <w:tc>
          <w:tcPr>
            <w:tcW w:w="1276" w:type="dxa"/>
            <w:tcBorders>
              <w:top w:val="nil"/>
              <w:left w:val="single" w:sz="4" w:space="0" w:color="auto"/>
              <w:bottom w:val="nil"/>
              <w:right w:val="single" w:sz="4" w:space="0" w:color="auto"/>
            </w:tcBorders>
            <w:shd w:val="clear" w:color="auto" w:fill="auto"/>
            <w:vAlign w:val="center"/>
          </w:tcPr>
          <w:p w14:paraId="2B3C6042" w14:textId="77777777" w:rsidR="008F013B" w:rsidRPr="000D67C6" w:rsidRDefault="00661C0D"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3,93</w:t>
            </w:r>
            <w:r w:rsidR="00CB4E65" w:rsidRPr="000D67C6">
              <w:rPr>
                <w:rFonts w:ascii="Arial" w:eastAsia="Times New Roman" w:hAnsi="Arial" w:cs="Arial"/>
                <w:sz w:val="22"/>
                <w:szCs w:val="22"/>
                <w:lang w:val="en-GB"/>
              </w:rPr>
              <w:t>7</w:t>
            </w:r>
          </w:p>
        </w:tc>
        <w:tc>
          <w:tcPr>
            <w:tcW w:w="1417" w:type="dxa"/>
            <w:tcBorders>
              <w:top w:val="nil"/>
              <w:left w:val="single" w:sz="4" w:space="0" w:color="auto"/>
              <w:bottom w:val="nil"/>
              <w:right w:val="single" w:sz="4" w:space="0" w:color="auto"/>
            </w:tcBorders>
            <w:shd w:val="clear" w:color="auto" w:fill="auto"/>
            <w:vAlign w:val="center"/>
          </w:tcPr>
          <w:p w14:paraId="46459FD7" w14:textId="77777777" w:rsidR="008F013B" w:rsidRPr="000D67C6" w:rsidRDefault="00312034" w:rsidP="003D3EAE">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8.</w:t>
            </w:r>
            <w:r w:rsidR="00AC5B23" w:rsidRPr="000D67C6">
              <w:rPr>
                <w:rFonts w:ascii="Arial" w:eastAsia="Times New Roman" w:hAnsi="Arial" w:cs="Arial"/>
                <w:sz w:val="22"/>
                <w:szCs w:val="22"/>
                <w:lang w:val="en-GB"/>
              </w:rPr>
              <w:t>4</w:t>
            </w:r>
          </w:p>
        </w:tc>
      </w:tr>
      <w:tr w:rsidR="00464E99" w:rsidRPr="000D67C6" w14:paraId="038B99F9" w14:textId="77777777" w:rsidTr="002166B5">
        <w:trPr>
          <w:trHeight w:val="318"/>
          <w:jc w:val="center"/>
        </w:trPr>
        <w:tc>
          <w:tcPr>
            <w:tcW w:w="5392" w:type="dxa"/>
            <w:tcBorders>
              <w:top w:val="nil"/>
              <w:left w:val="single" w:sz="4" w:space="0" w:color="auto"/>
              <w:bottom w:val="nil"/>
              <w:right w:val="single" w:sz="4" w:space="0" w:color="auto"/>
            </w:tcBorders>
            <w:shd w:val="clear" w:color="auto" w:fill="auto"/>
            <w:vAlign w:val="center"/>
          </w:tcPr>
          <w:p w14:paraId="5D5CEE05" w14:textId="77777777" w:rsidR="008F013B" w:rsidRPr="000D67C6" w:rsidRDefault="008F013B" w:rsidP="008F013B">
            <w:pPr>
              <w:pStyle w:val="Normal0"/>
              <w:spacing w:line="259" w:lineRule="auto"/>
              <w:ind w:right="-648"/>
              <w:jc w:val="both"/>
              <w:rPr>
                <w:rFonts w:ascii="Arial" w:eastAsia="Times New Roman" w:hAnsi="Arial" w:cs="Arial"/>
                <w:sz w:val="22"/>
                <w:szCs w:val="22"/>
                <w:lang w:val="en-GB"/>
              </w:rPr>
            </w:pPr>
            <w:r w:rsidRPr="000D67C6">
              <w:rPr>
                <w:rFonts w:ascii="Arial" w:eastAsia="Times New Roman" w:hAnsi="Arial" w:cs="Arial"/>
                <w:sz w:val="22"/>
                <w:szCs w:val="22"/>
                <w:lang w:val="en-GB"/>
              </w:rPr>
              <w:t>Neath and Port Talbot County Borough Council</w:t>
            </w:r>
          </w:p>
        </w:tc>
        <w:tc>
          <w:tcPr>
            <w:tcW w:w="1276" w:type="dxa"/>
            <w:tcBorders>
              <w:top w:val="nil"/>
              <w:left w:val="single" w:sz="4" w:space="0" w:color="auto"/>
              <w:bottom w:val="nil"/>
              <w:right w:val="single" w:sz="4" w:space="0" w:color="auto"/>
            </w:tcBorders>
            <w:shd w:val="clear" w:color="auto" w:fill="auto"/>
            <w:vAlign w:val="center"/>
          </w:tcPr>
          <w:p w14:paraId="51240E28" w14:textId="77777777" w:rsidR="008F013B" w:rsidRPr="000D67C6" w:rsidRDefault="00773035"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7,28</w:t>
            </w:r>
            <w:r w:rsidR="00CB4E65" w:rsidRPr="000D67C6">
              <w:rPr>
                <w:rFonts w:ascii="Arial" w:eastAsia="Times New Roman" w:hAnsi="Arial" w:cs="Arial"/>
                <w:sz w:val="22"/>
                <w:szCs w:val="22"/>
                <w:lang w:val="en-GB"/>
              </w:rPr>
              <w:t>8</w:t>
            </w:r>
          </w:p>
        </w:tc>
        <w:tc>
          <w:tcPr>
            <w:tcW w:w="1417" w:type="dxa"/>
            <w:tcBorders>
              <w:top w:val="nil"/>
              <w:left w:val="single" w:sz="4" w:space="0" w:color="auto"/>
              <w:bottom w:val="nil"/>
              <w:right w:val="single" w:sz="4" w:space="0" w:color="auto"/>
            </w:tcBorders>
            <w:shd w:val="clear" w:color="auto" w:fill="auto"/>
            <w:vAlign w:val="center"/>
          </w:tcPr>
          <w:p w14:paraId="6F3FF449" w14:textId="77777777" w:rsidR="008F013B" w:rsidRPr="000D67C6" w:rsidRDefault="005B72FC" w:rsidP="003D3EAE">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15.6</w:t>
            </w:r>
          </w:p>
        </w:tc>
      </w:tr>
      <w:tr w:rsidR="00464E99" w:rsidRPr="000D67C6" w14:paraId="4D065CC4" w14:textId="77777777" w:rsidTr="002166B5">
        <w:trPr>
          <w:trHeight w:val="318"/>
          <w:jc w:val="center"/>
        </w:trPr>
        <w:tc>
          <w:tcPr>
            <w:tcW w:w="5392" w:type="dxa"/>
            <w:tcBorders>
              <w:top w:val="nil"/>
              <w:left w:val="single" w:sz="4" w:space="0" w:color="auto"/>
              <w:bottom w:val="nil"/>
              <w:right w:val="single" w:sz="4" w:space="0" w:color="auto"/>
            </w:tcBorders>
            <w:shd w:val="clear" w:color="auto" w:fill="auto"/>
            <w:vAlign w:val="center"/>
          </w:tcPr>
          <w:p w14:paraId="1D9E85E7"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Pembrokeshire County Council</w:t>
            </w:r>
          </w:p>
        </w:tc>
        <w:tc>
          <w:tcPr>
            <w:tcW w:w="1276" w:type="dxa"/>
            <w:tcBorders>
              <w:top w:val="nil"/>
              <w:left w:val="single" w:sz="4" w:space="0" w:color="auto"/>
              <w:bottom w:val="nil"/>
              <w:right w:val="single" w:sz="4" w:space="0" w:color="auto"/>
            </w:tcBorders>
            <w:shd w:val="clear" w:color="auto" w:fill="auto"/>
            <w:vAlign w:val="center"/>
          </w:tcPr>
          <w:p w14:paraId="6583BB58" w14:textId="77777777" w:rsidR="008F013B" w:rsidRPr="000D67C6" w:rsidRDefault="00773035"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6,39</w:t>
            </w:r>
            <w:r w:rsidR="00CB4E65" w:rsidRPr="000D67C6">
              <w:rPr>
                <w:rFonts w:ascii="Arial" w:eastAsia="Times New Roman" w:hAnsi="Arial" w:cs="Arial"/>
                <w:sz w:val="22"/>
                <w:szCs w:val="22"/>
                <w:lang w:val="en-GB"/>
              </w:rPr>
              <w:t>9</w:t>
            </w:r>
          </w:p>
        </w:tc>
        <w:tc>
          <w:tcPr>
            <w:tcW w:w="1417" w:type="dxa"/>
            <w:tcBorders>
              <w:top w:val="nil"/>
              <w:left w:val="single" w:sz="4" w:space="0" w:color="auto"/>
              <w:bottom w:val="nil"/>
              <w:right w:val="single" w:sz="4" w:space="0" w:color="auto"/>
            </w:tcBorders>
            <w:shd w:val="clear" w:color="auto" w:fill="auto"/>
            <w:vAlign w:val="center"/>
          </w:tcPr>
          <w:p w14:paraId="09B7034D" w14:textId="77777777" w:rsidR="008F013B" w:rsidRPr="000D67C6" w:rsidRDefault="00D908F6" w:rsidP="003D3EAE">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1</w:t>
            </w:r>
            <w:r w:rsidR="00C44C4F" w:rsidRPr="000D67C6">
              <w:rPr>
                <w:rFonts w:ascii="Arial" w:eastAsia="Times New Roman" w:hAnsi="Arial" w:cs="Arial"/>
                <w:sz w:val="22"/>
                <w:szCs w:val="22"/>
                <w:lang w:val="en-GB"/>
              </w:rPr>
              <w:t>3.7</w:t>
            </w:r>
          </w:p>
        </w:tc>
      </w:tr>
      <w:tr w:rsidR="00464E99" w:rsidRPr="000D67C6" w14:paraId="7E16E78A" w14:textId="77777777" w:rsidTr="002166B5">
        <w:trPr>
          <w:trHeight w:val="318"/>
          <w:jc w:val="center"/>
        </w:trPr>
        <w:tc>
          <w:tcPr>
            <w:tcW w:w="5392" w:type="dxa"/>
            <w:tcBorders>
              <w:top w:val="nil"/>
              <w:left w:val="single" w:sz="4" w:space="0" w:color="auto"/>
              <w:bottom w:val="nil"/>
              <w:right w:val="single" w:sz="4" w:space="0" w:color="auto"/>
            </w:tcBorders>
            <w:shd w:val="clear" w:color="auto" w:fill="auto"/>
            <w:vAlign w:val="center"/>
          </w:tcPr>
          <w:p w14:paraId="0821A319"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Powys County Council</w:t>
            </w:r>
          </w:p>
        </w:tc>
        <w:tc>
          <w:tcPr>
            <w:tcW w:w="1276" w:type="dxa"/>
            <w:tcBorders>
              <w:top w:val="nil"/>
              <w:left w:val="single" w:sz="4" w:space="0" w:color="auto"/>
              <w:bottom w:val="nil"/>
              <w:right w:val="single" w:sz="4" w:space="0" w:color="auto"/>
            </w:tcBorders>
            <w:shd w:val="clear" w:color="auto" w:fill="auto"/>
            <w:vAlign w:val="center"/>
          </w:tcPr>
          <w:p w14:paraId="0D7AAC09" w14:textId="77777777" w:rsidR="008F013B" w:rsidRPr="000D67C6" w:rsidRDefault="00773035"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6,80</w:t>
            </w:r>
            <w:r w:rsidR="00CB4E65" w:rsidRPr="000D67C6">
              <w:rPr>
                <w:rFonts w:ascii="Arial" w:eastAsia="Times New Roman" w:hAnsi="Arial" w:cs="Arial"/>
                <w:sz w:val="22"/>
                <w:szCs w:val="22"/>
                <w:lang w:val="en-GB"/>
              </w:rPr>
              <w:t>5</w:t>
            </w:r>
          </w:p>
        </w:tc>
        <w:tc>
          <w:tcPr>
            <w:tcW w:w="1417" w:type="dxa"/>
            <w:tcBorders>
              <w:top w:val="nil"/>
              <w:left w:val="single" w:sz="4" w:space="0" w:color="auto"/>
              <w:bottom w:val="nil"/>
              <w:right w:val="single" w:sz="4" w:space="0" w:color="auto"/>
            </w:tcBorders>
            <w:shd w:val="clear" w:color="auto" w:fill="auto"/>
            <w:vAlign w:val="center"/>
          </w:tcPr>
          <w:p w14:paraId="3626805B" w14:textId="77777777" w:rsidR="008F013B" w:rsidRPr="000D67C6" w:rsidRDefault="00D908F6" w:rsidP="003D3EAE">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1</w:t>
            </w:r>
            <w:r w:rsidR="00C44C4F" w:rsidRPr="000D67C6">
              <w:rPr>
                <w:rFonts w:ascii="Arial" w:eastAsia="Times New Roman" w:hAnsi="Arial" w:cs="Arial"/>
                <w:sz w:val="22"/>
                <w:szCs w:val="22"/>
                <w:lang w:val="en-GB"/>
              </w:rPr>
              <w:t>4.6</w:t>
            </w:r>
          </w:p>
        </w:tc>
      </w:tr>
      <w:tr w:rsidR="00464E99" w:rsidRPr="000D67C6" w14:paraId="7DCFF632" w14:textId="77777777" w:rsidTr="002166B5">
        <w:trPr>
          <w:trHeight w:val="318"/>
          <w:jc w:val="center"/>
        </w:trPr>
        <w:tc>
          <w:tcPr>
            <w:tcW w:w="5392" w:type="dxa"/>
            <w:tcBorders>
              <w:top w:val="nil"/>
              <w:left w:val="single" w:sz="4" w:space="0" w:color="auto"/>
              <w:bottom w:val="single" w:sz="4" w:space="0" w:color="auto"/>
              <w:right w:val="single" w:sz="4" w:space="0" w:color="auto"/>
            </w:tcBorders>
            <w:shd w:val="clear" w:color="auto" w:fill="auto"/>
            <w:vAlign w:val="center"/>
          </w:tcPr>
          <w:p w14:paraId="4FBD9A15"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City and County of Swansea Council</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CD08B2" w14:textId="77777777" w:rsidR="008F013B" w:rsidRPr="000D67C6" w:rsidRDefault="00BD25C8" w:rsidP="008F013B">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12,63</w:t>
            </w:r>
            <w:r w:rsidR="00C82BB9" w:rsidRPr="000D67C6">
              <w:rPr>
                <w:rFonts w:ascii="Arial" w:eastAsia="Times New Roman" w:hAnsi="Arial" w:cs="Arial"/>
                <w:sz w:val="22"/>
                <w:szCs w:val="22"/>
                <w:lang w:val="en-GB"/>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D3722D" w14:textId="77777777" w:rsidR="008F013B" w:rsidRPr="000D67C6" w:rsidRDefault="00490C9C" w:rsidP="003D3EAE">
            <w:pPr>
              <w:pStyle w:val="Normal0"/>
              <w:spacing w:line="259" w:lineRule="auto"/>
              <w:jc w:val="center"/>
              <w:rPr>
                <w:rFonts w:ascii="Arial" w:eastAsia="Times New Roman" w:hAnsi="Arial" w:cs="Arial"/>
                <w:sz w:val="22"/>
                <w:szCs w:val="22"/>
                <w:lang w:val="en-GB"/>
              </w:rPr>
            </w:pPr>
            <w:r w:rsidRPr="000D67C6">
              <w:rPr>
                <w:rFonts w:ascii="Arial" w:eastAsia="Times New Roman" w:hAnsi="Arial" w:cs="Arial"/>
                <w:sz w:val="22"/>
                <w:szCs w:val="22"/>
                <w:lang w:val="en-GB"/>
              </w:rPr>
              <w:t>2</w:t>
            </w:r>
            <w:r w:rsidR="00CB4E65" w:rsidRPr="000D67C6">
              <w:rPr>
                <w:rFonts w:ascii="Arial" w:eastAsia="Times New Roman" w:hAnsi="Arial" w:cs="Arial"/>
                <w:sz w:val="22"/>
                <w:szCs w:val="22"/>
                <w:lang w:val="en-GB"/>
              </w:rPr>
              <w:t>7.1</w:t>
            </w:r>
          </w:p>
        </w:tc>
      </w:tr>
      <w:tr w:rsidR="00464E99" w:rsidRPr="000D67C6" w14:paraId="1E0DA0A1" w14:textId="77777777" w:rsidTr="002166B5">
        <w:trPr>
          <w:trHeight w:val="445"/>
          <w:jc w:val="center"/>
        </w:trPr>
        <w:tc>
          <w:tcPr>
            <w:tcW w:w="5392" w:type="dxa"/>
            <w:tcBorders>
              <w:top w:val="single" w:sz="4" w:space="0" w:color="auto"/>
            </w:tcBorders>
            <w:shd w:val="clear" w:color="auto" w:fill="auto"/>
            <w:vAlign w:val="center"/>
          </w:tcPr>
          <w:p w14:paraId="2E24D1CE"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Total</w:t>
            </w:r>
          </w:p>
        </w:tc>
        <w:tc>
          <w:tcPr>
            <w:tcW w:w="1276" w:type="dxa"/>
            <w:tcBorders>
              <w:top w:val="single" w:sz="4" w:space="0" w:color="auto"/>
            </w:tcBorders>
            <w:shd w:val="clear" w:color="auto" w:fill="auto"/>
            <w:vAlign w:val="center"/>
          </w:tcPr>
          <w:p w14:paraId="55918634" w14:textId="77777777" w:rsidR="008F013B" w:rsidRPr="000D67C6" w:rsidRDefault="005B72FC" w:rsidP="008F013B">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4</w:t>
            </w:r>
            <w:r w:rsidR="0026156C" w:rsidRPr="000D67C6">
              <w:rPr>
                <w:rFonts w:ascii="Arial" w:eastAsia="Times New Roman" w:hAnsi="Arial" w:cs="Arial"/>
                <w:b/>
                <w:sz w:val="22"/>
                <w:szCs w:val="22"/>
                <w:lang w:val="en-GB"/>
              </w:rPr>
              <w:t>6</w:t>
            </w:r>
            <w:r w:rsidRPr="000D67C6">
              <w:rPr>
                <w:rFonts w:ascii="Arial" w:eastAsia="Times New Roman" w:hAnsi="Arial" w:cs="Arial"/>
                <w:b/>
                <w:sz w:val="22"/>
                <w:szCs w:val="22"/>
                <w:lang w:val="en-GB"/>
              </w:rPr>
              <w:t>,65</w:t>
            </w:r>
            <w:r w:rsidR="00CB4E65" w:rsidRPr="000D67C6">
              <w:rPr>
                <w:rFonts w:ascii="Arial" w:eastAsia="Times New Roman" w:hAnsi="Arial" w:cs="Arial"/>
                <w:b/>
                <w:sz w:val="22"/>
                <w:szCs w:val="22"/>
                <w:lang w:val="en-GB"/>
              </w:rPr>
              <w:t>9</w:t>
            </w:r>
          </w:p>
        </w:tc>
        <w:tc>
          <w:tcPr>
            <w:tcW w:w="1417" w:type="dxa"/>
            <w:tcBorders>
              <w:top w:val="single" w:sz="4" w:space="0" w:color="auto"/>
            </w:tcBorders>
            <w:shd w:val="clear" w:color="auto" w:fill="auto"/>
            <w:vAlign w:val="center"/>
          </w:tcPr>
          <w:p w14:paraId="4AD665D6" w14:textId="77777777" w:rsidR="008F013B" w:rsidRPr="000D67C6" w:rsidRDefault="00CB4E65" w:rsidP="003D3EAE">
            <w:pPr>
              <w:pStyle w:val="Normal0"/>
              <w:spacing w:line="259" w:lineRule="auto"/>
              <w:jc w:val="center"/>
              <w:rPr>
                <w:rFonts w:ascii="Arial" w:eastAsia="Times New Roman" w:hAnsi="Arial" w:cs="Arial"/>
                <w:b/>
                <w:sz w:val="22"/>
                <w:szCs w:val="22"/>
                <w:lang w:val="en-GB"/>
              </w:rPr>
            </w:pPr>
            <w:r w:rsidRPr="000D67C6">
              <w:rPr>
                <w:rFonts w:ascii="Arial" w:eastAsia="Times New Roman" w:hAnsi="Arial" w:cs="Arial"/>
                <w:b/>
                <w:sz w:val="22"/>
                <w:szCs w:val="22"/>
                <w:lang w:val="en-GB"/>
              </w:rPr>
              <w:t>100.0</w:t>
            </w:r>
          </w:p>
        </w:tc>
      </w:tr>
    </w:tbl>
    <w:p w14:paraId="0BD80AD2" w14:textId="77777777" w:rsidR="00EB3F39" w:rsidRPr="000D67C6" w:rsidRDefault="00EB3F39" w:rsidP="008F013B">
      <w:pPr>
        <w:pStyle w:val="Normal0"/>
        <w:spacing w:line="259" w:lineRule="auto"/>
        <w:jc w:val="both"/>
        <w:rPr>
          <w:rFonts w:ascii="Arial" w:eastAsia="Times New Roman" w:hAnsi="Arial" w:cs="Arial"/>
          <w:b/>
          <w:sz w:val="22"/>
          <w:szCs w:val="22"/>
          <w:lang w:val="en-GB"/>
        </w:rPr>
      </w:pPr>
    </w:p>
    <w:p w14:paraId="7A23D4F4" w14:textId="77777777" w:rsidR="00717959" w:rsidRPr="000D67C6" w:rsidRDefault="00717959" w:rsidP="008F013B">
      <w:pPr>
        <w:pStyle w:val="Normal0"/>
        <w:spacing w:line="259" w:lineRule="auto"/>
        <w:jc w:val="both"/>
        <w:rPr>
          <w:rFonts w:ascii="Arial" w:eastAsia="Times New Roman" w:hAnsi="Arial" w:cs="Arial"/>
          <w:b/>
          <w:sz w:val="22"/>
          <w:szCs w:val="22"/>
          <w:lang w:val="en-GB"/>
        </w:rPr>
      </w:pPr>
    </w:p>
    <w:p w14:paraId="4BAD9D76" w14:textId="77777777" w:rsidR="00717959" w:rsidRPr="000D67C6" w:rsidRDefault="00717959" w:rsidP="008F013B">
      <w:pPr>
        <w:pStyle w:val="Normal0"/>
        <w:spacing w:line="259" w:lineRule="auto"/>
        <w:jc w:val="both"/>
        <w:rPr>
          <w:rFonts w:ascii="Arial" w:eastAsia="Times New Roman" w:hAnsi="Arial" w:cs="Arial"/>
          <w:b/>
          <w:sz w:val="22"/>
          <w:szCs w:val="22"/>
          <w:lang w:val="en-GB"/>
        </w:rPr>
      </w:pPr>
    </w:p>
    <w:p w14:paraId="5E7E856B" w14:textId="77777777" w:rsidR="00EA5ABB" w:rsidRPr="000D67C6" w:rsidRDefault="00EA5ABB" w:rsidP="008F013B">
      <w:pPr>
        <w:pStyle w:val="Normal0"/>
        <w:spacing w:line="259" w:lineRule="auto"/>
        <w:jc w:val="both"/>
        <w:rPr>
          <w:rFonts w:ascii="Arial" w:eastAsia="Times New Roman" w:hAnsi="Arial" w:cs="Arial"/>
          <w:b/>
          <w:sz w:val="22"/>
          <w:szCs w:val="22"/>
          <w:lang w:val="en-GB"/>
        </w:rPr>
      </w:pPr>
    </w:p>
    <w:p w14:paraId="36D133A3" w14:textId="77777777" w:rsidR="00EA5ABB" w:rsidRPr="000D67C6" w:rsidRDefault="00EA5ABB" w:rsidP="008F013B">
      <w:pPr>
        <w:pStyle w:val="Normal0"/>
        <w:spacing w:line="259" w:lineRule="auto"/>
        <w:jc w:val="both"/>
        <w:rPr>
          <w:rFonts w:ascii="Arial" w:eastAsia="Times New Roman" w:hAnsi="Arial" w:cs="Arial"/>
          <w:b/>
          <w:sz w:val="22"/>
          <w:szCs w:val="22"/>
          <w:lang w:val="en-GB"/>
        </w:rPr>
      </w:pPr>
    </w:p>
    <w:p w14:paraId="12B6BEEC" w14:textId="77777777" w:rsidR="00EA5ABB" w:rsidRPr="000D67C6" w:rsidRDefault="00EA5ABB" w:rsidP="008F013B">
      <w:pPr>
        <w:pStyle w:val="Normal0"/>
        <w:spacing w:line="259" w:lineRule="auto"/>
        <w:jc w:val="both"/>
        <w:rPr>
          <w:rFonts w:ascii="Arial" w:eastAsia="Times New Roman" w:hAnsi="Arial" w:cs="Arial"/>
          <w:b/>
          <w:sz w:val="22"/>
          <w:szCs w:val="22"/>
          <w:lang w:val="en-GB"/>
        </w:rPr>
      </w:pPr>
    </w:p>
    <w:p w14:paraId="07C71AE3" w14:textId="77777777" w:rsidR="00270370" w:rsidRPr="000D67C6" w:rsidRDefault="00270370" w:rsidP="008F013B">
      <w:pPr>
        <w:pStyle w:val="Normal0"/>
        <w:spacing w:line="259" w:lineRule="auto"/>
        <w:jc w:val="both"/>
        <w:rPr>
          <w:rFonts w:ascii="Arial" w:eastAsia="Times New Roman" w:hAnsi="Arial" w:cs="Arial"/>
          <w:b/>
          <w:sz w:val="22"/>
          <w:szCs w:val="22"/>
          <w:lang w:val="en-GB"/>
        </w:rPr>
      </w:pPr>
    </w:p>
    <w:p w14:paraId="7C5F1DF3" w14:textId="77777777" w:rsidR="0093429D" w:rsidRPr="000D67C6" w:rsidRDefault="0093429D">
      <w:pPr>
        <w:rPr>
          <w:rFonts w:ascii="Arial" w:eastAsia="Times New Roman" w:hAnsi="Arial" w:cs="Arial"/>
          <w:b/>
          <w:sz w:val="22"/>
          <w:szCs w:val="22"/>
          <w:lang w:val="en-GB"/>
        </w:rPr>
      </w:pPr>
      <w:r w:rsidRPr="000D67C6">
        <w:rPr>
          <w:rFonts w:ascii="Arial" w:eastAsia="Times New Roman" w:hAnsi="Arial" w:cs="Arial"/>
          <w:b/>
          <w:sz w:val="22"/>
          <w:szCs w:val="22"/>
          <w:lang w:val="en-GB"/>
        </w:rPr>
        <w:br w:type="page"/>
      </w:r>
    </w:p>
    <w:p w14:paraId="680CE8EA" w14:textId="77777777" w:rsidR="008F013B" w:rsidRPr="000D67C6" w:rsidRDefault="00FD67E5"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R</w:t>
      </w:r>
      <w:r w:rsidR="008F013B" w:rsidRPr="000D67C6">
        <w:rPr>
          <w:rFonts w:ascii="Arial" w:eastAsia="Times New Roman" w:hAnsi="Arial" w:cs="Arial"/>
          <w:b/>
          <w:sz w:val="22"/>
          <w:szCs w:val="22"/>
          <w:lang w:val="en-GB"/>
        </w:rPr>
        <w:t>evenue Sources of Funding</w:t>
      </w:r>
    </w:p>
    <w:p w14:paraId="525039BD" w14:textId="77777777" w:rsidR="00635DF1" w:rsidRPr="000D67C6" w:rsidRDefault="00635DF1" w:rsidP="008F013B">
      <w:pPr>
        <w:pStyle w:val="Normal0"/>
        <w:spacing w:line="259" w:lineRule="auto"/>
        <w:jc w:val="both"/>
        <w:rPr>
          <w:rFonts w:ascii="Arial" w:eastAsia="Times New Roman" w:hAnsi="Arial" w:cs="Arial"/>
          <w:b/>
          <w:sz w:val="22"/>
          <w:szCs w:val="22"/>
          <w:lang w:val="en-GB"/>
        </w:rPr>
      </w:pPr>
    </w:p>
    <w:p w14:paraId="6AC3F49B" w14:textId="77777777" w:rsidR="008D3EDF" w:rsidRPr="000D67C6" w:rsidRDefault="00635DF1"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w:t>
      </w:r>
      <w:r w:rsidR="000917C0" w:rsidRPr="000D67C6">
        <w:rPr>
          <w:rFonts w:ascii="Arial" w:eastAsia="Times New Roman" w:hAnsi="Arial" w:cs="Arial"/>
          <w:sz w:val="22"/>
          <w:szCs w:val="22"/>
          <w:lang w:val="en-GB"/>
        </w:rPr>
        <w:t>e Authority receives revenue fro</w:t>
      </w:r>
      <w:r w:rsidRPr="000D67C6">
        <w:rPr>
          <w:rFonts w:ascii="Arial" w:eastAsia="Times New Roman" w:hAnsi="Arial" w:cs="Arial"/>
          <w:sz w:val="22"/>
          <w:szCs w:val="22"/>
          <w:lang w:val="en-GB"/>
        </w:rPr>
        <w:t>m the following sources:</w:t>
      </w:r>
    </w:p>
    <w:p w14:paraId="7A8BBC31" w14:textId="77777777" w:rsidR="003D3EAE" w:rsidRPr="000D67C6" w:rsidRDefault="003D3EAE" w:rsidP="008F013B">
      <w:pPr>
        <w:pStyle w:val="Normal0"/>
        <w:spacing w:line="259" w:lineRule="auto"/>
        <w:jc w:val="both"/>
        <w:rPr>
          <w:rFonts w:ascii="Arial" w:eastAsia="Times New Roman" w:hAnsi="Arial" w:cs="Arial"/>
          <w:b/>
          <w:sz w:val="22"/>
          <w:szCs w:val="22"/>
          <w:lang w:val="en-GB"/>
        </w:rPr>
      </w:pPr>
    </w:p>
    <w:tbl>
      <w:tblPr>
        <w:tblW w:w="665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4039"/>
        <w:gridCol w:w="1319"/>
      </w:tblGrid>
      <w:tr w:rsidR="003D3EAE" w:rsidRPr="000D67C6" w14:paraId="712A5DA5" w14:textId="77777777" w:rsidTr="007E292B">
        <w:trPr>
          <w:trHeight w:val="288"/>
          <w:jc w:val="center"/>
        </w:trPr>
        <w:tc>
          <w:tcPr>
            <w:tcW w:w="1300" w:type="dxa"/>
            <w:tcBorders>
              <w:top w:val="single" w:sz="4" w:space="0" w:color="auto"/>
              <w:bottom w:val="nil"/>
              <w:right w:val="single" w:sz="4" w:space="0" w:color="auto"/>
            </w:tcBorders>
            <w:shd w:val="clear" w:color="auto" w:fill="auto"/>
            <w:noWrap/>
            <w:vAlign w:val="center"/>
            <w:hideMark/>
          </w:tcPr>
          <w:p w14:paraId="5DBF947E" w14:textId="77777777" w:rsidR="003D3EAE" w:rsidRPr="000D67C6" w:rsidRDefault="007C4B12" w:rsidP="003D3EAE">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201</w:t>
            </w:r>
            <w:r w:rsidR="00C002D2" w:rsidRPr="000D67C6">
              <w:rPr>
                <w:rFonts w:ascii="Arial" w:eastAsia="Times New Roman" w:hAnsi="Arial" w:cs="Arial"/>
                <w:b/>
                <w:bCs/>
                <w:color w:val="000000"/>
                <w:sz w:val="22"/>
                <w:szCs w:val="22"/>
                <w:lang w:val="en-GB" w:eastAsia="en-GB"/>
              </w:rPr>
              <w:t>7</w:t>
            </w:r>
            <w:r w:rsidRPr="000D67C6">
              <w:rPr>
                <w:rFonts w:ascii="Arial" w:eastAsia="Times New Roman" w:hAnsi="Arial" w:cs="Arial"/>
                <w:b/>
                <w:bCs/>
                <w:color w:val="000000"/>
                <w:sz w:val="22"/>
                <w:szCs w:val="22"/>
                <w:lang w:val="en-GB" w:eastAsia="en-GB"/>
              </w:rPr>
              <w:t>/1</w:t>
            </w:r>
            <w:r w:rsidR="00C002D2" w:rsidRPr="000D67C6">
              <w:rPr>
                <w:rFonts w:ascii="Arial" w:eastAsia="Times New Roman" w:hAnsi="Arial" w:cs="Arial"/>
                <w:b/>
                <w:bCs/>
                <w:color w:val="000000"/>
                <w:sz w:val="22"/>
                <w:szCs w:val="22"/>
                <w:lang w:val="en-GB" w:eastAsia="en-GB"/>
              </w:rPr>
              <w:t>8</w:t>
            </w:r>
          </w:p>
        </w:tc>
        <w:tc>
          <w:tcPr>
            <w:tcW w:w="4039" w:type="dxa"/>
            <w:tcBorders>
              <w:top w:val="single" w:sz="4" w:space="0" w:color="auto"/>
              <w:left w:val="single" w:sz="4" w:space="0" w:color="auto"/>
              <w:bottom w:val="nil"/>
              <w:right w:val="single" w:sz="4" w:space="0" w:color="auto"/>
            </w:tcBorders>
            <w:shd w:val="clear" w:color="auto" w:fill="auto"/>
            <w:noWrap/>
            <w:vAlign w:val="center"/>
            <w:hideMark/>
          </w:tcPr>
          <w:p w14:paraId="19B086CF" w14:textId="77777777" w:rsidR="003D3EAE" w:rsidRPr="000D67C6" w:rsidRDefault="003D3EAE" w:rsidP="003D3EAE">
            <w:pPr>
              <w:jc w:val="right"/>
              <w:rPr>
                <w:rFonts w:ascii="Arial" w:eastAsia="Times New Roman" w:hAnsi="Arial" w:cs="Arial"/>
                <w:b/>
                <w:bCs/>
                <w:color w:val="000000"/>
                <w:sz w:val="22"/>
                <w:szCs w:val="22"/>
                <w:lang w:val="en-GB" w:eastAsia="en-GB"/>
              </w:rPr>
            </w:pPr>
          </w:p>
        </w:tc>
        <w:tc>
          <w:tcPr>
            <w:tcW w:w="1319" w:type="dxa"/>
            <w:tcBorders>
              <w:top w:val="single" w:sz="4" w:space="0" w:color="auto"/>
              <w:left w:val="single" w:sz="4" w:space="0" w:color="auto"/>
              <w:bottom w:val="nil"/>
            </w:tcBorders>
            <w:shd w:val="clear" w:color="auto" w:fill="auto"/>
            <w:noWrap/>
            <w:vAlign w:val="center"/>
            <w:hideMark/>
          </w:tcPr>
          <w:p w14:paraId="24306F4B" w14:textId="77777777" w:rsidR="003D3EAE" w:rsidRPr="000D67C6" w:rsidRDefault="007C4B12" w:rsidP="003D3EAE">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201</w:t>
            </w:r>
            <w:r w:rsidR="00C002D2" w:rsidRPr="000D67C6">
              <w:rPr>
                <w:rFonts w:ascii="Arial" w:eastAsia="Times New Roman" w:hAnsi="Arial" w:cs="Arial"/>
                <w:b/>
                <w:bCs/>
                <w:color w:val="000000"/>
                <w:sz w:val="22"/>
                <w:szCs w:val="22"/>
                <w:lang w:val="en-GB" w:eastAsia="en-GB"/>
              </w:rPr>
              <w:t>8</w:t>
            </w:r>
            <w:r w:rsidRPr="000D67C6">
              <w:rPr>
                <w:rFonts w:ascii="Arial" w:eastAsia="Times New Roman" w:hAnsi="Arial" w:cs="Arial"/>
                <w:b/>
                <w:bCs/>
                <w:color w:val="000000"/>
                <w:sz w:val="22"/>
                <w:szCs w:val="22"/>
                <w:lang w:val="en-GB" w:eastAsia="en-GB"/>
              </w:rPr>
              <w:t>/1</w:t>
            </w:r>
            <w:r w:rsidR="00C002D2" w:rsidRPr="000D67C6">
              <w:rPr>
                <w:rFonts w:ascii="Arial" w:eastAsia="Times New Roman" w:hAnsi="Arial" w:cs="Arial"/>
                <w:b/>
                <w:bCs/>
                <w:color w:val="000000"/>
                <w:sz w:val="22"/>
                <w:szCs w:val="22"/>
                <w:lang w:val="en-GB" w:eastAsia="en-GB"/>
              </w:rPr>
              <w:t>9</w:t>
            </w:r>
          </w:p>
        </w:tc>
      </w:tr>
      <w:tr w:rsidR="003D3EAE" w:rsidRPr="000D67C6" w14:paraId="261828E9" w14:textId="77777777" w:rsidTr="007E292B">
        <w:trPr>
          <w:trHeight w:val="288"/>
          <w:jc w:val="center"/>
        </w:trPr>
        <w:tc>
          <w:tcPr>
            <w:tcW w:w="1300" w:type="dxa"/>
            <w:tcBorders>
              <w:top w:val="nil"/>
              <w:bottom w:val="single" w:sz="4" w:space="0" w:color="auto"/>
              <w:right w:val="single" w:sz="4" w:space="0" w:color="auto"/>
            </w:tcBorders>
            <w:shd w:val="clear" w:color="auto" w:fill="auto"/>
            <w:noWrap/>
            <w:vAlign w:val="center"/>
            <w:hideMark/>
          </w:tcPr>
          <w:p w14:paraId="01577523" w14:textId="77777777" w:rsidR="003D3EAE" w:rsidRPr="000D67C6" w:rsidRDefault="003D3EAE" w:rsidP="003D3EAE">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13356C4D" w14:textId="77777777" w:rsidR="003D3EAE" w:rsidRPr="000D67C6" w:rsidRDefault="003D3EAE" w:rsidP="003D3EAE">
            <w:pPr>
              <w:jc w:val="right"/>
              <w:rPr>
                <w:rFonts w:ascii="Arial" w:eastAsia="Times New Roman" w:hAnsi="Arial" w:cs="Arial"/>
                <w:b/>
                <w:bCs/>
                <w:color w:val="000000"/>
                <w:sz w:val="22"/>
                <w:szCs w:val="22"/>
                <w:lang w:val="en-GB" w:eastAsia="en-GB"/>
              </w:rPr>
            </w:pPr>
          </w:p>
        </w:tc>
        <w:tc>
          <w:tcPr>
            <w:tcW w:w="1319" w:type="dxa"/>
            <w:tcBorders>
              <w:top w:val="nil"/>
              <w:left w:val="single" w:sz="4" w:space="0" w:color="auto"/>
              <w:bottom w:val="single" w:sz="4" w:space="0" w:color="auto"/>
            </w:tcBorders>
            <w:shd w:val="clear" w:color="auto" w:fill="auto"/>
            <w:noWrap/>
            <w:vAlign w:val="center"/>
            <w:hideMark/>
          </w:tcPr>
          <w:p w14:paraId="03887C60" w14:textId="77777777" w:rsidR="003D3EAE" w:rsidRPr="000D67C6" w:rsidRDefault="003D3EAE" w:rsidP="003D3EAE">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r>
      <w:tr w:rsidR="00C002D2" w:rsidRPr="000D67C6" w14:paraId="1C142CF7" w14:textId="77777777" w:rsidTr="007E292B">
        <w:trPr>
          <w:trHeight w:val="354"/>
          <w:jc w:val="center"/>
        </w:trPr>
        <w:tc>
          <w:tcPr>
            <w:tcW w:w="1300" w:type="dxa"/>
            <w:tcBorders>
              <w:top w:val="single" w:sz="4" w:space="0" w:color="auto"/>
              <w:left w:val="single" w:sz="4" w:space="0" w:color="auto"/>
            </w:tcBorders>
            <w:shd w:val="clear" w:color="auto" w:fill="auto"/>
            <w:noWrap/>
            <w:vAlign w:val="center"/>
            <w:hideMark/>
          </w:tcPr>
          <w:p w14:paraId="07E62D0E" w14:textId="77777777" w:rsidR="00C002D2" w:rsidRPr="000D67C6" w:rsidRDefault="00C002D2"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2,918</w:t>
            </w:r>
          </w:p>
        </w:tc>
        <w:tc>
          <w:tcPr>
            <w:tcW w:w="4039" w:type="dxa"/>
            <w:tcBorders>
              <w:top w:val="single" w:sz="4" w:space="0" w:color="auto"/>
              <w:left w:val="single" w:sz="4" w:space="0" w:color="auto"/>
              <w:right w:val="single" w:sz="4" w:space="0" w:color="auto"/>
            </w:tcBorders>
            <w:shd w:val="clear" w:color="auto" w:fill="auto"/>
            <w:noWrap/>
            <w:vAlign w:val="center"/>
            <w:hideMark/>
          </w:tcPr>
          <w:p w14:paraId="245B28F9" w14:textId="77777777" w:rsidR="00C002D2" w:rsidRPr="000D67C6" w:rsidRDefault="00C002D2" w:rsidP="00C002D2">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Revenue Grants</w:t>
            </w:r>
          </w:p>
        </w:tc>
        <w:tc>
          <w:tcPr>
            <w:tcW w:w="1319" w:type="dxa"/>
            <w:tcBorders>
              <w:top w:val="single" w:sz="4" w:space="0" w:color="auto"/>
              <w:left w:val="single" w:sz="4" w:space="0" w:color="auto"/>
            </w:tcBorders>
            <w:shd w:val="clear" w:color="auto" w:fill="auto"/>
            <w:noWrap/>
            <w:vAlign w:val="center"/>
          </w:tcPr>
          <w:p w14:paraId="583FA119" w14:textId="77777777" w:rsidR="00C002D2" w:rsidRPr="000D67C6" w:rsidRDefault="00193288"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3,07</w:t>
            </w:r>
            <w:r w:rsidR="00724FCC" w:rsidRPr="000D67C6">
              <w:rPr>
                <w:rFonts w:ascii="Arial" w:eastAsia="Times New Roman" w:hAnsi="Arial" w:cs="Arial"/>
                <w:color w:val="000000"/>
                <w:sz w:val="22"/>
                <w:szCs w:val="22"/>
                <w:lang w:val="en-GB" w:eastAsia="en-GB"/>
              </w:rPr>
              <w:t>2</w:t>
            </w:r>
          </w:p>
        </w:tc>
      </w:tr>
      <w:tr w:rsidR="00C002D2" w:rsidRPr="000D67C6" w14:paraId="2CE50270" w14:textId="77777777" w:rsidTr="007E292B">
        <w:trPr>
          <w:trHeight w:val="354"/>
          <w:jc w:val="center"/>
        </w:trPr>
        <w:tc>
          <w:tcPr>
            <w:tcW w:w="1300" w:type="dxa"/>
            <w:tcBorders>
              <w:left w:val="single" w:sz="4" w:space="0" w:color="auto"/>
            </w:tcBorders>
            <w:shd w:val="clear" w:color="auto" w:fill="auto"/>
            <w:noWrap/>
            <w:vAlign w:val="center"/>
            <w:hideMark/>
          </w:tcPr>
          <w:p w14:paraId="4D0DB8AD" w14:textId="77777777" w:rsidR="00C002D2" w:rsidRPr="000D67C6" w:rsidRDefault="00C002D2"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36</w:t>
            </w:r>
          </w:p>
        </w:tc>
        <w:tc>
          <w:tcPr>
            <w:tcW w:w="4039" w:type="dxa"/>
            <w:tcBorders>
              <w:left w:val="single" w:sz="4" w:space="0" w:color="auto"/>
              <w:right w:val="single" w:sz="4" w:space="0" w:color="auto"/>
            </w:tcBorders>
            <w:shd w:val="clear" w:color="auto" w:fill="auto"/>
            <w:noWrap/>
            <w:vAlign w:val="center"/>
            <w:hideMark/>
          </w:tcPr>
          <w:p w14:paraId="2272A07D" w14:textId="77777777" w:rsidR="00C002D2" w:rsidRPr="000D67C6" w:rsidRDefault="00C002D2" w:rsidP="00C002D2">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Interest</w:t>
            </w:r>
          </w:p>
        </w:tc>
        <w:tc>
          <w:tcPr>
            <w:tcW w:w="1319" w:type="dxa"/>
            <w:tcBorders>
              <w:left w:val="single" w:sz="4" w:space="0" w:color="auto"/>
            </w:tcBorders>
            <w:shd w:val="clear" w:color="auto" w:fill="auto"/>
            <w:noWrap/>
            <w:vAlign w:val="center"/>
          </w:tcPr>
          <w:p w14:paraId="22839482" w14:textId="77777777" w:rsidR="00C002D2" w:rsidRPr="000D67C6" w:rsidRDefault="00724FCC"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42</w:t>
            </w:r>
          </w:p>
        </w:tc>
      </w:tr>
      <w:tr w:rsidR="00C002D2" w:rsidRPr="000D67C6" w14:paraId="65558B23" w14:textId="77777777" w:rsidTr="007E292B">
        <w:trPr>
          <w:trHeight w:val="354"/>
          <w:jc w:val="center"/>
        </w:trPr>
        <w:tc>
          <w:tcPr>
            <w:tcW w:w="1300" w:type="dxa"/>
            <w:tcBorders>
              <w:left w:val="single" w:sz="4" w:space="0" w:color="auto"/>
            </w:tcBorders>
            <w:shd w:val="clear" w:color="auto" w:fill="auto"/>
            <w:noWrap/>
            <w:vAlign w:val="center"/>
            <w:hideMark/>
          </w:tcPr>
          <w:p w14:paraId="689B59E7" w14:textId="77777777" w:rsidR="00C002D2" w:rsidRPr="000D67C6" w:rsidRDefault="00C002D2"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1,375</w:t>
            </w:r>
          </w:p>
        </w:tc>
        <w:tc>
          <w:tcPr>
            <w:tcW w:w="4039" w:type="dxa"/>
            <w:tcBorders>
              <w:left w:val="single" w:sz="4" w:space="0" w:color="auto"/>
              <w:right w:val="single" w:sz="4" w:space="0" w:color="auto"/>
            </w:tcBorders>
            <w:shd w:val="clear" w:color="auto" w:fill="auto"/>
            <w:noWrap/>
            <w:vAlign w:val="center"/>
            <w:hideMark/>
          </w:tcPr>
          <w:p w14:paraId="2AD4DD3E" w14:textId="6B4BF1EE" w:rsidR="00C002D2" w:rsidRPr="000D67C6" w:rsidRDefault="00C002D2" w:rsidP="00C002D2">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Fees &amp; Charges</w:t>
            </w:r>
            <w:r w:rsidR="002166B5">
              <w:rPr>
                <w:rFonts w:ascii="Arial" w:eastAsia="Times New Roman" w:hAnsi="Arial" w:cs="Arial"/>
                <w:color w:val="000000"/>
                <w:sz w:val="22"/>
                <w:szCs w:val="22"/>
                <w:lang w:val="en-GB" w:eastAsia="en-GB"/>
              </w:rPr>
              <w:t xml:space="preserve"> </w:t>
            </w:r>
            <w:r w:rsidRPr="000D67C6">
              <w:rPr>
                <w:rFonts w:ascii="Arial" w:eastAsia="Times New Roman" w:hAnsi="Arial" w:cs="Arial"/>
                <w:color w:val="000000"/>
                <w:sz w:val="22"/>
                <w:szCs w:val="22"/>
                <w:lang w:val="en-GB" w:eastAsia="en-GB"/>
              </w:rPr>
              <w:t>/</w:t>
            </w:r>
            <w:r w:rsidR="002166B5">
              <w:rPr>
                <w:rFonts w:ascii="Arial" w:eastAsia="Times New Roman" w:hAnsi="Arial" w:cs="Arial"/>
                <w:color w:val="000000"/>
                <w:sz w:val="22"/>
                <w:szCs w:val="22"/>
                <w:lang w:val="en-GB" w:eastAsia="en-GB"/>
              </w:rPr>
              <w:t xml:space="preserve"> </w:t>
            </w:r>
            <w:r w:rsidRPr="000D67C6">
              <w:rPr>
                <w:rFonts w:ascii="Arial" w:eastAsia="Times New Roman" w:hAnsi="Arial" w:cs="Arial"/>
                <w:color w:val="000000"/>
                <w:sz w:val="22"/>
                <w:szCs w:val="22"/>
                <w:lang w:val="en-GB" w:eastAsia="en-GB"/>
              </w:rPr>
              <w:t>Reimbursements</w:t>
            </w:r>
          </w:p>
        </w:tc>
        <w:tc>
          <w:tcPr>
            <w:tcW w:w="1319" w:type="dxa"/>
            <w:tcBorders>
              <w:left w:val="single" w:sz="4" w:space="0" w:color="auto"/>
            </w:tcBorders>
            <w:shd w:val="clear" w:color="auto" w:fill="auto"/>
            <w:noWrap/>
            <w:vAlign w:val="center"/>
          </w:tcPr>
          <w:p w14:paraId="433863B2" w14:textId="77777777" w:rsidR="00C002D2" w:rsidRPr="000D67C6" w:rsidRDefault="00724FCC"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1,309</w:t>
            </w:r>
          </w:p>
        </w:tc>
      </w:tr>
      <w:tr w:rsidR="00C002D2" w:rsidRPr="000D67C6" w14:paraId="7F97C92B" w14:textId="77777777" w:rsidTr="007E292B">
        <w:trPr>
          <w:trHeight w:val="354"/>
          <w:jc w:val="center"/>
        </w:trPr>
        <w:tc>
          <w:tcPr>
            <w:tcW w:w="1300" w:type="dxa"/>
            <w:tcBorders>
              <w:left w:val="single" w:sz="4" w:space="0" w:color="auto"/>
            </w:tcBorders>
            <w:shd w:val="clear" w:color="auto" w:fill="auto"/>
            <w:noWrap/>
            <w:vAlign w:val="center"/>
            <w:hideMark/>
          </w:tcPr>
          <w:p w14:paraId="1DC7B800" w14:textId="77777777" w:rsidR="00C002D2" w:rsidRPr="000D67C6" w:rsidRDefault="00C002D2" w:rsidP="00C002D2">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4,329</w:t>
            </w:r>
          </w:p>
        </w:tc>
        <w:tc>
          <w:tcPr>
            <w:tcW w:w="4039" w:type="dxa"/>
            <w:tcBorders>
              <w:left w:val="single" w:sz="4" w:space="0" w:color="auto"/>
              <w:right w:val="single" w:sz="4" w:space="0" w:color="auto"/>
            </w:tcBorders>
            <w:shd w:val="clear" w:color="auto" w:fill="auto"/>
            <w:noWrap/>
            <w:vAlign w:val="center"/>
            <w:hideMark/>
          </w:tcPr>
          <w:p w14:paraId="11EA9C43" w14:textId="77777777" w:rsidR="00C002D2" w:rsidRPr="000D67C6" w:rsidRDefault="00C002D2" w:rsidP="00C002D2">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Sub Total</w:t>
            </w:r>
          </w:p>
        </w:tc>
        <w:tc>
          <w:tcPr>
            <w:tcW w:w="1319" w:type="dxa"/>
            <w:tcBorders>
              <w:left w:val="single" w:sz="4" w:space="0" w:color="auto"/>
            </w:tcBorders>
            <w:shd w:val="clear" w:color="auto" w:fill="auto"/>
            <w:noWrap/>
            <w:vAlign w:val="center"/>
          </w:tcPr>
          <w:p w14:paraId="70797C05" w14:textId="77777777" w:rsidR="00C002D2" w:rsidRPr="000D67C6" w:rsidRDefault="00724FCC" w:rsidP="00C002D2">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4,423</w:t>
            </w:r>
          </w:p>
        </w:tc>
      </w:tr>
      <w:tr w:rsidR="00C002D2" w:rsidRPr="000D67C6" w14:paraId="4F2D83B9" w14:textId="77777777" w:rsidTr="007E292B">
        <w:trPr>
          <w:trHeight w:val="354"/>
          <w:jc w:val="center"/>
        </w:trPr>
        <w:tc>
          <w:tcPr>
            <w:tcW w:w="1300" w:type="dxa"/>
            <w:tcBorders>
              <w:left w:val="single" w:sz="4" w:space="0" w:color="auto"/>
            </w:tcBorders>
            <w:shd w:val="clear" w:color="auto" w:fill="auto"/>
            <w:noWrap/>
            <w:vAlign w:val="center"/>
            <w:hideMark/>
          </w:tcPr>
          <w:p w14:paraId="7D0D7279" w14:textId="77777777" w:rsidR="00C002D2" w:rsidRPr="000D67C6" w:rsidRDefault="00C002D2"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45,436</w:t>
            </w:r>
          </w:p>
        </w:tc>
        <w:tc>
          <w:tcPr>
            <w:tcW w:w="4039" w:type="dxa"/>
            <w:tcBorders>
              <w:left w:val="single" w:sz="4" w:space="0" w:color="auto"/>
              <w:right w:val="single" w:sz="4" w:space="0" w:color="auto"/>
            </w:tcBorders>
            <w:shd w:val="clear" w:color="auto" w:fill="auto"/>
            <w:noWrap/>
            <w:vAlign w:val="center"/>
            <w:hideMark/>
          </w:tcPr>
          <w:p w14:paraId="07ED95E7" w14:textId="77777777" w:rsidR="00C002D2" w:rsidRPr="000D67C6" w:rsidRDefault="00C002D2" w:rsidP="00C002D2">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Unitary Authority Contributions</w:t>
            </w:r>
          </w:p>
        </w:tc>
        <w:tc>
          <w:tcPr>
            <w:tcW w:w="1319" w:type="dxa"/>
            <w:tcBorders>
              <w:left w:val="single" w:sz="4" w:space="0" w:color="auto"/>
            </w:tcBorders>
            <w:shd w:val="clear" w:color="auto" w:fill="auto"/>
            <w:noWrap/>
            <w:vAlign w:val="center"/>
          </w:tcPr>
          <w:p w14:paraId="409C81D4" w14:textId="77777777" w:rsidR="00C002D2" w:rsidRPr="000D67C6" w:rsidRDefault="00C82BB9" w:rsidP="00C002D2">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46,659</w:t>
            </w:r>
          </w:p>
        </w:tc>
      </w:tr>
      <w:tr w:rsidR="00C002D2" w:rsidRPr="000D67C6" w14:paraId="3A23DF50" w14:textId="77777777" w:rsidTr="007E292B">
        <w:trPr>
          <w:trHeight w:val="354"/>
          <w:jc w:val="center"/>
        </w:trPr>
        <w:tc>
          <w:tcPr>
            <w:tcW w:w="1300" w:type="dxa"/>
            <w:tcBorders>
              <w:left w:val="single" w:sz="4" w:space="0" w:color="auto"/>
              <w:bottom w:val="single" w:sz="4" w:space="0" w:color="auto"/>
            </w:tcBorders>
            <w:shd w:val="clear" w:color="auto" w:fill="auto"/>
            <w:noWrap/>
            <w:vAlign w:val="center"/>
            <w:hideMark/>
          </w:tcPr>
          <w:p w14:paraId="202324A7" w14:textId="77777777" w:rsidR="00C002D2" w:rsidRPr="000D67C6" w:rsidRDefault="00C002D2" w:rsidP="00C002D2">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49,765</w:t>
            </w:r>
          </w:p>
        </w:tc>
        <w:tc>
          <w:tcPr>
            <w:tcW w:w="4039" w:type="dxa"/>
            <w:tcBorders>
              <w:left w:val="single" w:sz="4" w:space="0" w:color="auto"/>
              <w:right w:val="single" w:sz="4" w:space="0" w:color="auto"/>
            </w:tcBorders>
            <w:shd w:val="clear" w:color="auto" w:fill="auto"/>
            <w:noWrap/>
            <w:vAlign w:val="center"/>
            <w:hideMark/>
          </w:tcPr>
          <w:p w14:paraId="7F41E957" w14:textId="77777777" w:rsidR="00C002D2" w:rsidRPr="000D67C6" w:rsidRDefault="00C002D2" w:rsidP="00C002D2">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Total Revenue Funding</w:t>
            </w:r>
          </w:p>
        </w:tc>
        <w:tc>
          <w:tcPr>
            <w:tcW w:w="1319" w:type="dxa"/>
            <w:tcBorders>
              <w:left w:val="single" w:sz="4" w:space="0" w:color="auto"/>
              <w:bottom w:val="single" w:sz="4" w:space="0" w:color="auto"/>
            </w:tcBorders>
            <w:shd w:val="clear" w:color="auto" w:fill="auto"/>
            <w:noWrap/>
            <w:vAlign w:val="center"/>
          </w:tcPr>
          <w:p w14:paraId="1EA1A42C" w14:textId="77777777" w:rsidR="00C002D2" w:rsidRPr="000D67C6" w:rsidRDefault="00724FCC" w:rsidP="00C002D2">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51,082</w:t>
            </w:r>
          </w:p>
        </w:tc>
      </w:tr>
    </w:tbl>
    <w:p w14:paraId="0D3AC3CD" w14:textId="77777777" w:rsidR="003D3EAE" w:rsidRPr="000D67C6" w:rsidRDefault="003D3EAE" w:rsidP="008F013B">
      <w:pPr>
        <w:pStyle w:val="Normal0"/>
        <w:spacing w:line="259" w:lineRule="auto"/>
        <w:jc w:val="both"/>
        <w:rPr>
          <w:rFonts w:ascii="Arial" w:eastAsia="Times New Roman" w:hAnsi="Arial" w:cs="Arial"/>
          <w:b/>
          <w:sz w:val="22"/>
          <w:szCs w:val="22"/>
          <w:lang w:val="en-GB"/>
        </w:rPr>
      </w:pPr>
    </w:p>
    <w:p w14:paraId="22764ABE"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2F1E2880"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Capital Expenditure</w:t>
      </w:r>
    </w:p>
    <w:p w14:paraId="3304894C"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5013F76F" w14:textId="77777777" w:rsidR="008F013B" w:rsidRPr="000D67C6" w:rsidRDefault="005A28C1"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w:t>
      </w:r>
      <w:r w:rsidR="008F013B" w:rsidRPr="000D67C6">
        <w:rPr>
          <w:rFonts w:ascii="Arial" w:eastAsia="Times New Roman" w:hAnsi="Arial" w:cs="Arial"/>
          <w:sz w:val="22"/>
          <w:szCs w:val="22"/>
          <w:lang w:val="en-GB"/>
        </w:rPr>
        <w:t xml:space="preserve">apital expenditure in the year </w:t>
      </w:r>
      <w:r w:rsidRPr="000D67C6">
        <w:rPr>
          <w:rFonts w:ascii="Arial" w:eastAsia="Times New Roman" w:hAnsi="Arial" w:cs="Arial"/>
          <w:sz w:val="22"/>
          <w:szCs w:val="22"/>
          <w:lang w:val="en-GB"/>
        </w:rPr>
        <w:t>totalled</w:t>
      </w:r>
      <w:r w:rsidR="008F013B" w:rsidRPr="000D67C6">
        <w:rPr>
          <w:rFonts w:ascii="Arial" w:eastAsia="Times New Roman" w:hAnsi="Arial" w:cs="Arial"/>
          <w:sz w:val="22"/>
          <w:szCs w:val="22"/>
          <w:lang w:val="en-GB"/>
        </w:rPr>
        <w:t xml:space="preserve"> £</w:t>
      </w:r>
      <w:r w:rsidR="00231C28" w:rsidRPr="000D67C6">
        <w:rPr>
          <w:rFonts w:ascii="Arial" w:eastAsia="Times New Roman" w:hAnsi="Arial" w:cs="Arial"/>
          <w:sz w:val="22"/>
          <w:szCs w:val="22"/>
          <w:lang w:val="en-GB"/>
        </w:rPr>
        <w:t>2.384</w:t>
      </w:r>
      <w:r w:rsidR="008F013B" w:rsidRPr="000D67C6">
        <w:rPr>
          <w:rFonts w:ascii="Arial" w:eastAsia="Times New Roman" w:hAnsi="Arial" w:cs="Arial"/>
          <w:sz w:val="22"/>
          <w:szCs w:val="22"/>
          <w:lang w:val="en-GB"/>
        </w:rPr>
        <w:t>m.</w:t>
      </w:r>
      <w:r w:rsidRPr="000D67C6">
        <w:rPr>
          <w:rFonts w:ascii="Arial" w:eastAsia="Times New Roman" w:hAnsi="Arial" w:cs="Arial"/>
          <w:sz w:val="22"/>
          <w:szCs w:val="22"/>
          <w:lang w:val="en-GB"/>
        </w:rPr>
        <w:t xml:space="preserve"> The </w:t>
      </w:r>
      <w:r w:rsidR="00781B35" w:rsidRPr="000D67C6">
        <w:rPr>
          <w:rFonts w:ascii="Arial" w:eastAsia="Times New Roman" w:hAnsi="Arial" w:cs="Arial"/>
          <w:sz w:val="22"/>
          <w:szCs w:val="22"/>
          <w:lang w:val="en-GB"/>
        </w:rPr>
        <w:t>following table sets out expenditure by category and financing for 201</w:t>
      </w:r>
      <w:r w:rsidR="00C002D2" w:rsidRPr="000D67C6">
        <w:rPr>
          <w:rFonts w:ascii="Arial" w:eastAsia="Times New Roman" w:hAnsi="Arial" w:cs="Arial"/>
          <w:sz w:val="22"/>
          <w:szCs w:val="22"/>
          <w:lang w:val="en-GB"/>
        </w:rPr>
        <w:t>8</w:t>
      </w:r>
      <w:r w:rsidR="00781B35" w:rsidRPr="000D67C6">
        <w:rPr>
          <w:rFonts w:ascii="Arial" w:eastAsia="Times New Roman" w:hAnsi="Arial" w:cs="Arial"/>
          <w:sz w:val="22"/>
          <w:szCs w:val="22"/>
          <w:lang w:val="en-GB"/>
        </w:rPr>
        <w:t>/1</w:t>
      </w:r>
      <w:r w:rsidR="00C002D2" w:rsidRPr="000D67C6">
        <w:rPr>
          <w:rFonts w:ascii="Arial" w:eastAsia="Times New Roman" w:hAnsi="Arial" w:cs="Arial"/>
          <w:sz w:val="22"/>
          <w:szCs w:val="22"/>
          <w:lang w:val="en-GB"/>
        </w:rPr>
        <w:t>9</w:t>
      </w:r>
      <w:r w:rsidR="00781B35" w:rsidRPr="000D67C6">
        <w:rPr>
          <w:rFonts w:ascii="Arial" w:eastAsia="Times New Roman" w:hAnsi="Arial" w:cs="Arial"/>
          <w:sz w:val="22"/>
          <w:szCs w:val="22"/>
          <w:lang w:val="en-GB"/>
        </w:rPr>
        <w:t>.</w:t>
      </w:r>
    </w:p>
    <w:p w14:paraId="29083A7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1176"/>
        <w:gridCol w:w="1174"/>
        <w:gridCol w:w="1177"/>
      </w:tblGrid>
      <w:tr w:rsidR="0012334B" w:rsidRPr="000D67C6" w14:paraId="07965538" w14:textId="77777777" w:rsidTr="00A339B8">
        <w:trPr>
          <w:trHeight w:val="496"/>
          <w:jc w:val="center"/>
        </w:trPr>
        <w:tc>
          <w:tcPr>
            <w:tcW w:w="5483" w:type="dxa"/>
            <w:tcBorders>
              <w:bottom w:val="single" w:sz="4" w:space="0" w:color="auto"/>
            </w:tcBorders>
            <w:vAlign w:val="center"/>
          </w:tcPr>
          <w:p w14:paraId="3BB7923D" w14:textId="77777777" w:rsidR="0012334B" w:rsidRPr="000D67C6" w:rsidRDefault="0012334B" w:rsidP="008F013B">
            <w:pPr>
              <w:pStyle w:val="Normal0"/>
              <w:spacing w:line="259" w:lineRule="auto"/>
              <w:jc w:val="both"/>
              <w:rPr>
                <w:rFonts w:ascii="Arial" w:eastAsia="Times New Roman" w:hAnsi="Arial" w:cs="Arial"/>
                <w:b/>
                <w:sz w:val="22"/>
                <w:szCs w:val="22"/>
                <w:lang w:val="en-GB"/>
              </w:rPr>
            </w:pPr>
          </w:p>
        </w:tc>
        <w:tc>
          <w:tcPr>
            <w:tcW w:w="1176" w:type="dxa"/>
            <w:tcBorders>
              <w:bottom w:val="single" w:sz="4" w:space="0" w:color="auto"/>
            </w:tcBorders>
            <w:vAlign w:val="center"/>
          </w:tcPr>
          <w:p w14:paraId="0C72120B"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Estimate</w:t>
            </w:r>
          </w:p>
          <w:p w14:paraId="0F2AE858" w14:textId="77777777" w:rsidR="0012334B" w:rsidRPr="000D67C6" w:rsidRDefault="007C4B12"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C002D2" w:rsidRPr="000D67C6">
              <w:rPr>
                <w:rFonts w:ascii="Arial" w:eastAsia="Times New Roman" w:hAnsi="Arial" w:cs="Arial"/>
                <w:b/>
                <w:sz w:val="22"/>
                <w:szCs w:val="22"/>
                <w:lang w:val="en-GB"/>
              </w:rPr>
              <w:t>8</w:t>
            </w:r>
            <w:r w:rsidRPr="000D67C6">
              <w:rPr>
                <w:rFonts w:ascii="Arial" w:eastAsia="Times New Roman" w:hAnsi="Arial" w:cs="Arial"/>
                <w:b/>
                <w:sz w:val="22"/>
                <w:szCs w:val="22"/>
                <w:lang w:val="en-GB"/>
              </w:rPr>
              <w:t>/1</w:t>
            </w:r>
            <w:r w:rsidR="00C002D2" w:rsidRPr="000D67C6">
              <w:rPr>
                <w:rFonts w:ascii="Arial" w:eastAsia="Times New Roman" w:hAnsi="Arial" w:cs="Arial"/>
                <w:b/>
                <w:sz w:val="22"/>
                <w:szCs w:val="22"/>
                <w:lang w:val="en-GB"/>
              </w:rPr>
              <w:t>9</w:t>
            </w:r>
          </w:p>
          <w:p w14:paraId="7C204238"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£000</w:t>
            </w:r>
          </w:p>
        </w:tc>
        <w:tc>
          <w:tcPr>
            <w:tcW w:w="1174" w:type="dxa"/>
            <w:tcBorders>
              <w:bottom w:val="single" w:sz="4" w:space="0" w:color="auto"/>
            </w:tcBorders>
            <w:vAlign w:val="center"/>
          </w:tcPr>
          <w:p w14:paraId="7C995EC4"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Actual</w:t>
            </w:r>
          </w:p>
          <w:p w14:paraId="22D5924C" w14:textId="77777777" w:rsidR="0012334B" w:rsidRPr="000D67C6" w:rsidRDefault="007C4B12"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C002D2" w:rsidRPr="000D67C6">
              <w:rPr>
                <w:rFonts w:ascii="Arial" w:eastAsia="Times New Roman" w:hAnsi="Arial" w:cs="Arial"/>
                <w:b/>
                <w:sz w:val="22"/>
                <w:szCs w:val="22"/>
                <w:lang w:val="en-GB"/>
              </w:rPr>
              <w:t>8</w:t>
            </w:r>
            <w:r w:rsidRPr="000D67C6">
              <w:rPr>
                <w:rFonts w:ascii="Arial" w:eastAsia="Times New Roman" w:hAnsi="Arial" w:cs="Arial"/>
                <w:b/>
                <w:sz w:val="22"/>
                <w:szCs w:val="22"/>
                <w:lang w:val="en-GB"/>
              </w:rPr>
              <w:t>/1</w:t>
            </w:r>
            <w:r w:rsidR="00C002D2" w:rsidRPr="000D67C6">
              <w:rPr>
                <w:rFonts w:ascii="Arial" w:eastAsia="Times New Roman" w:hAnsi="Arial" w:cs="Arial"/>
                <w:b/>
                <w:sz w:val="22"/>
                <w:szCs w:val="22"/>
                <w:lang w:val="en-GB"/>
              </w:rPr>
              <w:t>9</w:t>
            </w:r>
          </w:p>
          <w:p w14:paraId="765A2248"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£000</w:t>
            </w:r>
          </w:p>
        </w:tc>
        <w:tc>
          <w:tcPr>
            <w:tcW w:w="1177" w:type="dxa"/>
            <w:tcBorders>
              <w:bottom w:val="single" w:sz="4" w:space="0" w:color="auto"/>
            </w:tcBorders>
            <w:vAlign w:val="center"/>
          </w:tcPr>
          <w:p w14:paraId="7AE21897"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Estimate</w:t>
            </w:r>
          </w:p>
          <w:p w14:paraId="4ED6638C" w14:textId="77777777" w:rsidR="0012334B" w:rsidRPr="000D67C6" w:rsidRDefault="007C4B12"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C002D2" w:rsidRPr="000D67C6">
              <w:rPr>
                <w:rFonts w:ascii="Arial" w:eastAsia="Times New Roman" w:hAnsi="Arial" w:cs="Arial"/>
                <w:b/>
                <w:sz w:val="22"/>
                <w:szCs w:val="22"/>
                <w:lang w:val="en-GB"/>
              </w:rPr>
              <w:t>9</w:t>
            </w:r>
            <w:r w:rsidRPr="000D67C6">
              <w:rPr>
                <w:rFonts w:ascii="Arial" w:eastAsia="Times New Roman" w:hAnsi="Arial" w:cs="Arial"/>
                <w:b/>
                <w:sz w:val="22"/>
                <w:szCs w:val="22"/>
                <w:lang w:val="en-GB"/>
              </w:rPr>
              <w:t>/</w:t>
            </w:r>
            <w:r w:rsidR="00C002D2" w:rsidRPr="000D67C6">
              <w:rPr>
                <w:rFonts w:ascii="Arial" w:eastAsia="Times New Roman" w:hAnsi="Arial" w:cs="Arial"/>
                <w:b/>
                <w:sz w:val="22"/>
                <w:szCs w:val="22"/>
                <w:lang w:val="en-GB"/>
              </w:rPr>
              <w:t>20</w:t>
            </w:r>
          </w:p>
          <w:p w14:paraId="11B5D418"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£000</w:t>
            </w:r>
          </w:p>
        </w:tc>
      </w:tr>
      <w:tr w:rsidR="0012334B" w:rsidRPr="000D67C6" w14:paraId="6D2B4DE5" w14:textId="77777777" w:rsidTr="00714D86">
        <w:trPr>
          <w:trHeight w:val="367"/>
          <w:jc w:val="center"/>
        </w:trPr>
        <w:tc>
          <w:tcPr>
            <w:tcW w:w="5483" w:type="dxa"/>
            <w:tcBorders>
              <w:top w:val="single" w:sz="4" w:space="0" w:color="auto"/>
              <w:left w:val="single" w:sz="4" w:space="0" w:color="auto"/>
              <w:bottom w:val="nil"/>
              <w:right w:val="single" w:sz="4" w:space="0" w:color="auto"/>
            </w:tcBorders>
            <w:vAlign w:val="center"/>
          </w:tcPr>
          <w:p w14:paraId="2D4FF72C" w14:textId="77777777" w:rsidR="0012334B" w:rsidRPr="000D67C6" w:rsidRDefault="00714D86"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Expenditure:</w:t>
            </w:r>
          </w:p>
        </w:tc>
        <w:tc>
          <w:tcPr>
            <w:tcW w:w="1176" w:type="dxa"/>
            <w:tcBorders>
              <w:top w:val="single" w:sz="4" w:space="0" w:color="auto"/>
              <w:left w:val="single" w:sz="4" w:space="0" w:color="auto"/>
              <w:bottom w:val="nil"/>
              <w:right w:val="single" w:sz="4" w:space="0" w:color="auto"/>
            </w:tcBorders>
            <w:vAlign w:val="center"/>
          </w:tcPr>
          <w:p w14:paraId="6FCA24CE"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p>
        </w:tc>
        <w:tc>
          <w:tcPr>
            <w:tcW w:w="1174" w:type="dxa"/>
            <w:tcBorders>
              <w:top w:val="single" w:sz="4" w:space="0" w:color="auto"/>
              <w:left w:val="single" w:sz="4" w:space="0" w:color="auto"/>
              <w:bottom w:val="nil"/>
              <w:right w:val="single" w:sz="4" w:space="0" w:color="auto"/>
            </w:tcBorders>
            <w:vAlign w:val="center"/>
          </w:tcPr>
          <w:p w14:paraId="38F2DA2A"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p>
        </w:tc>
        <w:tc>
          <w:tcPr>
            <w:tcW w:w="1177" w:type="dxa"/>
            <w:tcBorders>
              <w:top w:val="single" w:sz="4" w:space="0" w:color="auto"/>
              <w:left w:val="single" w:sz="4" w:space="0" w:color="auto"/>
              <w:bottom w:val="nil"/>
              <w:right w:val="single" w:sz="4" w:space="0" w:color="auto"/>
            </w:tcBorders>
            <w:vAlign w:val="center"/>
          </w:tcPr>
          <w:p w14:paraId="57A84351" w14:textId="77777777" w:rsidR="0012334B" w:rsidRPr="000D67C6" w:rsidRDefault="0012334B" w:rsidP="00C17869">
            <w:pPr>
              <w:pStyle w:val="Normal0"/>
              <w:spacing w:line="259" w:lineRule="auto"/>
              <w:jc w:val="right"/>
              <w:rPr>
                <w:rFonts w:ascii="Arial" w:eastAsia="Times New Roman" w:hAnsi="Arial" w:cs="Arial"/>
                <w:b/>
                <w:sz w:val="22"/>
                <w:szCs w:val="22"/>
                <w:lang w:val="en-GB"/>
              </w:rPr>
            </w:pPr>
          </w:p>
        </w:tc>
      </w:tr>
      <w:tr w:rsidR="00C002D2" w:rsidRPr="000D67C6" w14:paraId="43EB011D" w14:textId="77777777" w:rsidTr="00714D86">
        <w:trPr>
          <w:trHeight w:val="381"/>
          <w:jc w:val="center"/>
        </w:trPr>
        <w:tc>
          <w:tcPr>
            <w:tcW w:w="5483" w:type="dxa"/>
            <w:tcBorders>
              <w:top w:val="nil"/>
              <w:left w:val="single" w:sz="4" w:space="0" w:color="auto"/>
              <w:bottom w:val="nil"/>
              <w:right w:val="single" w:sz="4" w:space="0" w:color="auto"/>
            </w:tcBorders>
            <w:vAlign w:val="center"/>
          </w:tcPr>
          <w:p w14:paraId="3158315E"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Property – Refurbishments, adaptations, new buildings</w:t>
            </w:r>
          </w:p>
        </w:tc>
        <w:tc>
          <w:tcPr>
            <w:tcW w:w="1176" w:type="dxa"/>
            <w:tcBorders>
              <w:top w:val="nil"/>
              <w:left w:val="single" w:sz="4" w:space="0" w:color="auto"/>
              <w:bottom w:val="nil"/>
              <w:right w:val="single" w:sz="4" w:space="0" w:color="auto"/>
            </w:tcBorders>
            <w:vAlign w:val="center"/>
          </w:tcPr>
          <w:p w14:paraId="1F6AC1A3"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3,064</w:t>
            </w:r>
          </w:p>
        </w:tc>
        <w:tc>
          <w:tcPr>
            <w:tcW w:w="1174" w:type="dxa"/>
            <w:tcBorders>
              <w:top w:val="nil"/>
              <w:left w:val="single" w:sz="4" w:space="0" w:color="auto"/>
              <w:bottom w:val="nil"/>
              <w:right w:val="single" w:sz="4" w:space="0" w:color="auto"/>
            </w:tcBorders>
            <w:vAlign w:val="center"/>
          </w:tcPr>
          <w:p w14:paraId="5D933F90" w14:textId="77777777" w:rsidR="00C002D2" w:rsidRPr="000D67C6" w:rsidRDefault="00796B4C"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626</w:t>
            </w:r>
          </w:p>
        </w:tc>
        <w:tc>
          <w:tcPr>
            <w:tcW w:w="1177" w:type="dxa"/>
            <w:tcBorders>
              <w:top w:val="nil"/>
              <w:left w:val="single" w:sz="4" w:space="0" w:color="auto"/>
              <w:bottom w:val="nil"/>
              <w:right w:val="single" w:sz="4" w:space="0" w:color="auto"/>
            </w:tcBorders>
            <w:vAlign w:val="center"/>
          </w:tcPr>
          <w:p w14:paraId="74FA5DBD" w14:textId="77777777" w:rsidR="00C002D2" w:rsidRPr="000D67C6" w:rsidRDefault="006B6A5D"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3,580</w:t>
            </w:r>
          </w:p>
        </w:tc>
      </w:tr>
      <w:tr w:rsidR="00C002D2" w:rsidRPr="000D67C6" w14:paraId="0A576DBF" w14:textId="77777777" w:rsidTr="00714D86">
        <w:trPr>
          <w:trHeight w:val="399"/>
          <w:jc w:val="center"/>
        </w:trPr>
        <w:tc>
          <w:tcPr>
            <w:tcW w:w="5483" w:type="dxa"/>
            <w:tcBorders>
              <w:top w:val="nil"/>
              <w:left w:val="single" w:sz="4" w:space="0" w:color="auto"/>
              <w:bottom w:val="nil"/>
              <w:right w:val="single" w:sz="4" w:space="0" w:color="auto"/>
            </w:tcBorders>
            <w:vAlign w:val="center"/>
          </w:tcPr>
          <w:p w14:paraId="29968D47"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Infrastructure</w:t>
            </w:r>
          </w:p>
        </w:tc>
        <w:tc>
          <w:tcPr>
            <w:tcW w:w="1176" w:type="dxa"/>
            <w:tcBorders>
              <w:top w:val="nil"/>
              <w:left w:val="single" w:sz="4" w:space="0" w:color="auto"/>
              <w:bottom w:val="nil"/>
              <w:right w:val="single" w:sz="4" w:space="0" w:color="auto"/>
            </w:tcBorders>
            <w:vAlign w:val="center"/>
          </w:tcPr>
          <w:p w14:paraId="0FB6AB2C"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35</w:t>
            </w:r>
          </w:p>
        </w:tc>
        <w:tc>
          <w:tcPr>
            <w:tcW w:w="1174" w:type="dxa"/>
            <w:tcBorders>
              <w:top w:val="nil"/>
              <w:left w:val="single" w:sz="4" w:space="0" w:color="auto"/>
              <w:bottom w:val="nil"/>
              <w:right w:val="single" w:sz="4" w:space="0" w:color="auto"/>
            </w:tcBorders>
            <w:shd w:val="clear" w:color="auto" w:fill="auto"/>
            <w:vAlign w:val="center"/>
          </w:tcPr>
          <w:p w14:paraId="6DD16A4F" w14:textId="77777777" w:rsidR="00C002D2" w:rsidRPr="000D67C6" w:rsidRDefault="00796B4C"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22</w:t>
            </w:r>
          </w:p>
        </w:tc>
        <w:tc>
          <w:tcPr>
            <w:tcW w:w="1177" w:type="dxa"/>
            <w:tcBorders>
              <w:top w:val="nil"/>
              <w:left w:val="single" w:sz="4" w:space="0" w:color="auto"/>
              <w:bottom w:val="nil"/>
              <w:right w:val="single" w:sz="4" w:space="0" w:color="auto"/>
            </w:tcBorders>
            <w:vAlign w:val="center"/>
          </w:tcPr>
          <w:p w14:paraId="15E842CD" w14:textId="77777777" w:rsidR="00C002D2" w:rsidRPr="000D67C6" w:rsidRDefault="006B6A5D"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35</w:t>
            </w:r>
          </w:p>
        </w:tc>
      </w:tr>
      <w:tr w:rsidR="00C002D2" w:rsidRPr="000D67C6" w14:paraId="06D8F93E" w14:textId="77777777" w:rsidTr="005C0A38">
        <w:trPr>
          <w:trHeight w:val="349"/>
          <w:jc w:val="center"/>
        </w:trPr>
        <w:tc>
          <w:tcPr>
            <w:tcW w:w="5483" w:type="dxa"/>
            <w:tcBorders>
              <w:top w:val="nil"/>
              <w:left w:val="single" w:sz="4" w:space="0" w:color="auto"/>
              <w:bottom w:val="nil"/>
              <w:right w:val="single" w:sz="4" w:space="0" w:color="auto"/>
            </w:tcBorders>
            <w:vAlign w:val="center"/>
          </w:tcPr>
          <w:p w14:paraId="5719DF80"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Vehicles, Plant</w:t>
            </w:r>
          </w:p>
        </w:tc>
        <w:tc>
          <w:tcPr>
            <w:tcW w:w="1176" w:type="dxa"/>
            <w:tcBorders>
              <w:top w:val="nil"/>
              <w:left w:val="single" w:sz="4" w:space="0" w:color="auto"/>
              <w:bottom w:val="nil"/>
              <w:right w:val="single" w:sz="4" w:space="0" w:color="auto"/>
            </w:tcBorders>
            <w:vAlign w:val="center"/>
          </w:tcPr>
          <w:p w14:paraId="16A0044C"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4,7</w:t>
            </w:r>
            <w:r w:rsidR="00CE7365" w:rsidRPr="000D67C6">
              <w:rPr>
                <w:rFonts w:ascii="Arial" w:eastAsia="Times New Roman" w:hAnsi="Arial" w:cs="Arial"/>
                <w:sz w:val="22"/>
                <w:szCs w:val="22"/>
                <w:lang w:val="en-GB"/>
              </w:rPr>
              <w:t>17</w:t>
            </w:r>
          </w:p>
        </w:tc>
        <w:tc>
          <w:tcPr>
            <w:tcW w:w="1174" w:type="dxa"/>
            <w:tcBorders>
              <w:top w:val="nil"/>
              <w:left w:val="single" w:sz="4" w:space="0" w:color="auto"/>
              <w:bottom w:val="nil"/>
              <w:right w:val="single" w:sz="4" w:space="0" w:color="auto"/>
            </w:tcBorders>
            <w:shd w:val="clear" w:color="auto" w:fill="auto"/>
            <w:vAlign w:val="center"/>
          </w:tcPr>
          <w:p w14:paraId="13D1A670" w14:textId="77777777" w:rsidR="00C002D2" w:rsidRPr="000D67C6" w:rsidRDefault="001C2494"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w:t>
            </w:r>
            <w:r w:rsidR="00135F4C" w:rsidRPr="000D67C6">
              <w:rPr>
                <w:rFonts w:ascii="Arial" w:eastAsia="Times New Roman" w:hAnsi="Arial" w:cs="Arial"/>
                <w:sz w:val="22"/>
                <w:szCs w:val="22"/>
                <w:lang w:val="en-GB"/>
              </w:rPr>
              <w:t>375</w:t>
            </w:r>
          </w:p>
        </w:tc>
        <w:tc>
          <w:tcPr>
            <w:tcW w:w="1177" w:type="dxa"/>
            <w:tcBorders>
              <w:top w:val="nil"/>
              <w:left w:val="single" w:sz="4" w:space="0" w:color="auto"/>
              <w:bottom w:val="nil"/>
              <w:right w:val="single" w:sz="4" w:space="0" w:color="auto"/>
            </w:tcBorders>
            <w:vAlign w:val="center"/>
          </w:tcPr>
          <w:p w14:paraId="6CEACD75" w14:textId="77777777" w:rsidR="00C002D2" w:rsidRPr="000D67C6" w:rsidRDefault="006B6A5D"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9,</w:t>
            </w:r>
            <w:r w:rsidR="006B14EF" w:rsidRPr="000D67C6">
              <w:rPr>
                <w:rFonts w:ascii="Arial" w:eastAsia="Times New Roman" w:hAnsi="Arial" w:cs="Arial"/>
                <w:sz w:val="22"/>
                <w:szCs w:val="22"/>
                <w:lang w:val="en-GB"/>
              </w:rPr>
              <w:t>52</w:t>
            </w:r>
            <w:r w:rsidR="009144D4" w:rsidRPr="000D67C6">
              <w:rPr>
                <w:rFonts w:ascii="Arial" w:eastAsia="Times New Roman" w:hAnsi="Arial" w:cs="Arial"/>
                <w:sz w:val="22"/>
                <w:szCs w:val="22"/>
                <w:lang w:val="en-GB"/>
              </w:rPr>
              <w:t>8</w:t>
            </w:r>
          </w:p>
        </w:tc>
      </w:tr>
      <w:tr w:rsidR="00C002D2" w:rsidRPr="000D67C6" w14:paraId="47A79BE2" w14:textId="77777777" w:rsidTr="005C0A38">
        <w:trPr>
          <w:trHeight w:val="349"/>
          <w:jc w:val="center"/>
        </w:trPr>
        <w:tc>
          <w:tcPr>
            <w:tcW w:w="5483" w:type="dxa"/>
            <w:tcBorders>
              <w:top w:val="nil"/>
              <w:left w:val="single" w:sz="4" w:space="0" w:color="auto"/>
              <w:bottom w:val="nil"/>
              <w:right w:val="single" w:sz="4" w:space="0" w:color="auto"/>
            </w:tcBorders>
            <w:vAlign w:val="center"/>
          </w:tcPr>
          <w:p w14:paraId="4CDE7D30"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Assets under Construction</w:t>
            </w:r>
          </w:p>
        </w:tc>
        <w:tc>
          <w:tcPr>
            <w:tcW w:w="1176" w:type="dxa"/>
            <w:tcBorders>
              <w:top w:val="nil"/>
              <w:left w:val="single" w:sz="4" w:space="0" w:color="auto"/>
              <w:bottom w:val="nil"/>
              <w:right w:val="single" w:sz="4" w:space="0" w:color="auto"/>
            </w:tcBorders>
            <w:vAlign w:val="center"/>
          </w:tcPr>
          <w:p w14:paraId="0E758716"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1174" w:type="dxa"/>
            <w:tcBorders>
              <w:top w:val="nil"/>
              <w:left w:val="single" w:sz="4" w:space="0" w:color="auto"/>
              <w:bottom w:val="nil"/>
              <w:right w:val="single" w:sz="4" w:space="0" w:color="auto"/>
            </w:tcBorders>
            <w:shd w:val="clear" w:color="auto" w:fill="auto"/>
            <w:vAlign w:val="center"/>
          </w:tcPr>
          <w:p w14:paraId="4DCC1901" w14:textId="77777777" w:rsidR="00C002D2" w:rsidRPr="000D67C6" w:rsidRDefault="00825860"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225</w:t>
            </w:r>
          </w:p>
        </w:tc>
        <w:tc>
          <w:tcPr>
            <w:tcW w:w="1177" w:type="dxa"/>
            <w:tcBorders>
              <w:top w:val="nil"/>
              <w:left w:val="single" w:sz="4" w:space="0" w:color="auto"/>
              <w:bottom w:val="nil"/>
              <w:right w:val="single" w:sz="4" w:space="0" w:color="auto"/>
            </w:tcBorders>
            <w:vAlign w:val="center"/>
          </w:tcPr>
          <w:p w14:paraId="29E8162E" w14:textId="77777777" w:rsidR="00C002D2" w:rsidRPr="000D67C6" w:rsidRDefault="006B6A5D"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C002D2" w:rsidRPr="000D67C6" w14:paraId="08C91C56" w14:textId="77777777" w:rsidTr="005C0A38">
        <w:trPr>
          <w:trHeight w:val="349"/>
          <w:jc w:val="center"/>
        </w:trPr>
        <w:tc>
          <w:tcPr>
            <w:tcW w:w="5483" w:type="dxa"/>
            <w:tcBorders>
              <w:top w:val="nil"/>
              <w:left w:val="single" w:sz="4" w:space="0" w:color="auto"/>
              <w:bottom w:val="nil"/>
              <w:right w:val="single" w:sz="4" w:space="0" w:color="auto"/>
            </w:tcBorders>
            <w:vAlign w:val="center"/>
          </w:tcPr>
          <w:p w14:paraId="0413F749"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Intangible Assets</w:t>
            </w:r>
          </w:p>
        </w:tc>
        <w:tc>
          <w:tcPr>
            <w:tcW w:w="1176" w:type="dxa"/>
            <w:tcBorders>
              <w:top w:val="nil"/>
              <w:left w:val="single" w:sz="4" w:space="0" w:color="auto"/>
              <w:bottom w:val="nil"/>
              <w:right w:val="single" w:sz="4" w:space="0" w:color="auto"/>
            </w:tcBorders>
            <w:vAlign w:val="center"/>
          </w:tcPr>
          <w:p w14:paraId="0D025841" w14:textId="77777777" w:rsidR="00C002D2" w:rsidRPr="000D67C6" w:rsidRDefault="00CE7365"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16</w:t>
            </w:r>
          </w:p>
        </w:tc>
        <w:tc>
          <w:tcPr>
            <w:tcW w:w="1174" w:type="dxa"/>
            <w:tcBorders>
              <w:top w:val="nil"/>
              <w:left w:val="single" w:sz="4" w:space="0" w:color="auto"/>
              <w:bottom w:val="nil"/>
              <w:right w:val="single" w:sz="4" w:space="0" w:color="auto"/>
            </w:tcBorders>
            <w:shd w:val="clear" w:color="auto" w:fill="auto"/>
            <w:vAlign w:val="center"/>
          </w:tcPr>
          <w:p w14:paraId="2E0079F3" w14:textId="77777777" w:rsidR="00C002D2" w:rsidRPr="000D67C6" w:rsidRDefault="007C1320"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136</w:t>
            </w:r>
          </w:p>
        </w:tc>
        <w:tc>
          <w:tcPr>
            <w:tcW w:w="1177" w:type="dxa"/>
            <w:tcBorders>
              <w:top w:val="nil"/>
              <w:left w:val="single" w:sz="4" w:space="0" w:color="auto"/>
              <w:bottom w:val="nil"/>
              <w:right w:val="single" w:sz="4" w:space="0" w:color="auto"/>
            </w:tcBorders>
            <w:vAlign w:val="center"/>
          </w:tcPr>
          <w:p w14:paraId="63532BED" w14:textId="77777777" w:rsidR="00C002D2" w:rsidRPr="000D67C6" w:rsidRDefault="0021279D"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C002D2" w:rsidRPr="000D67C6" w14:paraId="73ADF7FE" w14:textId="77777777" w:rsidTr="005C0A38">
        <w:trPr>
          <w:trHeight w:val="403"/>
          <w:jc w:val="center"/>
        </w:trPr>
        <w:tc>
          <w:tcPr>
            <w:tcW w:w="5483" w:type="dxa"/>
            <w:tcBorders>
              <w:top w:val="nil"/>
              <w:bottom w:val="single" w:sz="4" w:space="0" w:color="auto"/>
            </w:tcBorders>
            <w:vAlign w:val="center"/>
          </w:tcPr>
          <w:p w14:paraId="2650BEAC" w14:textId="77777777" w:rsidR="00C002D2" w:rsidRPr="000D67C6" w:rsidRDefault="00C002D2" w:rsidP="00C002D2">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Total Capital Expenditure</w:t>
            </w:r>
          </w:p>
        </w:tc>
        <w:tc>
          <w:tcPr>
            <w:tcW w:w="1176" w:type="dxa"/>
            <w:tcBorders>
              <w:top w:val="nil"/>
              <w:bottom w:val="single" w:sz="4" w:space="0" w:color="auto"/>
            </w:tcBorders>
            <w:vAlign w:val="center"/>
          </w:tcPr>
          <w:p w14:paraId="02AFA581" w14:textId="77777777" w:rsidR="00C002D2" w:rsidRPr="000D67C6" w:rsidRDefault="00C002D2"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7,832</w:t>
            </w:r>
          </w:p>
        </w:tc>
        <w:tc>
          <w:tcPr>
            <w:tcW w:w="1174" w:type="dxa"/>
            <w:tcBorders>
              <w:top w:val="nil"/>
              <w:bottom w:val="single" w:sz="4" w:space="0" w:color="auto"/>
            </w:tcBorders>
            <w:shd w:val="clear" w:color="auto" w:fill="auto"/>
            <w:vAlign w:val="center"/>
          </w:tcPr>
          <w:p w14:paraId="276CF140" w14:textId="77777777" w:rsidR="00C002D2" w:rsidRPr="000D67C6" w:rsidRDefault="00231C28"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2,384</w:t>
            </w:r>
          </w:p>
        </w:tc>
        <w:tc>
          <w:tcPr>
            <w:tcW w:w="1177" w:type="dxa"/>
            <w:tcBorders>
              <w:top w:val="nil"/>
              <w:bottom w:val="single" w:sz="4" w:space="0" w:color="auto"/>
            </w:tcBorders>
            <w:vAlign w:val="center"/>
          </w:tcPr>
          <w:p w14:paraId="196FDE40" w14:textId="77777777" w:rsidR="00C002D2" w:rsidRPr="000D67C6" w:rsidRDefault="00D145E0"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13,143</w:t>
            </w:r>
          </w:p>
        </w:tc>
      </w:tr>
      <w:tr w:rsidR="00C002D2" w:rsidRPr="000D67C6" w14:paraId="6AEA7D37" w14:textId="77777777" w:rsidTr="005C0A38">
        <w:trPr>
          <w:trHeight w:val="397"/>
          <w:jc w:val="center"/>
        </w:trPr>
        <w:tc>
          <w:tcPr>
            <w:tcW w:w="5483" w:type="dxa"/>
            <w:tcBorders>
              <w:top w:val="single" w:sz="4" w:space="0" w:color="auto"/>
              <w:left w:val="single" w:sz="4" w:space="0" w:color="auto"/>
              <w:bottom w:val="nil"/>
              <w:right w:val="single" w:sz="4" w:space="0" w:color="auto"/>
            </w:tcBorders>
            <w:vAlign w:val="center"/>
          </w:tcPr>
          <w:p w14:paraId="740FB4B2" w14:textId="77777777" w:rsidR="00C002D2" w:rsidRPr="000D67C6" w:rsidRDefault="00C002D2" w:rsidP="00C002D2">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Financed by:</w:t>
            </w:r>
          </w:p>
        </w:tc>
        <w:tc>
          <w:tcPr>
            <w:tcW w:w="1176" w:type="dxa"/>
            <w:tcBorders>
              <w:top w:val="single" w:sz="4" w:space="0" w:color="auto"/>
              <w:left w:val="single" w:sz="4" w:space="0" w:color="auto"/>
              <w:bottom w:val="nil"/>
              <w:right w:val="single" w:sz="4" w:space="0" w:color="auto"/>
            </w:tcBorders>
            <w:vAlign w:val="center"/>
          </w:tcPr>
          <w:p w14:paraId="19940063"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p>
        </w:tc>
        <w:tc>
          <w:tcPr>
            <w:tcW w:w="1174" w:type="dxa"/>
            <w:tcBorders>
              <w:top w:val="single" w:sz="4" w:space="0" w:color="auto"/>
              <w:left w:val="single" w:sz="4" w:space="0" w:color="auto"/>
              <w:bottom w:val="nil"/>
              <w:right w:val="single" w:sz="4" w:space="0" w:color="auto"/>
            </w:tcBorders>
            <w:shd w:val="clear" w:color="auto" w:fill="auto"/>
            <w:vAlign w:val="center"/>
          </w:tcPr>
          <w:p w14:paraId="5DDF82D8"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p>
        </w:tc>
        <w:tc>
          <w:tcPr>
            <w:tcW w:w="1177" w:type="dxa"/>
            <w:tcBorders>
              <w:top w:val="single" w:sz="4" w:space="0" w:color="auto"/>
              <w:left w:val="single" w:sz="4" w:space="0" w:color="auto"/>
              <w:bottom w:val="nil"/>
              <w:right w:val="single" w:sz="4" w:space="0" w:color="auto"/>
            </w:tcBorders>
            <w:vAlign w:val="center"/>
          </w:tcPr>
          <w:p w14:paraId="62AB911A" w14:textId="77777777" w:rsidR="00C002D2" w:rsidRPr="000D67C6" w:rsidRDefault="00C002D2" w:rsidP="00C002D2">
            <w:pPr>
              <w:pStyle w:val="Normal0"/>
              <w:spacing w:line="259" w:lineRule="auto"/>
              <w:jc w:val="right"/>
              <w:rPr>
                <w:rFonts w:ascii="Arial" w:eastAsia="Times New Roman" w:hAnsi="Arial" w:cs="Arial"/>
                <w:b/>
                <w:sz w:val="22"/>
                <w:szCs w:val="22"/>
                <w:lang w:val="en-GB"/>
              </w:rPr>
            </w:pPr>
          </w:p>
        </w:tc>
      </w:tr>
      <w:tr w:rsidR="00C002D2" w:rsidRPr="000D67C6" w14:paraId="0CD2A130" w14:textId="77777777" w:rsidTr="005C0A38">
        <w:trPr>
          <w:trHeight w:val="396"/>
          <w:jc w:val="center"/>
        </w:trPr>
        <w:tc>
          <w:tcPr>
            <w:tcW w:w="5483" w:type="dxa"/>
            <w:tcBorders>
              <w:top w:val="nil"/>
              <w:left w:val="single" w:sz="4" w:space="0" w:color="auto"/>
              <w:bottom w:val="nil"/>
              <w:right w:val="single" w:sz="4" w:space="0" w:color="auto"/>
            </w:tcBorders>
            <w:vAlign w:val="center"/>
          </w:tcPr>
          <w:p w14:paraId="40D2A0F7"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Capital Grants &amp; Contributions</w:t>
            </w:r>
          </w:p>
        </w:tc>
        <w:tc>
          <w:tcPr>
            <w:tcW w:w="1176" w:type="dxa"/>
            <w:tcBorders>
              <w:top w:val="nil"/>
              <w:left w:val="single" w:sz="4" w:space="0" w:color="auto"/>
              <w:bottom w:val="nil"/>
              <w:right w:val="single" w:sz="4" w:space="0" w:color="auto"/>
            </w:tcBorders>
            <w:vAlign w:val="center"/>
          </w:tcPr>
          <w:p w14:paraId="6B75F27A" w14:textId="77777777" w:rsidR="00C002D2" w:rsidRPr="000D67C6" w:rsidRDefault="007B5786"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1174" w:type="dxa"/>
            <w:tcBorders>
              <w:top w:val="nil"/>
              <w:left w:val="single" w:sz="4" w:space="0" w:color="auto"/>
              <w:bottom w:val="nil"/>
              <w:right w:val="single" w:sz="4" w:space="0" w:color="auto"/>
            </w:tcBorders>
            <w:shd w:val="clear" w:color="auto" w:fill="auto"/>
            <w:vAlign w:val="center"/>
          </w:tcPr>
          <w:p w14:paraId="26E42EDA" w14:textId="77777777" w:rsidR="00C002D2" w:rsidRPr="000D67C6" w:rsidRDefault="00AD78AB"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285</w:t>
            </w:r>
          </w:p>
        </w:tc>
        <w:tc>
          <w:tcPr>
            <w:tcW w:w="1177" w:type="dxa"/>
            <w:tcBorders>
              <w:top w:val="nil"/>
              <w:left w:val="single" w:sz="4" w:space="0" w:color="auto"/>
              <w:bottom w:val="nil"/>
              <w:right w:val="single" w:sz="4" w:space="0" w:color="auto"/>
            </w:tcBorders>
            <w:vAlign w:val="center"/>
          </w:tcPr>
          <w:p w14:paraId="1AE636D7" w14:textId="77777777" w:rsidR="00C002D2" w:rsidRPr="000D67C6" w:rsidRDefault="00D356A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61</w:t>
            </w:r>
          </w:p>
        </w:tc>
      </w:tr>
      <w:tr w:rsidR="00C002D2" w:rsidRPr="000D67C6" w14:paraId="4769137A" w14:textId="77777777" w:rsidTr="005C0A38">
        <w:trPr>
          <w:trHeight w:val="319"/>
          <w:jc w:val="center"/>
        </w:trPr>
        <w:tc>
          <w:tcPr>
            <w:tcW w:w="5483" w:type="dxa"/>
            <w:tcBorders>
              <w:top w:val="nil"/>
              <w:left w:val="single" w:sz="4" w:space="0" w:color="auto"/>
              <w:bottom w:val="nil"/>
              <w:right w:val="single" w:sz="4" w:space="0" w:color="auto"/>
            </w:tcBorders>
            <w:vAlign w:val="center"/>
          </w:tcPr>
          <w:p w14:paraId="077E6211"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Capital Donations</w:t>
            </w:r>
          </w:p>
        </w:tc>
        <w:tc>
          <w:tcPr>
            <w:tcW w:w="1176" w:type="dxa"/>
            <w:tcBorders>
              <w:top w:val="nil"/>
              <w:left w:val="single" w:sz="4" w:space="0" w:color="auto"/>
              <w:bottom w:val="nil"/>
              <w:right w:val="single" w:sz="4" w:space="0" w:color="auto"/>
            </w:tcBorders>
            <w:vAlign w:val="center"/>
          </w:tcPr>
          <w:p w14:paraId="1684DF6D"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1174" w:type="dxa"/>
            <w:tcBorders>
              <w:top w:val="nil"/>
              <w:left w:val="single" w:sz="4" w:space="0" w:color="auto"/>
              <w:bottom w:val="nil"/>
              <w:right w:val="single" w:sz="4" w:space="0" w:color="auto"/>
            </w:tcBorders>
            <w:shd w:val="clear" w:color="auto" w:fill="auto"/>
            <w:vAlign w:val="center"/>
          </w:tcPr>
          <w:p w14:paraId="027C0363" w14:textId="77777777" w:rsidR="00C002D2" w:rsidRPr="000D67C6" w:rsidRDefault="00AD78AB"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84</w:t>
            </w:r>
          </w:p>
        </w:tc>
        <w:tc>
          <w:tcPr>
            <w:tcW w:w="1177" w:type="dxa"/>
            <w:tcBorders>
              <w:top w:val="nil"/>
              <w:left w:val="single" w:sz="4" w:space="0" w:color="auto"/>
              <w:bottom w:val="nil"/>
              <w:right w:val="single" w:sz="4" w:space="0" w:color="auto"/>
            </w:tcBorders>
            <w:vAlign w:val="center"/>
          </w:tcPr>
          <w:p w14:paraId="6A9A9593" w14:textId="77777777" w:rsidR="00C002D2" w:rsidRPr="000D67C6" w:rsidRDefault="00D356A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C002D2" w:rsidRPr="000D67C6" w14:paraId="5A1EF32A" w14:textId="77777777" w:rsidTr="005C0A38">
        <w:trPr>
          <w:trHeight w:val="339"/>
          <w:jc w:val="center"/>
        </w:trPr>
        <w:tc>
          <w:tcPr>
            <w:tcW w:w="5483" w:type="dxa"/>
            <w:tcBorders>
              <w:top w:val="nil"/>
              <w:left w:val="single" w:sz="4" w:space="0" w:color="auto"/>
              <w:bottom w:val="nil"/>
              <w:right w:val="single" w:sz="4" w:space="0" w:color="auto"/>
            </w:tcBorders>
            <w:vAlign w:val="center"/>
          </w:tcPr>
          <w:p w14:paraId="251D0F75"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Capital Receipts</w:t>
            </w:r>
          </w:p>
        </w:tc>
        <w:tc>
          <w:tcPr>
            <w:tcW w:w="1176" w:type="dxa"/>
            <w:tcBorders>
              <w:top w:val="nil"/>
              <w:left w:val="single" w:sz="4" w:space="0" w:color="auto"/>
              <w:bottom w:val="nil"/>
              <w:right w:val="single" w:sz="4" w:space="0" w:color="auto"/>
            </w:tcBorders>
            <w:vAlign w:val="center"/>
          </w:tcPr>
          <w:p w14:paraId="66E6B0B3"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1174" w:type="dxa"/>
            <w:tcBorders>
              <w:top w:val="nil"/>
              <w:left w:val="single" w:sz="4" w:space="0" w:color="auto"/>
              <w:bottom w:val="nil"/>
              <w:right w:val="single" w:sz="4" w:space="0" w:color="auto"/>
            </w:tcBorders>
            <w:shd w:val="clear" w:color="auto" w:fill="auto"/>
            <w:vAlign w:val="center"/>
          </w:tcPr>
          <w:p w14:paraId="3B15C1E2" w14:textId="77777777" w:rsidR="00C002D2" w:rsidRPr="000D67C6" w:rsidRDefault="00AD78AB"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118</w:t>
            </w:r>
          </w:p>
        </w:tc>
        <w:tc>
          <w:tcPr>
            <w:tcW w:w="1177" w:type="dxa"/>
            <w:tcBorders>
              <w:top w:val="nil"/>
              <w:left w:val="single" w:sz="4" w:space="0" w:color="auto"/>
              <w:bottom w:val="nil"/>
              <w:right w:val="single" w:sz="4" w:space="0" w:color="auto"/>
            </w:tcBorders>
            <w:vAlign w:val="center"/>
          </w:tcPr>
          <w:p w14:paraId="4CBBC26F" w14:textId="77777777" w:rsidR="00C002D2" w:rsidRPr="000D67C6" w:rsidRDefault="00D356A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125</w:t>
            </w:r>
          </w:p>
        </w:tc>
      </w:tr>
      <w:tr w:rsidR="00C002D2" w:rsidRPr="000D67C6" w14:paraId="21A4A786" w14:textId="77777777" w:rsidTr="005C0A38">
        <w:trPr>
          <w:trHeight w:val="396"/>
          <w:jc w:val="center"/>
        </w:trPr>
        <w:tc>
          <w:tcPr>
            <w:tcW w:w="5483" w:type="dxa"/>
            <w:tcBorders>
              <w:top w:val="nil"/>
              <w:left w:val="single" w:sz="4" w:space="0" w:color="auto"/>
              <w:bottom w:val="nil"/>
              <w:right w:val="single" w:sz="4" w:space="0" w:color="auto"/>
            </w:tcBorders>
            <w:vAlign w:val="center"/>
          </w:tcPr>
          <w:p w14:paraId="7063801A"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Earmarked Reserves</w:t>
            </w:r>
          </w:p>
        </w:tc>
        <w:tc>
          <w:tcPr>
            <w:tcW w:w="1176" w:type="dxa"/>
            <w:tcBorders>
              <w:top w:val="nil"/>
              <w:left w:val="single" w:sz="4" w:space="0" w:color="auto"/>
              <w:bottom w:val="nil"/>
              <w:right w:val="single" w:sz="4" w:space="0" w:color="auto"/>
            </w:tcBorders>
            <w:vAlign w:val="center"/>
          </w:tcPr>
          <w:p w14:paraId="34364A3A"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1174" w:type="dxa"/>
            <w:tcBorders>
              <w:top w:val="nil"/>
              <w:left w:val="single" w:sz="4" w:space="0" w:color="auto"/>
              <w:bottom w:val="nil"/>
              <w:right w:val="single" w:sz="4" w:space="0" w:color="auto"/>
            </w:tcBorders>
            <w:shd w:val="clear" w:color="auto" w:fill="auto"/>
            <w:vAlign w:val="center"/>
          </w:tcPr>
          <w:p w14:paraId="21CA5263" w14:textId="77777777" w:rsidR="00C002D2" w:rsidRPr="000D67C6" w:rsidRDefault="00AD78AB"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332</w:t>
            </w:r>
          </w:p>
        </w:tc>
        <w:tc>
          <w:tcPr>
            <w:tcW w:w="1177" w:type="dxa"/>
            <w:tcBorders>
              <w:top w:val="nil"/>
              <w:left w:val="single" w:sz="4" w:space="0" w:color="auto"/>
              <w:bottom w:val="nil"/>
              <w:right w:val="single" w:sz="4" w:space="0" w:color="auto"/>
            </w:tcBorders>
            <w:vAlign w:val="center"/>
          </w:tcPr>
          <w:p w14:paraId="69C76618" w14:textId="77777777" w:rsidR="00C002D2" w:rsidRPr="000D67C6" w:rsidRDefault="00D356A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1,000</w:t>
            </w:r>
          </w:p>
        </w:tc>
      </w:tr>
      <w:tr w:rsidR="00C002D2" w:rsidRPr="000D67C6" w14:paraId="10F9E4BE" w14:textId="77777777" w:rsidTr="005C0A38">
        <w:trPr>
          <w:trHeight w:val="396"/>
          <w:jc w:val="center"/>
        </w:trPr>
        <w:tc>
          <w:tcPr>
            <w:tcW w:w="5483" w:type="dxa"/>
            <w:tcBorders>
              <w:top w:val="nil"/>
              <w:left w:val="single" w:sz="4" w:space="0" w:color="auto"/>
              <w:bottom w:val="nil"/>
              <w:right w:val="single" w:sz="4" w:space="0" w:color="auto"/>
            </w:tcBorders>
            <w:vAlign w:val="center"/>
          </w:tcPr>
          <w:p w14:paraId="44BB7C5F" w14:textId="77777777" w:rsidR="00C002D2" w:rsidRPr="000D67C6" w:rsidRDefault="00C002D2" w:rsidP="00C002D2">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Borrowing</w:t>
            </w:r>
          </w:p>
        </w:tc>
        <w:tc>
          <w:tcPr>
            <w:tcW w:w="1176" w:type="dxa"/>
            <w:tcBorders>
              <w:top w:val="nil"/>
              <w:left w:val="single" w:sz="4" w:space="0" w:color="auto"/>
              <w:bottom w:val="nil"/>
              <w:right w:val="single" w:sz="4" w:space="0" w:color="auto"/>
            </w:tcBorders>
            <w:vAlign w:val="center"/>
          </w:tcPr>
          <w:p w14:paraId="679F274B" w14:textId="77777777" w:rsidR="00C002D2" w:rsidRPr="000D67C6" w:rsidRDefault="00C002D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7,832</w:t>
            </w:r>
          </w:p>
        </w:tc>
        <w:tc>
          <w:tcPr>
            <w:tcW w:w="1174" w:type="dxa"/>
            <w:tcBorders>
              <w:top w:val="nil"/>
              <w:left w:val="single" w:sz="4" w:space="0" w:color="auto"/>
              <w:bottom w:val="nil"/>
              <w:right w:val="single" w:sz="4" w:space="0" w:color="auto"/>
            </w:tcBorders>
            <w:shd w:val="clear" w:color="auto" w:fill="auto"/>
            <w:vAlign w:val="center"/>
          </w:tcPr>
          <w:p w14:paraId="5FB35FD4" w14:textId="77777777" w:rsidR="00C002D2" w:rsidRPr="000D67C6" w:rsidRDefault="00AD78AB"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1,565</w:t>
            </w:r>
          </w:p>
        </w:tc>
        <w:tc>
          <w:tcPr>
            <w:tcW w:w="1177" w:type="dxa"/>
            <w:tcBorders>
              <w:top w:val="nil"/>
              <w:left w:val="single" w:sz="4" w:space="0" w:color="auto"/>
              <w:bottom w:val="nil"/>
              <w:right w:val="single" w:sz="4" w:space="0" w:color="auto"/>
            </w:tcBorders>
            <w:vAlign w:val="center"/>
          </w:tcPr>
          <w:p w14:paraId="7F704451" w14:textId="77777777" w:rsidR="00C002D2" w:rsidRPr="000D67C6" w:rsidRDefault="00D356A2" w:rsidP="00C002D2">
            <w:pPr>
              <w:pStyle w:val="Normal0"/>
              <w:spacing w:line="259" w:lineRule="auto"/>
              <w:jc w:val="right"/>
              <w:rPr>
                <w:rFonts w:ascii="Arial" w:eastAsia="Times New Roman" w:hAnsi="Arial" w:cs="Arial"/>
                <w:sz w:val="22"/>
                <w:szCs w:val="22"/>
                <w:lang w:val="en-GB"/>
              </w:rPr>
            </w:pPr>
            <w:r w:rsidRPr="000D67C6">
              <w:rPr>
                <w:rFonts w:ascii="Arial" w:eastAsia="Times New Roman" w:hAnsi="Arial" w:cs="Arial"/>
                <w:sz w:val="22"/>
                <w:szCs w:val="22"/>
                <w:lang w:val="en-GB"/>
              </w:rPr>
              <w:t>11,957</w:t>
            </w:r>
          </w:p>
        </w:tc>
      </w:tr>
      <w:tr w:rsidR="00C002D2" w:rsidRPr="000D67C6" w14:paraId="0A9A3C6D" w14:textId="77777777" w:rsidTr="005C0A38">
        <w:trPr>
          <w:trHeight w:val="319"/>
          <w:jc w:val="center"/>
        </w:trPr>
        <w:tc>
          <w:tcPr>
            <w:tcW w:w="5483" w:type="dxa"/>
            <w:tcBorders>
              <w:top w:val="nil"/>
              <w:left w:val="single" w:sz="4" w:space="0" w:color="auto"/>
              <w:bottom w:val="single" w:sz="4" w:space="0" w:color="auto"/>
              <w:right w:val="single" w:sz="4" w:space="0" w:color="auto"/>
            </w:tcBorders>
            <w:vAlign w:val="center"/>
          </w:tcPr>
          <w:p w14:paraId="5DC916AD" w14:textId="77777777" w:rsidR="00C002D2" w:rsidRPr="000D67C6" w:rsidRDefault="00C002D2" w:rsidP="00C002D2">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Total Financing</w:t>
            </w:r>
          </w:p>
        </w:tc>
        <w:tc>
          <w:tcPr>
            <w:tcW w:w="1176" w:type="dxa"/>
            <w:tcBorders>
              <w:top w:val="nil"/>
              <w:left w:val="single" w:sz="4" w:space="0" w:color="auto"/>
              <w:bottom w:val="single" w:sz="4" w:space="0" w:color="auto"/>
              <w:right w:val="single" w:sz="4" w:space="0" w:color="auto"/>
            </w:tcBorders>
            <w:vAlign w:val="center"/>
          </w:tcPr>
          <w:p w14:paraId="0677D9E5" w14:textId="77777777" w:rsidR="00C002D2" w:rsidRPr="000D67C6" w:rsidRDefault="00C002D2"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7,832</w:t>
            </w:r>
          </w:p>
        </w:tc>
        <w:tc>
          <w:tcPr>
            <w:tcW w:w="1174" w:type="dxa"/>
            <w:tcBorders>
              <w:top w:val="nil"/>
              <w:left w:val="single" w:sz="4" w:space="0" w:color="auto"/>
              <w:bottom w:val="single" w:sz="4" w:space="0" w:color="auto"/>
              <w:right w:val="single" w:sz="4" w:space="0" w:color="auto"/>
            </w:tcBorders>
            <w:shd w:val="clear" w:color="auto" w:fill="auto"/>
            <w:vAlign w:val="center"/>
          </w:tcPr>
          <w:p w14:paraId="3EEEE103" w14:textId="77777777" w:rsidR="00C002D2" w:rsidRPr="000D67C6" w:rsidRDefault="00AD78AB"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2,384</w:t>
            </w:r>
          </w:p>
        </w:tc>
        <w:tc>
          <w:tcPr>
            <w:tcW w:w="1177" w:type="dxa"/>
            <w:tcBorders>
              <w:top w:val="nil"/>
              <w:left w:val="single" w:sz="4" w:space="0" w:color="auto"/>
              <w:bottom w:val="single" w:sz="4" w:space="0" w:color="auto"/>
              <w:right w:val="single" w:sz="4" w:space="0" w:color="auto"/>
            </w:tcBorders>
            <w:vAlign w:val="center"/>
          </w:tcPr>
          <w:p w14:paraId="6D3AFA1E" w14:textId="77777777" w:rsidR="00C002D2" w:rsidRPr="000D67C6" w:rsidRDefault="00AE6D21" w:rsidP="00C002D2">
            <w:pPr>
              <w:pStyle w:val="Normal0"/>
              <w:spacing w:line="259" w:lineRule="auto"/>
              <w:jc w:val="right"/>
              <w:rPr>
                <w:rFonts w:ascii="Arial" w:eastAsia="Times New Roman" w:hAnsi="Arial" w:cs="Arial"/>
                <w:b/>
                <w:sz w:val="22"/>
                <w:szCs w:val="22"/>
                <w:lang w:val="en-GB"/>
              </w:rPr>
            </w:pPr>
            <w:r w:rsidRPr="000D67C6">
              <w:rPr>
                <w:rFonts w:ascii="Arial" w:eastAsia="Times New Roman" w:hAnsi="Arial" w:cs="Arial"/>
                <w:b/>
                <w:sz w:val="22"/>
                <w:szCs w:val="22"/>
                <w:lang w:val="en-GB"/>
              </w:rPr>
              <w:t>13,143</w:t>
            </w:r>
          </w:p>
        </w:tc>
      </w:tr>
    </w:tbl>
    <w:p w14:paraId="5A0CC7E2" w14:textId="77777777" w:rsidR="00033B69" w:rsidRPr="000D67C6" w:rsidRDefault="00033B69" w:rsidP="008F013B">
      <w:pPr>
        <w:pStyle w:val="Normal0"/>
        <w:spacing w:line="259" w:lineRule="auto"/>
        <w:jc w:val="both"/>
        <w:rPr>
          <w:rFonts w:ascii="Arial" w:eastAsia="Times New Roman" w:hAnsi="Arial" w:cs="Arial"/>
          <w:b/>
          <w:sz w:val="22"/>
          <w:szCs w:val="22"/>
          <w:lang w:val="en-GB"/>
        </w:rPr>
      </w:pPr>
    </w:p>
    <w:p w14:paraId="375D2256" w14:textId="2D6DF8CA" w:rsidR="0093429D" w:rsidRPr="000D67C6" w:rsidRDefault="0093429D" w:rsidP="0093429D">
      <w:pPr>
        <w:pStyle w:val="Normal0"/>
        <w:spacing w:line="259" w:lineRule="auto"/>
        <w:jc w:val="both"/>
        <w:rPr>
          <w:rFonts w:ascii="Arial" w:eastAsia="Times New Roman" w:hAnsi="Arial" w:cs="Arial"/>
          <w:sz w:val="22"/>
          <w:szCs w:val="22"/>
          <w:lang w:val="en-GB"/>
        </w:rPr>
      </w:pPr>
      <w:bookmarkStart w:id="1" w:name="_Hlk531259366"/>
      <w:r w:rsidRPr="000D67C6">
        <w:rPr>
          <w:rFonts w:ascii="Arial" w:eastAsia="Times New Roman" w:hAnsi="Arial" w:cs="Arial"/>
          <w:sz w:val="22"/>
          <w:szCs w:val="22"/>
          <w:lang w:val="en-GB"/>
        </w:rPr>
        <w:t>The Capital Programme of £</w:t>
      </w:r>
      <w:r w:rsidR="00560DA5" w:rsidRPr="000D67C6">
        <w:rPr>
          <w:rFonts w:ascii="Arial" w:eastAsia="Times New Roman" w:hAnsi="Arial" w:cs="Arial"/>
          <w:sz w:val="22"/>
          <w:szCs w:val="22"/>
          <w:lang w:val="en-GB"/>
        </w:rPr>
        <w:t>7.832</w:t>
      </w:r>
      <w:r w:rsidRPr="000D67C6">
        <w:rPr>
          <w:rFonts w:ascii="Arial" w:eastAsia="Times New Roman" w:hAnsi="Arial" w:cs="Arial"/>
          <w:sz w:val="22"/>
          <w:szCs w:val="22"/>
          <w:lang w:val="en-GB"/>
        </w:rPr>
        <w:t>m was approved by Fire Authority in February 201</w:t>
      </w:r>
      <w:r w:rsidR="00560DA5" w:rsidRPr="000D67C6">
        <w:rPr>
          <w:rFonts w:ascii="Arial" w:eastAsia="Times New Roman" w:hAnsi="Arial" w:cs="Arial"/>
          <w:sz w:val="22"/>
          <w:szCs w:val="22"/>
          <w:lang w:val="en-GB"/>
        </w:rPr>
        <w:t>8</w:t>
      </w:r>
      <w:r w:rsidRPr="000D67C6">
        <w:rPr>
          <w:rFonts w:ascii="Arial" w:eastAsia="Times New Roman" w:hAnsi="Arial" w:cs="Arial"/>
          <w:sz w:val="22"/>
          <w:szCs w:val="22"/>
          <w:lang w:val="en-GB"/>
        </w:rPr>
        <w:t xml:space="preserve">. </w:t>
      </w:r>
      <w:r w:rsidR="007166A3" w:rsidRPr="000D67C6">
        <w:rPr>
          <w:rFonts w:ascii="Arial" w:eastAsia="Times New Roman" w:hAnsi="Arial" w:cs="Arial"/>
          <w:sz w:val="22"/>
          <w:szCs w:val="22"/>
          <w:lang w:val="en-GB"/>
        </w:rPr>
        <w:t>The underspend is</w:t>
      </w:r>
      <w:r w:rsidR="00937687" w:rsidRPr="000D67C6">
        <w:rPr>
          <w:rFonts w:ascii="Arial" w:eastAsia="Times New Roman" w:hAnsi="Arial" w:cs="Arial"/>
          <w:sz w:val="22"/>
          <w:szCs w:val="22"/>
          <w:lang w:val="en-GB"/>
        </w:rPr>
        <w:t>,</w:t>
      </w:r>
      <w:r w:rsidR="007166A3" w:rsidRPr="000D67C6">
        <w:rPr>
          <w:rFonts w:ascii="Arial" w:eastAsia="Times New Roman" w:hAnsi="Arial" w:cs="Arial"/>
          <w:sz w:val="22"/>
          <w:szCs w:val="22"/>
          <w:lang w:val="en-GB"/>
        </w:rPr>
        <w:t xml:space="preserve"> </w:t>
      </w:r>
      <w:r w:rsidR="00937687" w:rsidRPr="000D67C6">
        <w:rPr>
          <w:rFonts w:ascii="Arial" w:eastAsia="Times New Roman" w:hAnsi="Arial" w:cs="Arial"/>
          <w:sz w:val="22"/>
          <w:szCs w:val="22"/>
          <w:lang w:val="en-GB"/>
        </w:rPr>
        <w:t>in part,</w:t>
      </w:r>
      <w:r w:rsidR="007166A3" w:rsidRPr="000D67C6">
        <w:rPr>
          <w:rFonts w:ascii="Arial" w:eastAsia="Times New Roman" w:hAnsi="Arial" w:cs="Arial"/>
          <w:sz w:val="22"/>
          <w:szCs w:val="22"/>
          <w:lang w:val="en-GB"/>
        </w:rPr>
        <w:t xml:space="preserve"> attributable to slippage on </w:t>
      </w:r>
      <w:r w:rsidR="007E5074" w:rsidRPr="000D67C6">
        <w:rPr>
          <w:rFonts w:ascii="Arial" w:eastAsia="Times New Roman" w:hAnsi="Arial" w:cs="Arial"/>
          <w:sz w:val="22"/>
          <w:szCs w:val="22"/>
          <w:lang w:val="en-GB"/>
        </w:rPr>
        <w:t>the following projects</w:t>
      </w:r>
      <w:r w:rsidR="000E63CE" w:rsidRPr="000D67C6">
        <w:rPr>
          <w:rFonts w:ascii="Arial" w:eastAsia="Times New Roman" w:hAnsi="Arial" w:cs="Arial"/>
          <w:sz w:val="22"/>
          <w:szCs w:val="22"/>
          <w:lang w:val="en-GB"/>
        </w:rPr>
        <w:t>: Machynlleth Project £</w:t>
      </w:r>
      <w:r w:rsidR="001D5AF4" w:rsidRPr="000D67C6">
        <w:rPr>
          <w:rFonts w:ascii="Arial" w:eastAsia="Times New Roman" w:hAnsi="Arial" w:cs="Arial"/>
          <w:sz w:val="22"/>
          <w:szCs w:val="22"/>
          <w:lang w:val="en-GB"/>
        </w:rPr>
        <w:t>0.6m</w:t>
      </w:r>
      <w:r w:rsidR="000E63CE" w:rsidRPr="000D67C6">
        <w:rPr>
          <w:rFonts w:ascii="Arial" w:eastAsia="Times New Roman" w:hAnsi="Arial" w:cs="Arial"/>
          <w:sz w:val="22"/>
          <w:szCs w:val="22"/>
          <w:lang w:val="en-GB"/>
        </w:rPr>
        <w:t>, Northern Area Development £</w:t>
      </w:r>
      <w:r w:rsidR="000249BC" w:rsidRPr="000D67C6">
        <w:rPr>
          <w:rFonts w:ascii="Arial" w:eastAsia="Times New Roman" w:hAnsi="Arial" w:cs="Arial"/>
          <w:sz w:val="22"/>
          <w:szCs w:val="22"/>
          <w:lang w:val="en-GB"/>
        </w:rPr>
        <w:t xml:space="preserve">1.6m, </w:t>
      </w:r>
      <w:r w:rsidR="00026BAF" w:rsidRPr="000D67C6">
        <w:rPr>
          <w:rFonts w:ascii="Arial" w:eastAsia="Times New Roman" w:hAnsi="Arial" w:cs="Arial"/>
          <w:sz w:val="22"/>
          <w:szCs w:val="22"/>
          <w:lang w:val="en-GB"/>
        </w:rPr>
        <w:t xml:space="preserve">and </w:t>
      </w:r>
      <w:r w:rsidR="000249BC" w:rsidRPr="000D67C6">
        <w:rPr>
          <w:rFonts w:ascii="Arial" w:eastAsia="Times New Roman" w:hAnsi="Arial" w:cs="Arial"/>
          <w:sz w:val="22"/>
          <w:szCs w:val="22"/>
          <w:lang w:val="en-GB"/>
        </w:rPr>
        <w:t xml:space="preserve">Vehicles </w:t>
      </w:r>
      <w:r w:rsidR="001D5AF4" w:rsidRPr="000D67C6">
        <w:rPr>
          <w:rFonts w:ascii="Arial" w:eastAsia="Times New Roman" w:hAnsi="Arial" w:cs="Arial"/>
          <w:sz w:val="22"/>
          <w:szCs w:val="22"/>
          <w:lang w:val="en-GB"/>
        </w:rPr>
        <w:t>£2.5</w:t>
      </w:r>
      <w:r w:rsidR="00A44973" w:rsidRPr="000D67C6">
        <w:rPr>
          <w:rFonts w:ascii="Arial" w:eastAsia="Times New Roman" w:hAnsi="Arial" w:cs="Arial"/>
          <w:sz w:val="22"/>
          <w:szCs w:val="22"/>
          <w:lang w:val="en-GB"/>
        </w:rPr>
        <w:t xml:space="preserve">m. The Asset </w:t>
      </w:r>
      <w:r w:rsidR="00547589" w:rsidRPr="000D67C6">
        <w:rPr>
          <w:rFonts w:ascii="Arial" w:eastAsia="Times New Roman" w:hAnsi="Arial" w:cs="Arial"/>
          <w:sz w:val="22"/>
          <w:szCs w:val="22"/>
          <w:lang w:val="en-GB"/>
        </w:rPr>
        <w:t>U</w:t>
      </w:r>
      <w:r w:rsidR="00A44973" w:rsidRPr="000D67C6">
        <w:rPr>
          <w:rFonts w:ascii="Arial" w:eastAsia="Times New Roman" w:hAnsi="Arial" w:cs="Arial"/>
          <w:sz w:val="22"/>
          <w:szCs w:val="22"/>
          <w:lang w:val="en-GB"/>
        </w:rPr>
        <w:t xml:space="preserve">nder </w:t>
      </w:r>
      <w:r w:rsidR="00547589" w:rsidRPr="000D67C6">
        <w:rPr>
          <w:rFonts w:ascii="Arial" w:eastAsia="Times New Roman" w:hAnsi="Arial" w:cs="Arial"/>
          <w:sz w:val="22"/>
          <w:szCs w:val="22"/>
          <w:lang w:val="en-GB"/>
        </w:rPr>
        <w:t>Construction</w:t>
      </w:r>
      <w:r w:rsidR="00A44973" w:rsidRPr="000D67C6">
        <w:rPr>
          <w:rFonts w:ascii="Arial" w:eastAsia="Times New Roman" w:hAnsi="Arial" w:cs="Arial"/>
          <w:sz w:val="22"/>
          <w:szCs w:val="22"/>
          <w:lang w:val="en-GB"/>
        </w:rPr>
        <w:t xml:space="preserve"> </w:t>
      </w:r>
      <w:r w:rsidR="00547589" w:rsidRPr="000D67C6">
        <w:rPr>
          <w:rFonts w:ascii="Arial" w:eastAsia="Times New Roman" w:hAnsi="Arial" w:cs="Arial"/>
          <w:sz w:val="22"/>
          <w:szCs w:val="22"/>
          <w:lang w:val="en-GB"/>
        </w:rPr>
        <w:t>relates to</w:t>
      </w:r>
      <w:r w:rsidR="00A44973" w:rsidRPr="000D67C6">
        <w:rPr>
          <w:rFonts w:ascii="Arial" w:eastAsia="Times New Roman" w:hAnsi="Arial" w:cs="Arial"/>
          <w:sz w:val="22"/>
          <w:szCs w:val="22"/>
          <w:lang w:val="en-GB"/>
        </w:rPr>
        <w:t xml:space="preserve"> the Incident </w:t>
      </w:r>
      <w:r w:rsidR="00547589" w:rsidRPr="000D67C6">
        <w:rPr>
          <w:rFonts w:ascii="Arial" w:eastAsia="Times New Roman" w:hAnsi="Arial" w:cs="Arial"/>
          <w:sz w:val="22"/>
          <w:szCs w:val="22"/>
          <w:lang w:val="en-GB"/>
        </w:rPr>
        <w:t>Command</w:t>
      </w:r>
      <w:r w:rsidR="00A44973" w:rsidRPr="000D67C6">
        <w:rPr>
          <w:rFonts w:ascii="Arial" w:eastAsia="Times New Roman" w:hAnsi="Arial" w:cs="Arial"/>
          <w:sz w:val="22"/>
          <w:szCs w:val="22"/>
          <w:lang w:val="en-GB"/>
        </w:rPr>
        <w:t xml:space="preserve"> Unit</w:t>
      </w:r>
      <w:r w:rsidR="00547589" w:rsidRPr="000D67C6">
        <w:rPr>
          <w:rFonts w:ascii="Arial" w:eastAsia="Times New Roman" w:hAnsi="Arial" w:cs="Arial"/>
          <w:sz w:val="22"/>
          <w:szCs w:val="22"/>
          <w:lang w:val="en-GB"/>
        </w:rPr>
        <w:t xml:space="preserve">. When the Capital Programme was approved it was assumed that it would be </w:t>
      </w:r>
      <w:r w:rsidR="00573F35" w:rsidRPr="000D67C6">
        <w:rPr>
          <w:rFonts w:ascii="Arial" w:eastAsia="Times New Roman" w:hAnsi="Arial" w:cs="Arial"/>
          <w:sz w:val="22"/>
          <w:szCs w:val="22"/>
          <w:lang w:val="en-GB"/>
        </w:rPr>
        <w:t xml:space="preserve">fully </w:t>
      </w:r>
      <w:r w:rsidR="00547589" w:rsidRPr="000D67C6">
        <w:rPr>
          <w:rFonts w:ascii="Arial" w:eastAsia="Times New Roman" w:hAnsi="Arial" w:cs="Arial"/>
          <w:sz w:val="22"/>
          <w:szCs w:val="22"/>
          <w:lang w:val="en-GB"/>
        </w:rPr>
        <w:t xml:space="preserve">funded by </w:t>
      </w:r>
      <w:r w:rsidR="00573F35" w:rsidRPr="000D67C6">
        <w:rPr>
          <w:rFonts w:ascii="Arial" w:eastAsia="Times New Roman" w:hAnsi="Arial" w:cs="Arial"/>
          <w:sz w:val="22"/>
          <w:szCs w:val="22"/>
          <w:lang w:val="en-GB"/>
        </w:rPr>
        <w:t>borrowing</w:t>
      </w:r>
      <w:r w:rsidR="00E772C8" w:rsidRPr="000D67C6">
        <w:rPr>
          <w:rFonts w:ascii="Arial" w:eastAsia="Times New Roman" w:hAnsi="Arial" w:cs="Arial"/>
          <w:sz w:val="22"/>
          <w:szCs w:val="22"/>
          <w:lang w:val="en-GB"/>
        </w:rPr>
        <w:t>. However,</w:t>
      </w:r>
      <w:r w:rsidR="00573F35" w:rsidRPr="000D67C6">
        <w:rPr>
          <w:rFonts w:ascii="Arial" w:eastAsia="Times New Roman" w:hAnsi="Arial" w:cs="Arial"/>
          <w:sz w:val="22"/>
          <w:szCs w:val="22"/>
          <w:lang w:val="en-GB"/>
        </w:rPr>
        <w:t xml:space="preserve"> during the year capital grants, contributions, disposal receipts have been received along with the use of Earmarked Reserves which has reduced the </w:t>
      </w:r>
      <w:r w:rsidR="00026EE6" w:rsidRPr="000D67C6">
        <w:rPr>
          <w:rFonts w:ascii="Arial" w:eastAsia="Times New Roman" w:hAnsi="Arial" w:cs="Arial"/>
          <w:sz w:val="22"/>
          <w:szCs w:val="22"/>
          <w:lang w:val="en-GB"/>
        </w:rPr>
        <w:t>need</w:t>
      </w:r>
      <w:r w:rsidR="00573F35" w:rsidRPr="000D67C6">
        <w:rPr>
          <w:rFonts w:ascii="Arial" w:eastAsia="Times New Roman" w:hAnsi="Arial" w:cs="Arial"/>
          <w:sz w:val="22"/>
          <w:szCs w:val="22"/>
          <w:lang w:val="en-GB"/>
        </w:rPr>
        <w:t xml:space="preserve"> to borrow. </w:t>
      </w:r>
    </w:p>
    <w:bookmarkEnd w:id="1"/>
    <w:p w14:paraId="0AFB130A" w14:textId="77777777" w:rsidR="00C002D2" w:rsidRPr="000D67C6" w:rsidRDefault="00C002D2" w:rsidP="008F013B">
      <w:pPr>
        <w:pStyle w:val="Normal0"/>
        <w:spacing w:line="259" w:lineRule="auto"/>
        <w:jc w:val="both"/>
        <w:rPr>
          <w:rFonts w:ascii="Arial" w:eastAsia="Times New Roman" w:hAnsi="Arial" w:cs="Arial"/>
          <w:b/>
          <w:sz w:val="22"/>
          <w:szCs w:val="22"/>
          <w:lang w:val="en-GB"/>
        </w:rPr>
      </w:pPr>
    </w:p>
    <w:p w14:paraId="5D161948"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Capital Borrowing</w:t>
      </w:r>
    </w:p>
    <w:p w14:paraId="33D4D744"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07532C11" w14:textId="77A842D0" w:rsidR="008F013B" w:rsidRPr="000D67C6" w:rsidRDefault="008F013B" w:rsidP="008F013B">
      <w:pPr>
        <w:pStyle w:val="Normal0"/>
        <w:spacing w:line="259" w:lineRule="auto"/>
        <w:jc w:val="both"/>
        <w:rPr>
          <w:rFonts w:ascii="Arial" w:eastAsia="Times New Roman" w:hAnsi="Arial" w:cs="Arial"/>
          <w:b/>
          <w:i/>
          <w:sz w:val="22"/>
          <w:szCs w:val="22"/>
          <w:lang w:val="en-GB"/>
        </w:rPr>
      </w:pPr>
      <w:r w:rsidRPr="000D67C6">
        <w:rPr>
          <w:rFonts w:ascii="Arial" w:eastAsia="Times New Roman" w:hAnsi="Arial" w:cs="Arial"/>
          <w:sz w:val="22"/>
          <w:szCs w:val="22"/>
          <w:lang w:val="en-GB"/>
        </w:rPr>
        <w:t xml:space="preserve">The Prudential Code allows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to determine its own borrowing limits subject to the Responsible Financial Officer deeming it to be prudent, sustainable and affordable. All loans are from the Public Works Loan Board (PWLB) </w:t>
      </w:r>
      <w:r w:rsidR="002507DC" w:rsidRPr="000D67C6">
        <w:rPr>
          <w:rFonts w:ascii="Arial" w:eastAsia="Times New Roman" w:hAnsi="Arial" w:cs="Arial"/>
          <w:sz w:val="22"/>
          <w:szCs w:val="22"/>
          <w:lang w:val="en-GB"/>
        </w:rPr>
        <w:t>except for two Invest to Save loans</w:t>
      </w:r>
      <w:r w:rsidR="008F56B1" w:rsidRPr="000D67C6">
        <w:rPr>
          <w:rFonts w:ascii="Arial" w:eastAsia="Times New Roman" w:hAnsi="Arial" w:cs="Arial"/>
          <w:sz w:val="22"/>
          <w:szCs w:val="22"/>
          <w:lang w:val="en-GB"/>
        </w:rPr>
        <w:t xml:space="preserve"> from Welsh Government</w:t>
      </w:r>
      <w:r w:rsidRPr="000D67C6">
        <w:rPr>
          <w:rFonts w:ascii="Arial" w:eastAsia="Times New Roman" w:hAnsi="Arial" w:cs="Arial"/>
          <w:sz w:val="22"/>
          <w:szCs w:val="22"/>
          <w:lang w:val="en-GB"/>
        </w:rPr>
        <w:t xml:space="preserve">. There </w:t>
      </w:r>
      <w:r w:rsidR="00C61721" w:rsidRPr="000D67C6">
        <w:rPr>
          <w:rFonts w:ascii="Arial" w:eastAsia="Times New Roman" w:hAnsi="Arial" w:cs="Arial"/>
          <w:sz w:val="22"/>
          <w:szCs w:val="22"/>
          <w:lang w:val="en-GB"/>
        </w:rPr>
        <w:t>was one</w:t>
      </w:r>
      <w:r w:rsidRPr="000D67C6">
        <w:rPr>
          <w:rFonts w:ascii="Arial" w:eastAsia="Times New Roman" w:hAnsi="Arial" w:cs="Arial"/>
          <w:sz w:val="22"/>
          <w:szCs w:val="22"/>
          <w:lang w:val="en-GB"/>
        </w:rPr>
        <w:t xml:space="preserve"> new external loan </w:t>
      </w:r>
      <w:r w:rsidR="00992116" w:rsidRPr="000D67C6">
        <w:rPr>
          <w:rFonts w:ascii="Arial" w:eastAsia="Times New Roman" w:hAnsi="Arial" w:cs="Arial"/>
          <w:sz w:val="22"/>
          <w:szCs w:val="22"/>
          <w:lang w:val="en-GB"/>
        </w:rPr>
        <w:t>for £1m</w:t>
      </w:r>
      <w:r w:rsidRPr="000D67C6">
        <w:rPr>
          <w:rFonts w:ascii="Arial" w:eastAsia="Times New Roman" w:hAnsi="Arial" w:cs="Arial"/>
          <w:sz w:val="22"/>
          <w:szCs w:val="22"/>
          <w:lang w:val="en-GB"/>
        </w:rPr>
        <w:t xml:space="preserve"> taken out in the year </w:t>
      </w:r>
      <w:r w:rsidR="00060DFE" w:rsidRPr="000D67C6">
        <w:rPr>
          <w:rFonts w:ascii="Arial" w:eastAsia="Times New Roman" w:hAnsi="Arial" w:cs="Arial"/>
          <w:sz w:val="22"/>
          <w:szCs w:val="22"/>
          <w:lang w:val="en-GB"/>
        </w:rPr>
        <w:t>with the Public Work</w:t>
      </w:r>
      <w:r w:rsidR="004C600C" w:rsidRPr="000D67C6">
        <w:rPr>
          <w:rFonts w:ascii="Arial" w:eastAsia="Times New Roman" w:hAnsi="Arial" w:cs="Arial"/>
          <w:sz w:val="22"/>
          <w:szCs w:val="22"/>
          <w:lang w:val="en-GB"/>
        </w:rPr>
        <w:t>s Loan</w:t>
      </w:r>
      <w:r w:rsidR="00060DFE" w:rsidRPr="000D67C6">
        <w:rPr>
          <w:rFonts w:ascii="Arial" w:eastAsia="Times New Roman" w:hAnsi="Arial" w:cs="Arial"/>
          <w:sz w:val="22"/>
          <w:szCs w:val="22"/>
          <w:lang w:val="en-GB"/>
        </w:rPr>
        <w:t xml:space="preserve"> Board</w:t>
      </w:r>
      <w:r w:rsidR="00992116" w:rsidRPr="000D67C6">
        <w:rPr>
          <w:rFonts w:ascii="Arial" w:eastAsia="Times New Roman" w:hAnsi="Arial" w:cs="Arial"/>
          <w:sz w:val="22"/>
          <w:szCs w:val="22"/>
          <w:lang w:val="en-GB"/>
        </w:rPr>
        <w:t>.</w:t>
      </w:r>
      <w:r w:rsidRPr="000D67C6">
        <w:rPr>
          <w:rFonts w:ascii="Arial" w:eastAsia="Times New Roman" w:hAnsi="Arial" w:cs="Arial"/>
          <w:sz w:val="22"/>
          <w:szCs w:val="22"/>
          <w:lang w:val="en-GB"/>
        </w:rPr>
        <w:t xml:space="preserve"> The total principal</w:t>
      </w:r>
      <w:r w:rsidR="007C4B12" w:rsidRPr="000D67C6">
        <w:rPr>
          <w:rFonts w:ascii="Arial" w:eastAsia="Times New Roman" w:hAnsi="Arial" w:cs="Arial"/>
          <w:sz w:val="22"/>
          <w:szCs w:val="22"/>
          <w:lang w:val="en-GB"/>
        </w:rPr>
        <w:t xml:space="preserve"> outstanding as at 31 March 201</w:t>
      </w:r>
      <w:r w:rsidR="00C002D2" w:rsidRPr="000D67C6">
        <w:rPr>
          <w:rFonts w:ascii="Arial" w:eastAsia="Times New Roman" w:hAnsi="Arial" w:cs="Arial"/>
          <w:sz w:val="22"/>
          <w:szCs w:val="22"/>
          <w:lang w:val="en-GB"/>
        </w:rPr>
        <w:t>9</w:t>
      </w:r>
      <w:r w:rsidRPr="000D67C6">
        <w:rPr>
          <w:rFonts w:ascii="Arial" w:eastAsia="Times New Roman" w:hAnsi="Arial" w:cs="Arial"/>
          <w:sz w:val="22"/>
          <w:szCs w:val="22"/>
          <w:lang w:val="en-GB"/>
        </w:rPr>
        <w:t xml:space="preserve"> is £</w:t>
      </w:r>
      <w:r w:rsidR="00FF4FD2" w:rsidRPr="000D67C6">
        <w:rPr>
          <w:rFonts w:ascii="Arial" w:eastAsia="Times New Roman" w:hAnsi="Arial" w:cs="Arial"/>
          <w:sz w:val="22"/>
          <w:szCs w:val="22"/>
          <w:lang w:val="en-GB"/>
        </w:rPr>
        <w:t>1</w:t>
      </w:r>
      <w:r w:rsidR="00930076" w:rsidRPr="000D67C6">
        <w:rPr>
          <w:rFonts w:ascii="Arial" w:eastAsia="Times New Roman" w:hAnsi="Arial" w:cs="Arial"/>
          <w:sz w:val="22"/>
          <w:szCs w:val="22"/>
          <w:lang w:val="en-GB"/>
        </w:rPr>
        <w:t>7.059</w:t>
      </w:r>
      <w:r w:rsidR="008F56B1" w:rsidRPr="000D67C6">
        <w:rPr>
          <w:rFonts w:ascii="Arial" w:eastAsia="Times New Roman" w:hAnsi="Arial" w:cs="Arial"/>
          <w:sz w:val="22"/>
          <w:szCs w:val="22"/>
          <w:lang w:val="en-GB"/>
        </w:rPr>
        <w:t>m</w:t>
      </w:r>
      <w:r w:rsidRPr="000D67C6">
        <w:rPr>
          <w:rFonts w:ascii="Arial" w:eastAsia="Times New Roman" w:hAnsi="Arial" w:cs="Arial"/>
          <w:sz w:val="22"/>
          <w:szCs w:val="22"/>
          <w:lang w:val="en-GB"/>
        </w:rPr>
        <w:t xml:space="preserve">. </w:t>
      </w:r>
    </w:p>
    <w:p w14:paraId="1CCE2BEB" w14:textId="77777777" w:rsidR="00060CD3" w:rsidRPr="000D67C6" w:rsidRDefault="00060CD3" w:rsidP="008F013B">
      <w:pPr>
        <w:pStyle w:val="Normal0"/>
        <w:spacing w:line="259" w:lineRule="auto"/>
        <w:jc w:val="both"/>
        <w:rPr>
          <w:rFonts w:ascii="Arial" w:eastAsia="Times New Roman" w:hAnsi="Arial" w:cs="Arial"/>
          <w:b/>
          <w:sz w:val="22"/>
          <w:szCs w:val="22"/>
          <w:lang w:val="en-GB"/>
        </w:rPr>
      </w:pPr>
    </w:p>
    <w:p w14:paraId="2C77A280"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Pension liability</w:t>
      </w:r>
    </w:p>
    <w:p w14:paraId="04A1D0F6"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4EDA1348" w14:textId="630830B2" w:rsidR="008F013B" w:rsidRPr="000D67C6" w:rsidRDefault="007C4B12"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In 201</w:t>
      </w:r>
      <w:r w:rsidR="00C002D2" w:rsidRPr="000D67C6">
        <w:rPr>
          <w:rFonts w:ascii="Arial" w:eastAsia="Times New Roman" w:hAnsi="Arial" w:cs="Arial"/>
          <w:sz w:val="22"/>
          <w:szCs w:val="22"/>
          <w:lang w:val="en-GB"/>
        </w:rPr>
        <w:t>8</w:t>
      </w:r>
      <w:r w:rsidRPr="000D67C6">
        <w:rPr>
          <w:rFonts w:ascii="Arial" w:eastAsia="Times New Roman" w:hAnsi="Arial" w:cs="Arial"/>
          <w:sz w:val="22"/>
          <w:szCs w:val="22"/>
          <w:lang w:val="en-GB"/>
        </w:rPr>
        <w:t>/1</w:t>
      </w:r>
      <w:r w:rsidR="00C002D2" w:rsidRPr="000D67C6">
        <w:rPr>
          <w:rFonts w:ascii="Arial" w:eastAsia="Times New Roman" w:hAnsi="Arial" w:cs="Arial"/>
          <w:sz w:val="22"/>
          <w:szCs w:val="22"/>
          <w:lang w:val="en-GB"/>
        </w:rPr>
        <w:t>9</w:t>
      </w:r>
      <w:r w:rsidR="008F013B" w:rsidRPr="000D67C6">
        <w:rPr>
          <w:rFonts w:ascii="Arial" w:eastAsia="Times New Roman" w:hAnsi="Arial" w:cs="Arial"/>
          <w:sz w:val="22"/>
          <w:szCs w:val="22"/>
          <w:lang w:val="en-GB"/>
        </w:rPr>
        <w:t>,</w:t>
      </w:r>
      <w:r w:rsidR="00D603A4" w:rsidRPr="000D67C6">
        <w:rPr>
          <w:rFonts w:ascii="Arial" w:eastAsia="Times New Roman" w:hAnsi="Arial" w:cs="Arial"/>
          <w:sz w:val="22"/>
          <w:szCs w:val="22"/>
          <w:lang w:val="en-GB"/>
        </w:rPr>
        <w:t xml:space="preserve"> </w:t>
      </w:r>
      <w:r w:rsidR="002622C9" w:rsidRPr="000D67C6">
        <w:rPr>
          <w:rFonts w:ascii="Arial" w:eastAsia="Times New Roman" w:hAnsi="Arial" w:cs="Arial"/>
          <w:sz w:val="22"/>
          <w:szCs w:val="22"/>
          <w:lang w:val="en-GB"/>
        </w:rPr>
        <w:t>twenty-six</w:t>
      </w:r>
      <w:r w:rsidR="00884964" w:rsidRPr="000D67C6">
        <w:rPr>
          <w:rFonts w:ascii="Arial" w:eastAsia="Times New Roman" w:hAnsi="Arial" w:cs="Arial"/>
          <w:sz w:val="22"/>
          <w:szCs w:val="22"/>
          <w:lang w:val="en-GB"/>
        </w:rPr>
        <w:t xml:space="preserve"> </w:t>
      </w:r>
      <w:r w:rsidR="00A27EA5" w:rsidRPr="000D67C6">
        <w:rPr>
          <w:rFonts w:ascii="Arial" w:eastAsia="Times New Roman" w:hAnsi="Arial" w:cs="Arial"/>
          <w:sz w:val="22"/>
          <w:szCs w:val="22"/>
          <w:lang w:val="en-GB"/>
        </w:rPr>
        <w:t xml:space="preserve">members of </w:t>
      </w:r>
      <w:r w:rsidR="008F013B" w:rsidRPr="000D67C6">
        <w:rPr>
          <w:rFonts w:ascii="Arial" w:eastAsia="Times New Roman" w:hAnsi="Arial" w:cs="Arial"/>
          <w:sz w:val="22"/>
          <w:szCs w:val="22"/>
          <w:lang w:val="en-GB"/>
        </w:rPr>
        <w:t>staff ret</w:t>
      </w:r>
      <w:r w:rsidR="00FF52D7" w:rsidRPr="000D67C6">
        <w:rPr>
          <w:rFonts w:ascii="Arial" w:eastAsia="Times New Roman" w:hAnsi="Arial" w:cs="Arial"/>
          <w:sz w:val="22"/>
          <w:szCs w:val="22"/>
          <w:lang w:val="en-GB"/>
        </w:rPr>
        <w:t>ired. The net cost of the Firef</w:t>
      </w:r>
      <w:r w:rsidR="008F013B" w:rsidRPr="000D67C6">
        <w:rPr>
          <w:rFonts w:ascii="Arial" w:eastAsia="Times New Roman" w:hAnsi="Arial" w:cs="Arial"/>
          <w:sz w:val="22"/>
          <w:szCs w:val="22"/>
          <w:lang w:val="en-GB"/>
        </w:rPr>
        <w:t xml:space="preserve">ighters Pension Scheme to the revenue budget continues to grow, </w:t>
      </w:r>
      <w:r w:rsidR="008F56B1" w:rsidRPr="000D67C6">
        <w:rPr>
          <w:rFonts w:ascii="Arial" w:eastAsia="Times New Roman" w:hAnsi="Arial" w:cs="Arial"/>
          <w:sz w:val="22"/>
          <w:szCs w:val="22"/>
          <w:lang w:val="en-GB"/>
        </w:rPr>
        <w:t>and</w:t>
      </w:r>
      <w:r w:rsidR="008F013B" w:rsidRPr="000D67C6">
        <w:rPr>
          <w:rFonts w:ascii="Arial" w:eastAsia="Times New Roman" w:hAnsi="Arial" w:cs="Arial"/>
          <w:sz w:val="22"/>
          <w:szCs w:val="22"/>
          <w:lang w:val="en-GB"/>
        </w:rPr>
        <w:t xml:space="preserve"> the liability in terms of future pension commitments has increased due to adjustments made by the Actuaries to their assumptions. The actuarially assess</w:t>
      </w:r>
      <w:r w:rsidRPr="000D67C6">
        <w:rPr>
          <w:rFonts w:ascii="Arial" w:eastAsia="Times New Roman" w:hAnsi="Arial" w:cs="Arial"/>
          <w:sz w:val="22"/>
          <w:szCs w:val="22"/>
          <w:lang w:val="en-GB"/>
        </w:rPr>
        <w:t>ed liability as at 31 March 201</w:t>
      </w:r>
      <w:r w:rsidR="00C002D2" w:rsidRPr="000D67C6">
        <w:rPr>
          <w:rFonts w:ascii="Arial" w:eastAsia="Times New Roman" w:hAnsi="Arial" w:cs="Arial"/>
          <w:sz w:val="22"/>
          <w:szCs w:val="22"/>
          <w:lang w:val="en-GB"/>
        </w:rPr>
        <w:t>9</w:t>
      </w:r>
      <w:r w:rsidR="008F013B" w:rsidRPr="000D67C6">
        <w:rPr>
          <w:rFonts w:ascii="Arial" w:eastAsia="Times New Roman" w:hAnsi="Arial" w:cs="Arial"/>
          <w:sz w:val="22"/>
          <w:szCs w:val="22"/>
          <w:lang w:val="en-GB"/>
        </w:rPr>
        <w:t xml:space="preserve"> was </w:t>
      </w:r>
      <w:r w:rsidR="008F56B1" w:rsidRPr="000D67C6">
        <w:rPr>
          <w:rFonts w:ascii="Arial" w:eastAsia="Times New Roman" w:hAnsi="Arial" w:cs="Arial"/>
          <w:sz w:val="22"/>
          <w:szCs w:val="22"/>
          <w:lang w:val="en-GB"/>
        </w:rPr>
        <w:t>£</w:t>
      </w:r>
      <w:r w:rsidR="006535AB" w:rsidRPr="000D67C6">
        <w:rPr>
          <w:rFonts w:ascii="Arial" w:eastAsia="Times New Roman" w:hAnsi="Arial" w:cs="Arial"/>
          <w:sz w:val="22"/>
          <w:szCs w:val="22"/>
          <w:lang w:val="en-GB"/>
        </w:rPr>
        <w:t>5</w:t>
      </w:r>
      <w:r w:rsidR="002E6EC6" w:rsidRPr="000D67C6">
        <w:rPr>
          <w:rFonts w:ascii="Arial" w:eastAsia="Times New Roman" w:hAnsi="Arial" w:cs="Arial"/>
          <w:sz w:val="22"/>
          <w:szCs w:val="22"/>
          <w:lang w:val="en-GB"/>
        </w:rPr>
        <w:t>2</w:t>
      </w:r>
      <w:r w:rsidR="00343102">
        <w:rPr>
          <w:rFonts w:ascii="Arial" w:eastAsia="Times New Roman" w:hAnsi="Arial" w:cs="Arial"/>
          <w:sz w:val="22"/>
          <w:szCs w:val="22"/>
          <w:lang w:val="en-GB"/>
        </w:rPr>
        <w:t>4</w:t>
      </w:r>
      <w:r w:rsidR="002E6EC6" w:rsidRPr="000D67C6">
        <w:rPr>
          <w:rFonts w:ascii="Arial" w:eastAsia="Times New Roman" w:hAnsi="Arial" w:cs="Arial"/>
          <w:sz w:val="22"/>
          <w:szCs w:val="22"/>
          <w:lang w:val="en-GB"/>
        </w:rPr>
        <w:t>.</w:t>
      </w:r>
      <w:r w:rsidR="00343102">
        <w:rPr>
          <w:rFonts w:ascii="Arial" w:eastAsia="Times New Roman" w:hAnsi="Arial" w:cs="Arial"/>
          <w:sz w:val="22"/>
          <w:szCs w:val="22"/>
          <w:lang w:val="en-GB"/>
        </w:rPr>
        <w:t>2</w:t>
      </w:r>
      <w:r w:rsidR="002E6EC6" w:rsidRPr="000D67C6">
        <w:rPr>
          <w:rFonts w:ascii="Arial" w:eastAsia="Times New Roman" w:hAnsi="Arial" w:cs="Arial"/>
          <w:sz w:val="22"/>
          <w:szCs w:val="22"/>
          <w:lang w:val="en-GB"/>
        </w:rPr>
        <w:t>87</w:t>
      </w:r>
      <w:r w:rsidR="008F56B1" w:rsidRPr="000D67C6">
        <w:rPr>
          <w:rFonts w:ascii="Arial" w:eastAsia="Times New Roman" w:hAnsi="Arial" w:cs="Arial"/>
          <w:sz w:val="22"/>
          <w:szCs w:val="22"/>
          <w:lang w:val="en-GB"/>
        </w:rPr>
        <w:t>m</w:t>
      </w:r>
      <w:r w:rsidR="008F013B" w:rsidRPr="000D67C6">
        <w:rPr>
          <w:rFonts w:ascii="Arial" w:eastAsia="Times New Roman" w:hAnsi="Arial" w:cs="Arial"/>
          <w:sz w:val="22"/>
          <w:szCs w:val="22"/>
          <w:lang w:val="en-GB"/>
        </w:rPr>
        <w:t xml:space="preserve"> for</w:t>
      </w:r>
      <w:r w:rsidR="00B9075B" w:rsidRPr="000D67C6">
        <w:rPr>
          <w:rFonts w:ascii="Arial" w:eastAsia="Times New Roman" w:hAnsi="Arial" w:cs="Arial"/>
          <w:sz w:val="22"/>
          <w:szCs w:val="22"/>
          <w:lang w:val="en-GB"/>
        </w:rPr>
        <w:t xml:space="preserve"> the</w:t>
      </w:r>
      <w:r w:rsidR="008F013B" w:rsidRPr="000D67C6">
        <w:rPr>
          <w:rFonts w:ascii="Arial" w:eastAsia="Times New Roman" w:hAnsi="Arial" w:cs="Arial"/>
          <w:sz w:val="22"/>
          <w:szCs w:val="22"/>
          <w:lang w:val="en-GB"/>
        </w:rPr>
        <w:t xml:space="preserve"> Fire</w:t>
      </w:r>
      <w:r w:rsidR="00081722" w:rsidRPr="000D67C6">
        <w:rPr>
          <w:rFonts w:ascii="Arial" w:eastAsia="Times New Roman" w:hAnsi="Arial" w:cs="Arial"/>
          <w:sz w:val="22"/>
          <w:szCs w:val="22"/>
          <w:lang w:val="en-GB"/>
        </w:rPr>
        <w:t>f</w:t>
      </w:r>
      <w:r w:rsidR="00B9075B" w:rsidRPr="000D67C6">
        <w:rPr>
          <w:rFonts w:ascii="Arial" w:eastAsia="Times New Roman" w:hAnsi="Arial" w:cs="Arial"/>
          <w:sz w:val="22"/>
          <w:szCs w:val="22"/>
          <w:lang w:val="en-GB"/>
        </w:rPr>
        <w:t>ighters P</w:t>
      </w:r>
      <w:r w:rsidR="008F013B" w:rsidRPr="000D67C6">
        <w:rPr>
          <w:rFonts w:ascii="Arial" w:eastAsia="Times New Roman" w:hAnsi="Arial" w:cs="Arial"/>
          <w:sz w:val="22"/>
          <w:szCs w:val="22"/>
          <w:lang w:val="en-GB"/>
        </w:rPr>
        <w:t>e</w:t>
      </w:r>
      <w:r w:rsidR="00B9075B" w:rsidRPr="000D67C6">
        <w:rPr>
          <w:rFonts w:ascii="Arial" w:eastAsia="Times New Roman" w:hAnsi="Arial" w:cs="Arial"/>
          <w:sz w:val="22"/>
          <w:szCs w:val="22"/>
          <w:lang w:val="en-GB"/>
        </w:rPr>
        <w:t>nsion S</w:t>
      </w:r>
      <w:r w:rsidR="00033B69" w:rsidRPr="000D67C6">
        <w:rPr>
          <w:rFonts w:ascii="Arial" w:eastAsia="Times New Roman" w:hAnsi="Arial" w:cs="Arial"/>
          <w:sz w:val="22"/>
          <w:szCs w:val="22"/>
          <w:lang w:val="en-GB"/>
        </w:rPr>
        <w:t xml:space="preserve">cheme and </w:t>
      </w:r>
      <w:r w:rsidR="00A01EDC" w:rsidRPr="000D67C6">
        <w:rPr>
          <w:rFonts w:ascii="Arial" w:eastAsia="Times New Roman" w:hAnsi="Arial" w:cs="Arial"/>
          <w:sz w:val="22"/>
          <w:szCs w:val="22"/>
          <w:lang w:val="en-GB"/>
        </w:rPr>
        <w:t>£</w:t>
      </w:r>
      <w:r w:rsidR="00501860" w:rsidRPr="000D67C6">
        <w:rPr>
          <w:rFonts w:ascii="Arial" w:eastAsia="Times New Roman" w:hAnsi="Arial" w:cs="Arial"/>
          <w:sz w:val="22"/>
          <w:szCs w:val="22"/>
          <w:lang w:val="en-GB"/>
        </w:rPr>
        <w:t>15.378</w:t>
      </w:r>
      <w:r w:rsidR="00A01EDC" w:rsidRPr="000D67C6">
        <w:rPr>
          <w:rFonts w:ascii="Arial" w:eastAsia="Times New Roman" w:hAnsi="Arial" w:cs="Arial"/>
          <w:sz w:val="22"/>
          <w:szCs w:val="22"/>
          <w:lang w:val="en-GB"/>
        </w:rPr>
        <w:t>m</w:t>
      </w:r>
      <w:r w:rsidR="008F013B" w:rsidRPr="000D67C6">
        <w:rPr>
          <w:rFonts w:ascii="Arial" w:eastAsia="Times New Roman" w:hAnsi="Arial" w:cs="Arial"/>
          <w:sz w:val="22"/>
          <w:szCs w:val="22"/>
          <w:lang w:val="en-GB"/>
        </w:rPr>
        <w:t xml:space="preserve"> for the Local Governme</w:t>
      </w:r>
      <w:r w:rsidR="00B9075B" w:rsidRPr="000D67C6">
        <w:rPr>
          <w:rFonts w:ascii="Arial" w:eastAsia="Times New Roman" w:hAnsi="Arial" w:cs="Arial"/>
          <w:sz w:val="22"/>
          <w:szCs w:val="22"/>
          <w:lang w:val="en-GB"/>
        </w:rPr>
        <w:t>nt P</w:t>
      </w:r>
      <w:r w:rsidR="008F013B" w:rsidRPr="000D67C6">
        <w:rPr>
          <w:rFonts w:ascii="Arial" w:eastAsia="Times New Roman" w:hAnsi="Arial" w:cs="Arial"/>
          <w:sz w:val="22"/>
          <w:szCs w:val="22"/>
          <w:lang w:val="en-GB"/>
        </w:rPr>
        <w:t>ensio</w:t>
      </w:r>
      <w:r w:rsidR="00B9075B" w:rsidRPr="000D67C6">
        <w:rPr>
          <w:rFonts w:ascii="Arial" w:eastAsia="Times New Roman" w:hAnsi="Arial" w:cs="Arial"/>
          <w:sz w:val="22"/>
          <w:szCs w:val="22"/>
          <w:lang w:val="en-GB"/>
        </w:rPr>
        <w:t>n S</w:t>
      </w:r>
      <w:r w:rsidR="008F013B" w:rsidRPr="000D67C6">
        <w:rPr>
          <w:rFonts w:ascii="Arial" w:eastAsia="Times New Roman" w:hAnsi="Arial" w:cs="Arial"/>
          <w:sz w:val="22"/>
          <w:szCs w:val="22"/>
          <w:lang w:val="en-GB"/>
        </w:rPr>
        <w:t>cheme.</w:t>
      </w:r>
    </w:p>
    <w:p w14:paraId="1F22878D"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0AB6F043"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Under International Accounting Standard 19 (Employee Benefits) the </w:t>
      </w:r>
      <w:r w:rsidR="00197018" w:rsidRPr="000D67C6">
        <w:rPr>
          <w:rFonts w:ascii="Arial" w:eastAsia="Times New Roman" w:hAnsi="Arial" w:cs="Arial"/>
          <w:sz w:val="22"/>
          <w:szCs w:val="22"/>
          <w:lang w:val="en-GB"/>
        </w:rPr>
        <w:t>Authority</w:t>
      </w:r>
      <w:r w:rsidRPr="000D67C6">
        <w:rPr>
          <w:rFonts w:ascii="Arial" w:eastAsia="Times New Roman" w:hAnsi="Arial" w:cs="Arial"/>
          <w:sz w:val="22"/>
          <w:szCs w:val="22"/>
          <w:lang w:val="en-GB"/>
        </w:rPr>
        <w:t xml:space="preserve"> is required to provide details of assets and future liabilities for pensions payable to employees, both past and present. This is outlined in greater detail in the disclosures to the accounts</w:t>
      </w:r>
      <w:r w:rsidR="00EB3F39" w:rsidRPr="000D67C6">
        <w:rPr>
          <w:rFonts w:ascii="Arial" w:eastAsia="Times New Roman" w:hAnsi="Arial" w:cs="Arial"/>
          <w:sz w:val="22"/>
          <w:szCs w:val="22"/>
          <w:lang w:val="en-GB"/>
        </w:rPr>
        <w:t>, note 30</w:t>
      </w:r>
      <w:r w:rsidRPr="000D67C6">
        <w:rPr>
          <w:rFonts w:ascii="Arial" w:eastAsia="Times New Roman" w:hAnsi="Arial" w:cs="Arial"/>
          <w:sz w:val="22"/>
          <w:szCs w:val="22"/>
          <w:lang w:val="en-GB"/>
        </w:rPr>
        <w:t>.</w:t>
      </w:r>
    </w:p>
    <w:p w14:paraId="272BEB1F" w14:textId="77777777" w:rsidR="00432B60" w:rsidRPr="000D67C6" w:rsidRDefault="00432B60" w:rsidP="00432B60">
      <w:pPr>
        <w:rPr>
          <w:rFonts w:ascii="Arial" w:eastAsia="Times New Roman" w:hAnsi="Arial" w:cs="Arial"/>
          <w:sz w:val="22"/>
          <w:szCs w:val="22"/>
          <w:lang w:val="en-GB"/>
        </w:rPr>
      </w:pPr>
    </w:p>
    <w:p w14:paraId="5AE7C141" w14:textId="77777777" w:rsidR="008F013B" w:rsidRPr="000D67C6" w:rsidRDefault="008F013B" w:rsidP="00432B60">
      <w:pPr>
        <w:rPr>
          <w:rFonts w:ascii="Arial" w:eastAsia="Times New Roman" w:hAnsi="Arial" w:cs="Arial"/>
          <w:b/>
          <w:sz w:val="22"/>
          <w:szCs w:val="22"/>
          <w:lang w:val="en-GB"/>
        </w:rPr>
      </w:pPr>
      <w:r w:rsidRPr="000D67C6">
        <w:rPr>
          <w:rFonts w:ascii="Arial" w:eastAsia="Times New Roman" w:hAnsi="Arial" w:cs="Arial"/>
          <w:b/>
          <w:sz w:val="22"/>
          <w:szCs w:val="22"/>
          <w:lang w:val="en-GB"/>
        </w:rPr>
        <w:t>Reserve Accounting</w:t>
      </w:r>
    </w:p>
    <w:p w14:paraId="07EDAEE9"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445BE162"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At the end of the financial year, the Statement of Accounts shows financial re</w:t>
      </w:r>
      <w:r w:rsidR="007C4B12" w:rsidRPr="000D67C6">
        <w:rPr>
          <w:rFonts w:ascii="Arial" w:eastAsia="Times New Roman" w:hAnsi="Arial" w:cs="Arial"/>
          <w:sz w:val="22"/>
          <w:szCs w:val="22"/>
          <w:lang w:val="en-GB"/>
        </w:rPr>
        <w:t>serves carried forward into 201</w:t>
      </w:r>
      <w:r w:rsidR="00C002D2" w:rsidRPr="000D67C6">
        <w:rPr>
          <w:rFonts w:ascii="Arial" w:eastAsia="Times New Roman" w:hAnsi="Arial" w:cs="Arial"/>
          <w:sz w:val="22"/>
          <w:szCs w:val="22"/>
          <w:lang w:val="en-GB"/>
        </w:rPr>
        <w:t>9</w:t>
      </w:r>
      <w:r w:rsidR="007C4B12" w:rsidRPr="000D67C6">
        <w:rPr>
          <w:rFonts w:ascii="Arial" w:eastAsia="Times New Roman" w:hAnsi="Arial" w:cs="Arial"/>
          <w:sz w:val="22"/>
          <w:szCs w:val="22"/>
          <w:lang w:val="en-GB"/>
        </w:rPr>
        <w:t>/</w:t>
      </w:r>
      <w:r w:rsidR="00C002D2" w:rsidRPr="000D67C6">
        <w:rPr>
          <w:rFonts w:ascii="Arial" w:eastAsia="Times New Roman" w:hAnsi="Arial" w:cs="Arial"/>
          <w:sz w:val="22"/>
          <w:szCs w:val="22"/>
          <w:lang w:val="en-GB"/>
        </w:rPr>
        <w:t>20</w:t>
      </w:r>
      <w:r w:rsidRPr="000D67C6">
        <w:rPr>
          <w:rFonts w:ascii="Arial" w:eastAsia="Times New Roman" w:hAnsi="Arial" w:cs="Arial"/>
          <w:sz w:val="22"/>
          <w:szCs w:val="22"/>
          <w:lang w:val="en-GB"/>
        </w:rPr>
        <w:t>.  This is consistent with the accounting treatment of previous years, with the maintenance and utilisation of reserves forming a cornerstone of corporate financial stability and operational service planning in the short and medium term.</w:t>
      </w:r>
    </w:p>
    <w:p w14:paraId="13E2440C"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6A5932DC"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Capital Financing Costs</w:t>
      </w:r>
    </w:p>
    <w:p w14:paraId="7B010C18"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7239DD51" w14:textId="77777777" w:rsidR="008F013B" w:rsidRPr="000D67C6" w:rsidRDefault="00C53EF2"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charge made to the S</w:t>
      </w:r>
      <w:r w:rsidR="008F013B" w:rsidRPr="000D67C6">
        <w:rPr>
          <w:rFonts w:ascii="Arial" w:eastAsia="Times New Roman" w:hAnsi="Arial" w:cs="Arial"/>
          <w:sz w:val="22"/>
          <w:szCs w:val="22"/>
          <w:lang w:val="en-GB"/>
        </w:rPr>
        <w:t xml:space="preserve">ervice revenue accounts to reflect the cost of </w:t>
      </w:r>
      <w:r w:rsidR="00FF52D7" w:rsidRPr="000D67C6">
        <w:rPr>
          <w:rFonts w:ascii="Arial" w:eastAsia="Times New Roman" w:hAnsi="Arial" w:cs="Arial"/>
          <w:sz w:val="22"/>
          <w:szCs w:val="22"/>
          <w:lang w:val="en-GB"/>
        </w:rPr>
        <w:t>non-current</w:t>
      </w:r>
      <w:r w:rsidR="008F013B" w:rsidRPr="000D67C6">
        <w:rPr>
          <w:rFonts w:ascii="Arial" w:eastAsia="Times New Roman" w:hAnsi="Arial" w:cs="Arial"/>
          <w:sz w:val="22"/>
          <w:szCs w:val="22"/>
          <w:lang w:val="en-GB"/>
        </w:rPr>
        <w:t xml:space="preserve"> assets used in the provision of services was £</w:t>
      </w:r>
      <w:r w:rsidR="002853AE" w:rsidRPr="000D67C6">
        <w:rPr>
          <w:rFonts w:ascii="Arial" w:eastAsia="Times New Roman" w:hAnsi="Arial" w:cs="Arial"/>
          <w:sz w:val="22"/>
          <w:szCs w:val="22"/>
          <w:lang w:val="en-GB"/>
        </w:rPr>
        <w:t>2</w:t>
      </w:r>
      <w:r w:rsidR="00953BE4" w:rsidRPr="000D67C6">
        <w:rPr>
          <w:rFonts w:ascii="Arial" w:eastAsia="Times New Roman" w:hAnsi="Arial" w:cs="Arial"/>
          <w:sz w:val="22"/>
          <w:szCs w:val="22"/>
          <w:lang w:val="en-GB"/>
        </w:rPr>
        <w:t>.</w:t>
      </w:r>
      <w:r w:rsidR="001D77DC" w:rsidRPr="000D67C6">
        <w:rPr>
          <w:rFonts w:ascii="Arial" w:eastAsia="Times New Roman" w:hAnsi="Arial" w:cs="Arial"/>
          <w:sz w:val="22"/>
          <w:szCs w:val="22"/>
          <w:lang w:val="en-GB"/>
        </w:rPr>
        <w:t>896</w:t>
      </w:r>
      <w:r w:rsidR="00FF52D7" w:rsidRPr="000D67C6">
        <w:rPr>
          <w:rFonts w:ascii="Arial" w:eastAsia="Times New Roman" w:hAnsi="Arial" w:cs="Arial"/>
          <w:sz w:val="22"/>
          <w:szCs w:val="22"/>
          <w:lang w:val="en-GB"/>
        </w:rPr>
        <w:t>m</w:t>
      </w:r>
      <w:r w:rsidR="008F013B" w:rsidRPr="000D67C6">
        <w:rPr>
          <w:rFonts w:ascii="Arial" w:eastAsia="Times New Roman" w:hAnsi="Arial" w:cs="Arial"/>
          <w:sz w:val="22"/>
          <w:szCs w:val="22"/>
          <w:lang w:val="en-GB"/>
        </w:rPr>
        <w:t>. This is a notional charge for depreciation</w:t>
      </w:r>
      <w:r w:rsidR="002853AE" w:rsidRPr="000D67C6">
        <w:rPr>
          <w:rFonts w:ascii="Arial" w:eastAsia="Times New Roman" w:hAnsi="Arial" w:cs="Arial"/>
          <w:sz w:val="22"/>
          <w:szCs w:val="22"/>
          <w:lang w:val="en-GB"/>
        </w:rPr>
        <w:t xml:space="preserve"> and amortisation, </w:t>
      </w:r>
      <w:r w:rsidR="008F013B" w:rsidRPr="000D67C6">
        <w:rPr>
          <w:rFonts w:ascii="Arial" w:eastAsia="Times New Roman" w:hAnsi="Arial" w:cs="Arial"/>
          <w:sz w:val="22"/>
          <w:szCs w:val="22"/>
          <w:lang w:val="en-GB"/>
        </w:rPr>
        <w:t>and an adjustment is made to the year-end balance</w:t>
      </w:r>
      <w:r w:rsidR="002622C9" w:rsidRPr="000D67C6">
        <w:rPr>
          <w:rFonts w:ascii="Arial" w:eastAsia="Times New Roman" w:hAnsi="Arial" w:cs="Arial"/>
          <w:sz w:val="22"/>
          <w:szCs w:val="22"/>
          <w:lang w:val="en-GB"/>
        </w:rPr>
        <w:t>,</w:t>
      </w:r>
      <w:r w:rsidR="008F013B" w:rsidRPr="000D67C6">
        <w:rPr>
          <w:rFonts w:ascii="Arial" w:eastAsia="Times New Roman" w:hAnsi="Arial" w:cs="Arial"/>
          <w:sz w:val="22"/>
          <w:szCs w:val="22"/>
          <w:lang w:val="en-GB"/>
        </w:rPr>
        <w:t xml:space="preserve"> so the contributions required to fund the service are not aff</w:t>
      </w:r>
      <w:r w:rsidR="000C0310" w:rsidRPr="000D67C6">
        <w:rPr>
          <w:rFonts w:ascii="Arial" w:eastAsia="Times New Roman" w:hAnsi="Arial" w:cs="Arial"/>
          <w:sz w:val="22"/>
          <w:szCs w:val="22"/>
          <w:lang w:val="en-GB"/>
        </w:rPr>
        <w:t>ected.  The actual cost to the S</w:t>
      </w:r>
      <w:r w:rsidR="008F013B" w:rsidRPr="000D67C6">
        <w:rPr>
          <w:rFonts w:ascii="Arial" w:eastAsia="Times New Roman" w:hAnsi="Arial" w:cs="Arial"/>
          <w:sz w:val="22"/>
          <w:szCs w:val="22"/>
          <w:lang w:val="en-GB"/>
        </w:rPr>
        <w:t>ervice for financing capital is £</w:t>
      </w:r>
      <w:r w:rsidR="008D62A7" w:rsidRPr="000D67C6">
        <w:rPr>
          <w:rFonts w:ascii="Arial" w:eastAsia="Times New Roman" w:hAnsi="Arial" w:cs="Arial"/>
          <w:sz w:val="22"/>
          <w:szCs w:val="22"/>
          <w:lang w:val="en-GB"/>
        </w:rPr>
        <w:t>7</w:t>
      </w:r>
      <w:r w:rsidR="00F53B41" w:rsidRPr="000D67C6">
        <w:rPr>
          <w:rFonts w:ascii="Arial" w:eastAsia="Times New Roman" w:hAnsi="Arial" w:cs="Arial"/>
          <w:sz w:val="22"/>
          <w:szCs w:val="22"/>
          <w:lang w:val="en-GB"/>
        </w:rPr>
        <w:t>4</w:t>
      </w:r>
      <w:r w:rsidR="003D6F6E" w:rsidRPr="000D67C6">
        <w:rPr>
          <w:rFonts w:ascii="Arial" w:eastAsia="Times New Roman" w:hAnsi="Arial" w:cs="Arial"/>
          <w:sz w:val="22"/>
          <w:szCs w:val="22"/>
          <w:lang w:val="en-GB"/>
        </w:rPr>
        <w:t>6</w:t>
      </w:r>
      <w:r w:rsidR="002853AE" w:rsidRPr="000D67C6">
        <w:rPr>
          <w:rFonts w:ascii="Arial" w:eastAsia="Times New Roman" w:hAnsi="Arial" w:cs="Arial"/>
          <w:sz w:val="22"/>
          <w:szCs w:val="22"/>
          <w:lang w:val="en-GB"/>
        </w:rPr>
        <w:t xml:space="preserve">k </w:t>
      </w:r>
      <w:r w:rsidR="00033B69" w:rsidRPr="000D67C6">
        <w:rPr>
          <w:rFonts w:ascii="Arial" w:eastAsia="Times New Roman" w:hAnsi="Arial" w:cs="Arial"/>
          <w:sz w:val="22"/>
          <w:szCs w:val="22"/>
          <w:lang w:val="en-GB"/>
        </w:rPr>
        <w:t xml:space="preserve">for </w:t>
      </w:r>
      <w:r w:rsidR="002853AE" w:rsidRPr="000D67C6">
        <w:rPr>
          <w:rFonts w:ascii="Arial" w:eastAsia="Times New Roman" w:hAnsi="Arial" w:cs="Arial"/>
          <w:sz w:val="22"/>
          <w:szCs w:val="22"/>
          <w:lang w:val="en-GB"/>
        </w:rPr>
        <w:t>loan</w:t>
      </w:r>
      <w:r w:rsidR="008F013B" w:rsidRPr="000D67C6">
        <w:rPr>
          <w:rFonts w:ascii="Arial" w:eastAsia="Times New Roman" w:hAnsi="Arial" w:cs="Arial"/>
          <w:sz w:val="22"/>
          <w:szCs w:val="22"/>
          <w:lang w:val="en-GB"/>
        </w:rPr>
        <w:t xml:space="preserve"> and finance lease interest</w:t>
      </w:r>
      <w:r w:rsidR="002853AE" w:rsidRPr="000D67C6">
        <w:rPr>
          <w:rFonts w:ascii="Arial" w:eastAsia="Times New Roman" w:hAnsi="Arial" w:cs="Arial"/>
          <w:sz w:val="22"/>
          <w:szCs w:val="22"/>
          <w:lang w:val="en-GB"/>
        </w:rPr>
        <w:t>,</w:t>
      </w:r>
      <w:r w:rsidR="008F013B" w:rsidRPr="000D67C6">
        <w:rPr>
          <w:rFonts w:ascii="Arial" w:eastAsia="Times New Roman" w:hAnsi="Arial" w:cs="Arial"/>
          <w:sz w:val="22"/>
          <w:szCs w:val="22"/>
          <w:lang w:val="en-GB"/>
        </w:rPr>
        <w:t xml:space="preserve"> </w:t>
      </w:r>
      <w:r w:rsidR="002853AE" w:rsidRPr="000D67C6">
        <w:rPr>
          <w:rFonts w:ascii="Arial" w:eastAsia="Times New Roman" w:hAnsi="Arial" w:cs="Arial"/>
          <w:sz w:val="22"/>
          <w:szCs w:val="22"/>
          <w:lang w:val="en-GB"/>
        </w:rPr>
        <w:t>£</w:t>
      </w:r>
      <w:r w:rsidR="00431F62" w:rsidRPr="000D67C6">
        <w:rPr>
          <w:rFonts w:ascii="Arial" w:eastAsia="Times New Roman" w:hAnsi="Arial" w:cs="Arial"/>
          <w:sz w:val="22"/>
          <w:szCs w:val="22"/>
          <w:lang w:val="en-GB"/>
        </w:rPr>
        <w:t>1.</w:t>
      </w:r>
      <w:r w:rsidR="00CC269D" w:rsidRPr="000D67C6">
        <w:rPr>
          <w:rFonts w:ascii="Arial" w:eastAsia="Times New Roman" w:hAnsi="Arial" w:cs="Arial"/>
          <w:sz w:val="22"/>
          <w:szCs w:val="22"/>
          <w:lang w:val="en-GB"/>
        </w:rPr>
        <w:t>941</w:t>
      </w:r>
      <w:r w:rsidR="002853AE" w:rsidRPr="000D67C6">
        <w:rPr>
          <w:rFonts w:ascii="Arial" w:eastAsia="Times New Roman" w:hAnsi="Arial" w:cs="Arial"/>
          <w:sz w:val="22"/>
          <w:szCs w:val="22"/>
          <w:lang w:val="en-GB"/>
        </w:rPr>
        <w:t>m</w:t>
      </w:r>
      <w:r w:rsidR="008F013B" w:rsidRPr="000D67C6">
        <w:rPr>
          <w:rFonts w:ascii="Arial" w:eastAsia="Times New Roman" w:hAnsi="Arial" w:cs="Arial"/>
          <w:sz w:val="22"/>
          <w:szCs w:val="22"/>
          <w:lang w:val="en-GB"/>
        </w:rPr>
        <w:t xml:space="preserve"> Minimum Revenue Provision</w:t>
      </w:r>
      <w:r w:rsidR="002853AE" w:rsidRPr="000D67C6">
        <w:rPr>
          <w:rFonts w:ascii="Arial" w:eastAsia="Times New Roman" w:hAnsi="Arial" w:cs="Arial"/>
          <w:sz w:val="22"/>
          <w:szCs w:val="22"/>
          <w:lang w:val="en-GB"/>
        </w:rPr>
        <w:t xml:space="preserve"> and £</w:t>
      </w:r>
      <w:r w:rsidR="00C1685E" w:rsidRPr="000D67C6">
        <w:rPr>
          <w:rFonts w:ascii="Arial" w:eastAsia="Times New Roman" w:hAnsi="Arial" w:cs="Arial"/>
          <w:sz w:val="22"/>
          <w:szCs w:val="22"/>
          <w:lang w:val="en-GB"/>
        </w:rPr>
        <w:t>332</w:t>
      </w:r>
      <w:r w:rsidR="003D6F6E" w:rsidRPr="000D67C6">
        <w:rPr>
          <w:rFonts w:ascii="Arial" w:eastAsia="Times New Roman" w:hAnsi="Arial" w:cs="Arial"/>
          <w:sz w:val="22"/>
          <w:szCs w:val="22"/>
          <w:lang w:val="en-GB"/>
        </w:rPr>
        <w:t>k</w:t>
      </w:r>
      <w:r w:rsidR="002853AE" w:rsidRPr="000D67C6">
        <w:rPr>
          <w:rFonts w:ascii="Arial" w:eastAsia="Times New Roman" w:hAnsi="Arial" w:cs="Arial"/>
          <w:sz w:val="22"/>
          <w:szCs w:val="22"/>
          <w:lang w:val="en-GB"/>
        </w:rPr>
        <w:t xml:space="preserve"> revenue contribution</w:t>
      </w:r>
      <w:r w:rsidR="008F013B" w:rsidRPr="000D67C6">
        <w:rPr>
          <w:rFonts w:ascii="Arial" w:eastAsia="Times New Roman" w:hAnsi="Arial" w:cs="Arial"/>
          <w:sz w:val="22"/>
          <w:szCs w:val="22"/>
          <w:lang w:val="en-GB"/>
        </w:rPr>
        <w:t xml:space="preserve">. </w:t>
      </w:r>
    </w:p>
    <w:p w14:paraId="30EC5C25" w14:textId="77777777" w:rsidR="002853AE" w:rsidRPr="000D67C6" w:rsidRDefault="002853AE" w:rsidP="008F013B">
      <w:pPr>
        <w:pStyle w:val="Normal0"/>
        <w:spacing w:line="259" w:lineRule="auto"/>
        <w:jc w:val="both"/>
        <w:rPr>
          <w:rFonts w:ascii="Arial" w:eastAsia="Times New Roman" w:hAnsi="Arial" w:cs="Arial"/>
          <w:b/>
          <w:sz w:val="22"/>
          <w:szCs w:val="22"/>
          <w:lang w:val="en-GB"/>
        </w:rPr>
      </w:pPr>
    </w:p>
    <w:p w14:paraId="7697CAAF"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Impact of the Current Economic Climate</w:t>
      </w:r>
    </w:p>
    <w:p w14:paraId="3847943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2D0DA02E" w14:textId="59997E39" w:rsidR="009A47CB" w:rsidRPr="000D67C6" w:rsidRDefault="00651051" w:rsidP="009A47C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accounting statements are required to reflect the condit</w:t>
      </w:r>
      <w:r w:rsidR="00152F01" w:rsidRPr="000D67C6">
        <w:rPr>
          <w:rFonts w:ascii="Arial" w:eastAsia="Times New Roman" w:hAnsi="Arial" w:cs="Arial"/>
          <w:sz w:val="22"/>
          <w:szCs w:val="22"/>
          <w:lang w:val="en-GB"/>
        </w:rPr>
        <w:t>ions applying at the end of the y</w:t>
      </w:r>
      <w:r w:rsidR="00394E4C" w:rsidRPr="000D67C6">
        <w:rPr>
          <w:rFonts w:ascii="Arial" w:eastAsia="Times New Roman" w:hAnsi="Arial" w:cs="Arial"/>
          <w:sz w:val="22"/>
          <w:szCs w:val="22"/>
          <w:lang w:val="en-GB"/>
        </w:rPr>
        <w:t xml:space="preserve">ear. </w:t>
      </w:r>
      <w:r w:rsidR="00152F01" w:rsidRPr="000D67C6">
        <w:rPr>
          <w:rFonts w:ascii="Arial" w:eastAsia="Times New Roman" w:hAnsi="Arial" w:cs="Arial"/>
          <w:sz w:val="22"/>
          <w:szCs w:val="22"/>
          <w:lang w:val="en-GB"/>
        </w:rPr>
        <w:t>The financial year has s</w:t>
      </w:r>
      <w:r w:rsidR="00394E4C" w:rsidRPr="000D67C6">
        <w:rPr>
          <w:rFonts w:ascii="Arial" w:eastAsia="Times New Roman" w:hAnsi="Arial" w:cs="Arial"/>
          <w:sz w:val="22"/>
          <w:szCs w:val="22"/>
          <w:lang w:val="en-GB"/>
        </w:rPr>
        <w:t>een a period of significant political and economic u</w:t>
      </w:r>
      <w:r w:rsidR="00152F01" w:rsidRPr="000D67C6">
        <w:rPr>
          <w:rFonts w:ascii="Arial" w:eastAsia="Times New Roman" w:hAnsi="Arial" w:cs="Arial"/>
          <w:sz w:val="22"/>
          <w:szCs w:val="22"/>
          <w:lang w:val="en-GB"/>
        </w:rPr>
        <w:t xml:space="preserve">ncertainty at a national level. </w:t>
      </w:r>
      <w:r w:rsidR="00394E4C" w:rsidRPr="000D67C6">
        <w:rPr>
          <w:rFonts w:ascii="Arial" w:eastAsia="Times New Roman" w:hAnsi="Arial" w:cs="Arial"/>
          <w:sz w:val="22"/>
          <w:szCs w:val="22"/>
          <w:lang w:val="en-GB"/>
        </w:rPr>
        <w:t xml:space="preserve">The most significant factors affecting the </w:t>
      </w:r>
      <w:r w:rsidR="00ED337D" w:rsidRPr="000D67C6">
        <w:rPr>
          <w:rFonts w:ascii="Arial" w:eastAsia="Times New Roman" w:hAnsi="Arial" w:cs="Arial"/>
          <w:sz w:val="22"/>
          <w:szCs w:val="22"/>
          <w:lang w:val="en-GB"/>
        </w:rPr>
        <w:t>Authority</w:t>
      </w:r>
      <w:r w:rsidR="00394E4C" w:rsidRPr="000D67C6">
        <w:rPr>
          <w:rFonts w:ascii="Arial" w:eastAsia="Times New Roman" w:hAnsi="Arial" w:cs="Arial"/>
          <w:sz w:val="22"/>
          <w:szCs w:val="22"/>
          <w:lang w:val="en-GB"/>
        </w:rPr>
        <w:t xml:space="preserve"> were</w:t>
      </w:r>
      <w:r w:rsidR="006B5517" w:rsidRPr="000D67C6">
        <w:rPr>
          <w:rFonts w:ascii="Arial" w:eastAsia="Times New Roman" w:hAnsi="Arial" w:cs="Arial"/>
          <w:sz w:val="22"/>
          <w:szCs w:val="22"/>
          <w:lang w:val="en-GB"/>
        </w:rPr>
        <w:t xml:space="preserve"> the co</w:t>
      </w:r>
      <w:r w:rsidR="00010DE0" w:rsidRPr="000D67C6">
        <w:rPr>
          <w:rFonts w:ascii="Arial" w:eastAsia="Times New Roman" w:hAnsi="Arial" w:cs="Arial"/>
          <w:sz w:val="22"/>
          <w:szCs w:val="22"/>
          <w:lang w:val="en-GB"/>
        </w:rPr>
        <w:t xml:space="preserve">ntinuing </w:t>
      </w:r>
      <w:r w:rsidR="008B3A0C" w:rsidRPr="000D67C6">
        <w:rPr>
          <w:rFonts w:ascii="Arial" w:eastAsia="Times New Roman" w:hAnsi="Arial" w:cs="Arial"/>
          <w:sz w:val="22"/>
          <w:szCs w:val="22"/>
          <w:lang w:val="en-GB"/>
        </w:rPr>
        <w:t xml:space="preserve">pressure on public sector budgets </w:t>
      </w:r>
      <w:r w:rsidR="00010DE0" w:rsidRPr="000D67C6">
        <w:rPr>
          <w:rFonts w:ascii="Arial" w:eastAsia="Times New Roman" w:hAnsi="Arial" w:cs="Arial"/>
          <w:sz w:val="22"/>
          <w:szCs w:val="22"/>
          <w:lang w:val="en-GB"/>
        </w:rPr>
        <w:t xml:space="preserve">and uncertainty over </w:t>
      </w:r>
      <w:r w:rsidR="00F649D4" w:rsidRPr="000D67C6">
        <w:rPr>
          <w:rFonts w:ascii="Arial" w:eastAsia="Times New Roman" w:hAnsi="Arial" w:cs="Arial"/>
          <w:sz w:val="22"/>
          <w:szCs w:val="22"/>
          <w:lang w:val="en-GB"/>
        </w:rPr>
        <w:t xml:space="preserve">the impact of the UK’s withdrawal from the European Union (Brexit). </w:t>
      </w:r>
    </w:p>
    <w:p w14:paraId="2D0031D0" w14:textId="7B83CDC1" w:rsidR="00F649D4" w:rsidRPr="000D67C6" w:rsidRDefault="00F649D4" w:rsidP="009A47CB">
      <w:pPr>
        <w:pStyle w:val="Normal0"/>
        <w:spacing w:line="259" w:lineRule="auto"/>
        <w:jc w:val="both"/>
        <w:rPr>
          <w:rFonts w:ascii="Arial" w:eastAsia="Times New Roman" w:hAnsi="Arial" w:cs="Arial"/>
          <w:sz w:val="22"/>
          <w:szCs w:val="22"/>
          <w:lang w:val="en-GB"/>
        </w:rPr>
      </w:pPr>
    </w:p>
    <w:p w14:paraId="32B1FF58" w14:textId="4F27F7E3" w:rsidR="00BD1396" w:rsidRPr="000D67C6" w:rsidRDefault="00176A7C" w:rsidP="009A47C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Strategy &amp; Resource Allocation</w:t>
      </w:r>
    </w:p>
    <w:p w14:paraId="4B5DB22E" w14:textId="77777777" w:rsidR="00176A7C" w:rsidRPr="000D67C6" w:rsidRDefault="00176A7C" w:rsidP="009A47CB">
      <w:pPr>
        <w:pStyle w:val="Normal0"/>
        <w:spacing w:line="259" w:lineRule="auto"/>
        <w:jc w:val="both"/>
        <w:rPr>
          <w:rFonts w:ascii="Arial" w:eastAsia="Times New Roman" w:hAnsi="Arial" w:cs="Arial"/>
          <w:b/>
          <w:sz w:val="22"/>
          <w:szCs w:val="22"/>
          <w:lang w:val="en-GB"/>
        </w:rPr>
      </w:pPr>
    </w:p>
    <w:p w14:paraId="571E56CC" w14:textId="34A763DB" w:rsidR="008F013B" w:rsidRPr="000D67C6" w:rsidRDefault="0040295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The Authority’s</w:t>
      </w:r>
      <w:r w:rsidR="008F013B" w:rsidRPr="000D67C6">
        <w:rPr>
          <w:rFonts w:ascii="Arial" w:eastAsia="Times New Roman" w:hAnsi="Arial" w:cs="Arial"/>
          <w:sz w:val="22"/>
          <w:szCs w:val="22"/>
          <w:lang w:val="en-GB"/>
        </w:rPr>
        <w:t xml:space="preserve"> Annual Improvement Plan outlines various projects to review structures and processes in place throughout the organisation to make the necessary reductions for future years.  The financial implications of these were clearly reflected in the Medium</w:t>
      </w:r>
      <w:r w:rsidR="00997D6B" w:rsidRPr="000D67C6">
        <w:rPr>
          <w:rFonts w:ascii="Arial" w:eastAsia="Times New Roman" w:hAnsi="Arial" w:cs="Arial"/>
          <w:sz w:val="22"/>
          <w:szCs w:val="22"/>
          <w:lang w:val="en-GB"/>
        </w:rPr>
        <w:t>-</w:t>
      </w:r>
      <w:r w:rsidR="008F013B" w:rsidRPr="000D67C6">
        <w:rPr>
          <w:rFonts w:ascii="Arial" w:eastAsia="Times New Roman" w:hAnsi="Arial" w:cs="Arial"/>
          <w:sz w:val="22"/>
          <w:szCs w:val="22"/>
          <w:lang w:val="en-GB"/>
        </w:rPr>
        <w:t>Term Financial Plan.</w:t>
      </w:r>
      <w:r w:rsidR="00635DF1" w:rsidRPr="000D67C6">
        <w:rPr>
          <w:rFonts w:ascii="Arial" w:eastAsia="Times New Roman" w:hAnsi="Arial" w:cs="Arial"/>
          <w:sz w:val="22"/>
          <w:szCs w:val="22"/>
          <w:lang w:val="en-GB"/>
        </w:rPr>
        <w:t xml:space="preserve"> Both the Annual Improvement Plan and the Medium</w:t>
      </w:r>
      <w:r w:rsidR="00997D6B" w:rsidRPr="000D67C6">
        <w:rPr>
          <w:rFonts w:ascii="Arial" w:eastAsia="Times New Roman" w:hAnsi="Arial" w:cs="Arial"/>
          <w:sz w:val="22"/>
          <w:szCs w:val="22"/>
          <w:lang w:val="en-GB"/>
        </w:rPr>
        <w:t>-</w:t>
      </w:r>
      <w:r w:rsidR="00635DF1" w:rsidRPr="000D67C6">
        <w:rPr>
          <w:rFonts w:ascii="Arial" w:eastAsia="Times New Roman" w:hAnsi="Arial" w:cs="Arial"/>
          <w:sz w:val="22"/>
          <w:szCs w:val="22"/>
          <w:lang w:val="en-GB"/>
        </w:rPr>
        <w:t>Term Financial Plan are available on the Mid and West Wales Fire and Rescue Authority website.</w:t>
      </w:r>
      <w:r w:rsidR="008F013B" w:rsidRPr="000D67C6">
        <w:rPr>
          <w:rFonts w:ascii="Arial" w:eastAsia="Times New Roman" w:hAnsi="Arial" w:cs="Arial"/>
          <w:sz w:val="22"/>
          <w:szCs w:val="22"/>
          <w:lang w:val="en-GB"/>
        </w:rPr>
        <w:t xml:space="preserve">  </w:t>
      </w:r>
    </w:p>
    <w:p w14:paraId="41F4C346" w14:textId="77777777" w:rsidR="008F013B" w:rsidRPr="000D67C6" w:rsidRDefault="008F013B" w:rsidP="008F013B">
      <w:pPr>
        <w:pStyle w:val="Normal0"/>
        <w:spacing w:line="259" w:lineRule="auto"/>
        <w:jc w:val="both"/>
        <w:rPr>
          <w:rFonts w:ascii="Arial" w:eastAsia="Times New Roman" w:hAnsi="Arial" w:cs="Arial"/>
          <w:sz w:val="22"/>
          <w:szCs w:val="22"/>
          <w:lang w:val="en-GB"/>
        </w:rPr>
      </w:pPr>
    </w:p>
    <w:p w14:paraId="65F4353C" w14:textId="77777777" w:rsidR="00060CD3" w:rsidRPr="000D67C6" w:rsidRDefault="007B3D55"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Our overall financial standing has been maintained at a prudent level. The majority of our reserves are earmarked for specific purposes – whether this is to address liabilities now or in the future e.g. </w:t>
      </w:r>
      <w:r w:rsidR="00A25EBD" w:rsidRPr="000D67C6">
        <w:rPr>
          <w:rFonts w:ascii="Arial" w:eastAsia="Times New Roman" w:hAnsi="Arial" w:cs="Arial"/>
          <w:sz w:val="22"/>
          <w:szCs w:val="22"/>
          <w:lang w:val="en-GB"/>
        </w:rPr>
        <w:t>Employee and Pensions</w:t>
      </w:r>
      <w:r w:rsidRPr="000D67C6">
        <w:rPr>
          <w:rFonts w:ascii="Arial" w:eastAsia="Times New Roman" w:hAnsi="Arial" w:cs="Arial"/>
          <w:sz w:val="22"/>
          <w:szCs w:val="22"/>
          <w:lang w:val="en-GB"/>
        </w:rPr>
        <w:t xml:space="preserve"> reserve, or for financing specific capital schemes.</w:t>
      </w:r>
    </w:p>
    <w:p w14:paraId="64AB32B6" w14:textId="77777777" w:rsidR="007B3D55" w:rsidRPr="000D67C6" w:rsidRDefault="007B3D55" w:rsidP="008F013B">
      <w:pPr>
        <w:pStyle w:val="Normal0"/>
        <w:spacing w:line="259" w:lineRule="auto"/>
        <w:jc w:val="both"/>
        <w:rPr>
          <w:rFonts w:ascii="Arial" w:eastAsia="Times New Roman" w:hAnsi="Arial" w:cs="Arial"/>
          <w:b/>
          <w:sz w:val="22"/>
          <w:szCs w:val="22"/>
          <w:lang w:val="en-GB"/>
        </w:rPr>
      </w:pPr>
    </w:p>
    <w:p w14:paraId="16C549E2"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Additional Information</w:t>
      </w:r>
    </w:p>
    <w:p w14:paraId="29B02DCF"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66DA1558" w14:textId="77777777"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Additional information about these accounts is available from the </w:t>
      </w:r>
      <w:r w:rsidR="0040295B" w:rsidRPr="000D67C6">
        <w:rPr>
          <w:rFonts w:ascii="Arial" w:eastAsia="Times New Roman" w:hAnsi="Arial" w:cs="Arial"/>
          <w:sz w:val="22"/>
          <w:szCs w:val="22"/>
          <w:lang w:val="en-GB"/>
        </w:rPr>
        <w:t xml:space="preserve">S151 Officer </w:t>
      </w:r>
      <w:r w:rsidRPr="000D67C6">
        <w:rPr>
          <w:rFonts w:ascii="Arial" w:eastAsia="Times New Roman" w:hAnsi="Arial" w:cs="Arial"/>
          <w:sz w:val="22"/>
          <w:szCs w:val="22"/>
          <w:lang w:val="en-GB"/>
        </w:rPr>
        <w:t>to the Authority</w:t>
      </w:r>
      <w:r w:rsidR="0040295B" w:rsidRPr="000D67C6">
        <w:rPr>
          <w:rFonts w:ascii="Arial" w:eastAsia="Times New Roman" w:hAnsi="Arial" w:cs="Arial"/>
          <w:sz w:val="22"/>
          <w:szCs w:val="22"/>
          <w:lang w:val="en-GB"/>
        </w:rPr>
        <w:t xml:space="preserve"> and the Head of Finance</w:t>
      </w:r>
      <w:r w:rsidRPr="000D67C6">
        <w:rPr>
          <w:rFonts w:ascii="Arial" w:eastAsia="Times New Roman" w:hAnsi="Arial" w:cs="Arial"/>
          <w:sz w:val="22"/>
          <w:szCs w:val="22"/>
          <w:lang w:val="en-GB"/>
        </w:rPr>
        <w:t>.  Interested members of the public also have a statutory right to inspect the accounts before the audit is completed; availability of the accounts for inspection is advertised on the Mid and West Wales</w:t>
      </w:r>
      <w:r w:rsidR="00033B69" w:rsidRPr="000D67C6">
        <w:rPr>
          <w:rFonts w:ascii="Arial" w:eastAsia="Times New Roman" w:hAnsi="Arial" w:cs="Arial"/>
          <w:sz w:val="22"/>
          <w:szCs w:val="22"/>
          <w:lang w:val="en-GB"/>
        </w:rPr>
        <w:t xml:space="preserve"> Fire and Rescue</w:t>
      </w:r>
      <w:r w:rsidRPr="000D67C6">
        <w:rPr>
          <w:rFonts w:ascii="Arial" w:eastAsia="Times New Roman" w:hAnsi="Arial" w:cs="Arial"/>
          <w:sz w:val="22"/>
          <w:szCs w:val="22"/>
          <w:lang w:val="en-GB"/>
        </w:rPr>
        <w:t xml:space="preserve"> Authority website.</w:t>
      </w:r>
    </w:p>
    <w:p w14:paraId="5771C52E" w14:textId="1B06831B" w:rsidR="00317771" w:rsidRDefault="00317771" w:rsidP="008F013B">
      <w:pPr>
        <w:pStyle w:val="Normal0"/>
        <w:spacing w:line="259" w:lineRule="auto"/>
        <w:jc w:val="both"/>
        <w:rPr>
          <w:rFonts w:ascii="Arial" w:eastAsia="Times New Roman" w:hAnsi="Arial" w:cs="Arial"/>
          <w:b/>
          <w:sz w:val="22"/>
          <w:szCs w:val="22"/>
          <w:lang w:val="en-GB"/>
        </w:rPr>
      </w:pPr>
    </w:p>
    <w:p w14:paraId="63E06831" w14:textId="77777777" w:rsidR="00B54AF3" w:rsidRPr="000D67C6" w:rsidRDefault="00B54AF3" w:rsidP="008F013B">
      <w:pPr>
        <w:pStyle w:val="Normal0"/>
        <w:spacing w:line="259" w:lineRule="auto"/>
        <w:jc w:val="both"/>
        <w:rPr>
          <w:rFonts w:ascii="Arial" w:eastAsia="Times New Roman" w:hAnsi="Arial" w:cs="Arial"/>
          <w:b/>
          <w:sz w:val="22"/>
          <w:szCs w:val="22"/>
          <w:lang w:val="en-GB"/>
        </w:rPr>
      </w:pPr>
    </w:p>
    <w:p w14:paraId="42A66B59"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r w:rsidRPr="000D67C6">
        <w:rPr>
          <w:rFonts w:ascii="Arial" w:eastAsia="Times New Roman" w:hAnsi="Arial" w:cs="Arial"/>
          <w:b/>
          <w:sz w:val="22"/>
          <w:szCs w:val="22"/>
          <w:lang w:val="en-GB"/>
        </w:rPr>
        <w:t>Acknowledgements</w:t>
      </w:r>
    </w:p>
    <w:p w14:paraId="057115EB" w14:textId="77777777" w:rsidR="008F013B" w:rsidRPr="000D67C6" w:rsidRDefault="008F013B" w:rsidP="008F013B">
      <w:pPr>
        <w:pStyle w:val="Normal0"/>
        <w:spacing w:line="259" w:lineRule="auto"/>
        <w:jc w:val="both"/>
        <w:rPr>
          <w:rFonts w:ascii="Arial" w:eastAsia="Times New Roman" w:hAnsi="Arial" w:cs="Arial"/>
          <w:b/>
          <w:sz w:val="22"/>
          <w:szCs w:val="22"/>
          <w:lang w:val="en-GB"/>
        </w:rPr>
      </w:pPr>
    </w:p>
    <w:p w14:paraId="5E629104" w14:textId="6D330BAD" w:rsidR="008F013B"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Finally, I wish to thank all Finance staff within the Resources Directorate, and their colleagues throughout the Authority, who have worked on the preparation of these statements.  I also wish to thank the Chief Fire Officer and </w:t>
      </w:r>
      <w:r w:rsidR="00700989" w:rsidRPr="000D67C6">
        <w:rPr>
          <w:rFonts w:ascii="Arial" w:eastAsia="Times New Roman" w:hAnsi="Arial" w:cs="Arial"/>
          <w:sz w:val="22"/>
          <w:szCs w:val="22"/>
          <w:lang w:val="en-GB"/>
        </w:rPr>
        <w:t>the leadership team</w:t>
      </w:r>
      <w:r w:rsidRPr="000D67C6">
        <w:rPr>
          <w:rFonts w:ascii="Arial" w:eastAsia="Times New Roman" w:hAnsi="Arial" w:cs="Arial"/>
          <w:sz w:val="22"/>
          <w:szCs w:val="22"/>
          <w:lang w:val="en-GB"/>
        </w:rPr>
        <w:t xml:space="preserve"> for their assistance and co-operation throughout this process.</w:t>
      </w:r>
    </w:p>
    <w:p w14:paraId="06622C96" w14:textId="3A132574" w:rsidR="008F013B" w:rsidRDefault="008F013B" w:rsidP="008F013B">
      <w:pPr>
        <w:pStyle w:val="Normal0"/>
        <w:spacing w:line="259" w:lineRule="auto"/>
        <w:jc w:val="both"/>
        <w:rPr>
          <w:rFonts w:ascii="Arial" w:eastAsia="Times New Roman" w:hAnsi="Arial" w:cs="Arial"/>
          <w:sz w:val="22"/>
          <w:szCs w:val="22"/>
          <w:lang w:val="en-GB"/>
        </w:rPr>
      </w:pPr>
    </w:p>
    <w:p w14:paraId="3C702623" w14:textId="40A58847" w:rsidR="0073572C" w:rsidRPr="00266F2B" w:rsidRDefault="0073572C" w:rsidP="00266F2B">
      <w:pPr>
        <w:pStyle w:val="Normal0"/>
        <w:spacing w:line="259" w:lineRule="auto"/>
        <w:jc w:val="both"/>
        <w:rPr>
          <w:rFonts w:ascii="Arial" w:eastAsia="Times New Roman" w:hAnsi="Arial" w:cs="Arial"/>
          <w:sz w:val="22"/>
          <w:szCs w:val="22"/>
          <w:lang w:val="en-GB"/>
        </w:rPr>
      </w:pPr>
      <w:r w:rsidRPr="00266F2B">
        <w:rPr>
          <w:rFonts w:ascii="Arial" w:eastAsia="Times New Roman" w:hAnsi="Arial" w:cs="Arial"/>
          <w:sz w:val="22"/>
          <w:szCs w:val="22"/>
          <w:lang w:val="en-GB"/>
        </w:rPr>
        <w:t>The maintenance and integrity of Mid and West Wales Fire and Rescue Authority’s website is the responsibility of the Authority; the work carried out by auditors does not involve consideration of these matters and accordingly auditors accept no responsibility for any changes that may have occurred to the financial statements since they were initially presented on the website.</w:t>
      </w:r>
    </w:p>
    <w:p w14:paraId="0B90A99D" w14:textId="77777777" w:rsidR="002541C9" w:rsidRPr="000D67C6" w:rsidRDefault="002541C9" w:rsidP="008F013B">
      <w:pPr>
        <w:pStyle w:val="Normal0"/>
        <w:spacing w:line="259" w:lineRule="auto"/>
        <w:jc w:val="both"/>
        <w:rPr>
          <w:rFonts w:ascii="Arial" w:eastAsia="Times New Roman" w:hAnsi="Arial" w:cs="Arial"/>
          <w:sz w:val="22"/>
          <w:szCs w:val="22"/>
          <w:lang w:val="en-GB"/>
        </w:rPr>
      </w:pPr>
    </w:p>
    <w:p w14:paraId="7F5519B4" w14:textId="77777777" w:rsidR="008662F9" w:rsidRPr="000D67C6" w:rsidRDefault="008662F9" w:rsidP="008F013B">
      <w:pPr>
        <w:pStyle w:val="Normal0"/>
        <w:spacing w:line="259" w:lineRule="auto"/>
        <w:jc w:val="both"/>
        <w:rPr>
          <w:rFonts w:ascii="Arial" w:eastAsia="Times New Roman" w:hAnsi="Arial" w:cs="Arial"/>
          <w:sz w:val="22"/>
          <w:szCs w:val="22"/>
          <w:lang w:val="en-GB"/>
        </w:rPr>
      </w:pPr>
    </w:p>
    <w:p w14:paraId="7EC81CD3" w14:textId="77777777" w:rsidR="008662F9" w:rsidRPr="000D67C6" w:rsidRDefault="008662F9" w:rsidP="008F013B">
      <w:pPr>
        <w:pStyle w:val="Normal0"/>
        <w:spacing w:line="259" w:lineRule="auto"/>
        <w:jc w:val="both"/>
        <w:rPr>
          <w:rFonts w:ascii="Arial" w:eastAsia="Times New Roman" w:hAnsi="Arial" w:cs="Arial"/>
          <w:sz w:val="22"/>
          <w:szCs w:val="22"/>
          <w:lang w:val="en-GB"/>
        </w:rPr>
      </w:pPr>
    </w:p>
    <w:p w14:paraId="5E06D664" w14:textId="77777777" w:rsidR="007E5517" w:rsidRPr="000D67C6" w:rsidRDefault="008F013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Chris Moore</w:t>
      </w:r>
      <w:r w:rsidR="00B8572C" w:rsidRPr="000D67C6">
        <w:rPr>
          <w:rFonts w:ascii="Arial" w:eastAsia="Times New Roman" w:hAnsi="Arial" w:cs="Arial"/>
          <w:sz w:val="22"/>
          <w:szCs w:val="22"/>
          <w:lang w:val="en-GB"/>
        </w:rPr>
        <w:t xml:space="preserve"> FCCA</w:t>
      </w:r>
    </w:p>
    <w:p w14:paraId="475BB164" w14:textId="77777777" w:rsidR="0040295B" w:rsidRPr="000D67C6" w:rsidRDefault="0040295B" w:rsidP="008F013B">
      <w:pPr>
        <w:pStyle w:val="Normal0"/>
        <w:spacing w:line="259" w:lineRule="auto"/>
        <w:jc w:val="both"/>
        <w:rPr>
          <w:rFonts w:ascii="Arial" w:eastAsia="Times New Roman" w:hAnsi="Arial" w:cs="Arial"/>
          <w:sz w:val="22"/>
          <w:szCs w:val="22"/>
          <w:lang w:val="en-GB"/>
        </w:rPr>
      </w:pPr>
      <w:r w:rsidRPr="000D67C6">
        <w:rPr>
          <w:rFonts w:ascii="Arial" w:eastAsia="Times New Roman" w:hAnsi="Arial" w:cs="Arial"/>
          <w:sz w:val="22"/>
          <w:szCs w:val="22"/>
          <w:lang w:val="en-GB"/>
        </w:rPr>
        <w:t>S151 Officer</w:t>
      </w:r>
    </w:p>
    <w:p w14:paraId="5B79F2FE" w14:textId="77777777" w:rsidR="00BE7BEA" w:rsidRPr="000D67C6" w:rsidRDefault="00BE7BEA">
      <w:pPr>
        <w:rPr>
          <w:rFonts w:ascii="Arial" w:eastAsia="Times New Roman" w:hAnsi="Arial" w:cs="Arial"/>
          <w:b/>
          <w:sz w:val="22"/>
          <w:szCs w:val="22"/>
          <w:lang w:val="en-GB"/>
        </w:rPr>
      </w:pPr>
      <w:r w:rsidRPr="000D67C6">
        <w:rPr>
          <w:rFonts w:ascii="Arial" w:eastAsia="Times New Roman" w:hAnsi="Arial" w:cs="Arial"/>
          <w:b/>
          <w:sz w:val="22"/>
          <w:szCs w:val="22"/>
          <w:lang w:val="en-GB"/>
        </w:rPr>
        <w:br w:type="page"/>
      </w:r>
    </w:p>
    <w:p w14:paraId="706BE784" w14:textId="77777777" w:rsidR="008F013B" w:rsidRPr="000D67C6" w:rsidRDefault="008F013B" w:rsidP="00033B69">
      <w:pPr>
        <w:rPr>
          <w:rFonts w:ascii="Arial" w:eastAsia="Times New Roman" w:hAnsi="Arial" w:cs="Arial"/>
          <w:b/>
          <w:sz w:val="22"/>
          <w:szCs w:val="22"/>
          <w:lang w:val="en-GB"/>
        </w:rPr>
      </w:pPr>
      <w:r w:rsidRPr="000D67C6">
        <w:rPr>
          <w:rFonts w:ascii="Arial" w:eastAsia="Times New Roman" w:hAnsi="Arial" w:cs="Arial"/>
          <w:b/>
          <w:sz w:val="22"/>
          <w:szCs w:val="22"/>
          <w:lang w:val="en-GB"/>
        </w:rPr>
        <w:t>STATEMENT OF RESPONSIBILITIES</w:t>
      </w:r>
    </w:p>
    <w:p w14:paraId="769DACB5" w14:textId="77777777" w:rsidR="008F013B" w:rsidRPr="000D67C6" w:rsidRDefault="008F013B" w:rsidP="008F013B">
      <w:pPr>
        <w:pStyle w:val="Normal0"/>
        <w:jc w:val="both"/>
        <w:rPr>
          <w:rFonts w:ascii="Arial" w:eastAsia="Times New Roman" w:hAnsi="Arial" w:cs="Arial"/>
          <w:sz w:val="22"/>
          <w:szCs w:val="22"/>
          <w:lang w:val="en-GB"/>
        </w:rPr>
      </w:pPr>
    </w:p>
    <w:p w14:paraId="19F7A267" w14:textId="77777777" w:rsidR="008F013B" w:rsidRPr="000D67C6" w:rsidRDefault="008F013B" w:rsidP="008F013B">
      <w:pPr>
        <w:pStyle w:val="Normal0"/>
        <w:jc w:val="both"/>
        <w:rPr>
          <w:rFonts w:ascii="Arial" w:eastAsia="Times New Roman" w:hAnsi="Arial" w:cs="Arial"/>
          <w:b/>
          <w:sz w:val="22"/>
          <w:szCs w:val="22"/>
          <w:lang w:val="en-GB"/>
        </w:rPr>
      </w:pPr>
      <w:r w:rsidRPr="000D67C6">
        <w:rPr>
          <w:rFonts w:ascii="Arial" w:eastAsia="Times New Roman" w:hAnsi="Arial" w:cs="Arial"/>
          <w:b/>
          <w:sz w:val="22"/>
          <w:szCs w:val="22"/>
          <w:lang w:val="en-GB"/>
        </w:rPr>
        <w:t>The Authority’s Responsibilities</w:t>
      </w:r>
    </w:p>
    <w:p w14:paraId="4C1E0CA1" w14:textId="77777777" w:rsidR="008F013B" w:rsidRPr="000D67C6" w:rsidRDefault="008F013B" w:rsidP="008F013B">
      <w:pPr>
        <w:pStyle w:val="Normal0"/>
        <w:jc w:val="both"/>
        <w:rPr>
          <w:rFonts w:ascii="Arial" w:eastAsia="Times New Roman" w:hAnsi="Arial" w:cs="Arial"/>
          <w:b/>
          <w:sz w:val="22"/>
          <w:szCs w:val="22"/>
          <w:lang w:val="en-GB"/>
        </w:rPr>
      </w:pPr>
    </w:p>
    <w:p w14:paraId="37D753B5"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The Authority is required:</w:t>
      </w:r>
    </w:p>
    <w:p w14:paraId="5AB30AB6" w14:textId="77777777" w:rsidR="008F013B" w:rsidRPr="000D67C6" w:rsidRDefault="008F013B" w:rsidP="008F013B">
      <w:pPr>
        <w:pStyle w:val="Normal0"/>
        <w:jc w:val="both"/>
        <w:rPr>
          <w:rFonts w:ascii="Arial" w:eastAsia="Times New Roman" w:hAnsi="Arial" w:cs="Arial"/>
          <w:sz w:val="22"/>
          <w:szCs w:val="22"/>
          <w:lang w:val="en-GB"/>
        </w:rPr>
      </w:pPr>
    </w:p>
    <w:p w14:paraId="21AEDEA8" w14:textId="77777777" w:rsidR="008F013B" w:rsidRPr="000D67C6" w:rsidRDefault="008F013B" w:rsidP="001704E6">
      <w:pPr>
        <w:pStyle w:val="Normal0"/>
        <w:numPr>
          <w:ilvl w:val="0"/>
          <w:numId w:val="1"/>
        </w:numPr>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to make arrangements for the proper administration of its financial affairs and to secure that one of its officers has the responsibility for the administration of those affairs.  In this Authority, that officer is the </w:t>
      </w:r>
      <w:r w:rsidR="00B8572C" w:rsidRPr="000D67C6">
        <w:rPr>
          <w:rFonts w:ascii="Arial" w:eastAsia="Times New Roman" w:hAnsi="Arial" w:cs="Arial"/>
          <w:sz w:val="22"/>
          <w:szCs w:val="22"/>
          <w:lang w:val="en-GB"/>
        </w:rPr>
        <w:t>Chief Financial Officer</w:t>
      </w:r>
      <w:r w:rsidRPr="000D67C6">
        <w:rPr>
          <w:rFonts w:ascii="Arial" w:eastAsia="Times New Roman" w:hAnsi="Arial" w:cs="Arial"/>
          <w:sz w:val="22"/>
          <w:szCs w:val="22"/>
          <w:lang w:val="en-GB"/>
        </w:rPr>
        <w:t>,</w:t>
      </w:r>
    </w:p>
    <w:p w14:paraId="4CA09425" w14:textId="77777777" w:rsidR="008F013B" w:rsidRPr="000D67C6" w:rsidRDefault="008F013B" w:rsidP="001704E6">
      <w:pPr>
        <w:pStyle w:val="Normal0"/>
        <w:numPr>
          <w:ilvl w:val="0"/>
          <w:numId w:val="1"/>
        </w:numPr>
        <w:jc w:val="both"/>
        <w:rPr>
          <w:rFonts w:ascii="Arial" w:eastAsia="Times New Roman" w:hAnsi="Arial" w:cs="Arial"/>
          <w:sz w:val="22"/>
          <w:szCs w:val="22"/>
          <w:lang w:val="en-GB"/>
        </w:rPr>
      </w:pPr>
      <w:r w:rsidRPr="000D67C6">
        <w:rPr>
          <w:rFonts w:ascii="Arial" w:eastAsia="Times New Roman" w:hAnsi="Arial" w:cs="Arial"/>
          <w:sz w:val="22"/>
          <w:szCs w:val="22"/>
          <w:lang w:val="en-GB"/>
        </w:rPr>
        <w:t>to manage its affairs to secure economic, efficient and effective use of resources and safeguard its assets.</w:t>
      </w:r>
    </w:p>
    <w:p w14:paraId="4760235C" w14:textId="77777777" w:rsidR="008F013B" w:rsidRPr="000D67C6" w:rsidRDefault="008F013B" w:rsidP="001704E6">
      <w:pPr>
        <w:pStyle w:val="Normal0"/>
        <w:numPr>
          <w:ilvl w:val="0"/>
          <w:numId w:val="1"/>
        </w:numPr>
        <w:jc w:val="both"/>
        <w:rPr>
          <w:rFonts w:ascii="Arial" w:eastAsia="Times New Roman" w:hAnsi="Arial" w:cs="Arial"/>
          <w:sz w:val="22"/>
          <w:szCs w:val="22"/>
          <w:lang w:val="en-GB"/>
        </w:rPr>
      </w:pPr>
      <w:r w:rsidRPr="000D67C6">
        <w:rPr>
          <w:rFonts w:ascii="Arial" w:eastAsia="Times New Roman" w:hAnsi="Arial" w:cs="Arial"/>
          <w:sz w:val="22"/>
          <w:szCs w:val="22"/>
          <w:lang w:val="en-GB"/>
        </w:rPr>
        <w:t>to approve the Statement of Accounts.</w:t>
      </w:r>
    </w:p>
    <w:p w14:paraId="4E396B0B" w14:textId="77777777" w:rsidR="008F013B" w:rsidRPr="000D67C6" w:rsidRDefault="008F013B" w:rsidP="008F013B">
      <w:pPr>
        <w:pStyle w:val="Normal0"/>
        <w:jc w:val="both"/>
        <w:rPr>
          <w:rFonts w:ascii="Arial" w:eastAsia="Times New Roman" w:hAnsi="Arial" w:cs="Arial"/>
          <w:sz w:val="22"/>
          <w:szCs w:val="22"/>
          <w:lang w:val="en-GB"/>
        </w:rPr>
      </w:pPr>
    </w:p>
    <w:p w14:paraId="0BCC710C" w14:textId="77777777" w:rsidR="008F013B" w:rsidRPr="000D67C6" w:rsidRDefault="008F013B" w:rsidP="008F013B">
      <w:pPr>
        <w:pStyle w:val="Normal0"/>
        <w:jc w:val="both"/>
        <w:rPr>
          <w:rFonts w:ascii="Arial" w:eastAsia="Times New Roman" w:hAnsi="Arial" w:cs="Arial"/>
          <w:b/>
          <w:sz w:val="22"/>
          <w:szCs w:val="22"/>
          <w:lang w:val="en-GB"/>
        </w:rPr>
      </w:pPr>
      <w:r w:rsidRPr="000D67C6">
        <w:rPr>
          <w:rFonts w:ascii="Arial" w:eastAsia="Times New Roman" w:hAnsi="Arial" w:cs="Arial"/>
          <w:b/>
          <w:sz w:val="22"/>
          <w:szCs w:val="22"/>
          <w:lang w:val="en-GB"/>
        </w:rPr>
        <w:t xml:space="preserve">The </w:t>
      </w:r>
      <w:r w:rsidR="00B8572C" w:rsidRPr="000D67C6">
        <w:rPr>
          <w:rFonts w:ascii="Arial" w:eastAsia="Times New Roman" w:hAnsi="Arial" w:cs="Arial"/>
          <w:b/>
          <w:sz w:val="22"/>
          <w:szCs w:val="22"/>
          <w:lang w:val="en-GB"/>
        </w:rPr>
        <w:t>Chief Financial Officer</w:t>
      </w:r>
      <w:r w:rsidRPr="000D67C6">
        <w:rPr>
          <w:rFonts w:ascii="Arial" w:eastAsia="Times New Roman" w:hAnsi="Arial" w:cs="Arial"/>
          <w:b/>
          <w:sz w:val="22"/>
          <w:szCs w:val="22"/>
          <w:lang w:val="en-GB"/>
        </w:rPr>
        <w:t>’s Responsibilities</w:t>
      </w:r>
    </w:p>
    <w:p w14:paraId="3D1989FD" w14:textId="77777777" w:rsidR="008F013B" w:rsidRPr="000D67C6" w:rsidRDefault="008F013B" w:rsidP="008F013B">
      <w:pPr>
        <w:pStyle w:val="Normal0"/>
        <w:jc w:val="both"/>
        <w:rPr>
          <w:rFonts w:ascii="Arial" w:eastAsia="Times New Roman" w:hAnsi="Arial" w:cs="Arial"/>
          <w:b/>
          <w:sz w:val="22"/>
          <w:szCs w:val="22"/>
          <w:lang w:val="en-GB"/>
        </w:rPr>
      </w:pPr>
    </w:p>
    <w:p w14:paraId="17CF8455"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w:t>
      </w:r>
      <w:r w:rsidR="00B8572C" w:rsidRPr="000D67C6">
        <w:rPr>
          <w:rFonts w:ascii="Arial" w:eastAsia="Times New Roman" w:hAnsi="Arial" w:cs="Arial"/>
          <w:sz w:val="22"/>
          <w:szCs w:val="22"/>
          <w:lang w:val="en-GB"/>
        </w:rPr>
        <w:t>Chief Financial Officer</w:t>
      </w:r>
      <w:r w:rsidRPr="000D67C6">
        <w:rPr>
          <w:rFonts w:ascii="Arial" w:eastAsia="Times New Roman" w:hAnsi="Arial" w:cs="Arial"/>
          <w:sz w:val="22"/>
          <w:szCs w:val="22"/>
          <w:lang w:val="en-GB"/>
        </w:rPr>
        <w:t xml:space="preserve"> is responsible for the preparation of the Authority’s Statement of Accounts, including the Pension Fund Accounts in accordance with proper practices as set out in the CIPFA/LASAAC Code of Practice on Local Authority Accounting in the United Kingdom (“the Code”).</w:t>
      </w:r>
    </w:p>
    <w:p w14:paraId="0F14670E" w14:textId="77777777" w:rsidR="008F013B" w:rsidRPr="000D67C6" w:rsidRDefault="008F013B" w:rsidP="008F013B">
      <w:pPr>
        <w:pStyle w:val="Normal0"/>
        <w:jc w:val="both"/>
        <w:rPr>
          <w:rFonts w:ascii="Arial" w:eastAsia="Times New Roman" w:hAnsi="Arial" w:cs="Arial"/>
          <w:sz w:val="22"/>
          <w:szCs w:val="22"/>
          <w:lang w:val="en-GB"/>
        </w:rPr>
      </w:pPr>
    </w:p>
    <w:p w14:paraId="1CC24414"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In preparing this statement of accounts, the </w:t>
      </w:r>
      <w:r w:rsidR="00B8572C" w:rsidRPr="000D67C6">
        <w:rPr>
          <w:rFonts w:ascii="Arial" w:eastAsia="Times New Roman" w:hAnsi="Arial" w:cs="Arial"/>
          <w:sz w:val="22"/>
          <w:szCs w:val="22"/>
          <w:lang w:val="en-GB"/>
        </w:rPr>
        <w:t>Chief Financial Officer</w:t>
      </w:r>
      <w:r w:rsidRPr="000D67C6">
        <w:rPr>
          <w:rFonts w:ascii="Arial" w:eastAsia="Times New Roman" w:hAnsi="Arial" w:cs="Arial"/>
          <w:sz w:val="22"/>
          <w:szCs w:val="22"/>
          <w:lang w:val="en-GB"/>
        </w:rPr>
        <w:t xml:space="preserve"> has:</w:t>
      </w:r>
    </w:p>
    <w:p w14:paraId="63BA6B63" w14:textId="77777777" w:rsidR="008F013B" w:rsidRPr="000D67C6" w:rsidRDefault="008F013B" w:rsidP="008F013B">
      <w:pPr>
        <w:pStyle w:val="Normal0"/>
        <w:jc w:val="both"/>
        <w:rPr>
          <w:rFonts w:ascii="Arial" w:eastAsia="Times New Roman" w:hAnsi="Arial" w:cs="Arial"/>
          <w:sz w:val="22"/>
          <w:szCs w:val="22"/>
          <w:lang w:val="en-GB"/>
        </w:rPr>
      </w:pPr>
    </w:p>
    <w:p w14:paraId="01B690AE" w14:textId="77777777" w:rsidR="008F013B" w:rsidRPr="000D67C6" w:rsidRDefault="008F013B" w:rsidP="001704E6">
      <w:pPr>
        <w:pStyle w:val="Normal0"/>
        <w:numPr>
          <w:ilvl w:val="0"/>
          <w:numId w:val="2"/>
        </w:numPr>
        <w:jc w:val="both"/>
        <w:rPr>
          <w:rFonts w:ascii="Arial" w:eastAsia="Times New Roman" w:hAnsi="Arial" w:cs="Arial"/>
          <w:sz w:val="22"/>
          <w:szCs w:val="22"/>
          <w:lang w:val="en-GB"/>
        </w:rPr>
      </w:pPr>
      <w:r w:rsidRPr="000D67C6">
        <w:rPr>
          <w:rFonts w:ascii="Arial" w:eastAsia="Times New Roman" w:hAnsi="Arial" w:cs="Arial"/>
          <w:sz w:val="22"/>
          <w:szCs w:val="22"/>
          <w:lang w:val="en-GB"/>
        </w:rPr>
        <w:t>selected suitable accounting policies and then applied them consistently;</w:t>
      </w:r>
    </w:p>
    <w:p w14:paraId="53D92346" w14:textId="77777777" w:rsidR="008F013B" w:rsidRPr="000D67C6" w:rsidRDefault="008F013B" w:rsidP="001704E6">
      <w:pPr>
        <w:pStyle w:val="Normal0"/>
        <w:numPr>
          <w:ilvl w:val="0"/>
          <w:numId w:val="2"/>
        </w:numPr>
        <w:jc w:val="both"/>
        <w:rPr>
          <w:rFonts w:ascii="Arial" w:eastAsia="Times New Roman" w:hAnsi="Arial" w:cs="Arial"/>
          <w:sz w:val="22"/>
          <w:szCs w:val="22"/>
          <w:lang w:val="en-GB"/>
        </w:rPr>
      </w:pPr>
      <w:r w:rsidRPr="000D67C6">
        <w:rPr>
          <w:rFonts w:ascii="Arial" w:eastAsia="Times New Roman" w:hAnsi="Arial" w:cs="Arial"/>
          <w:sz w:val="22"/>
          <w:szCs w:val="22"/>
          <w:lang w:val="en-GB"/>
        </w:rPr>
        <w:t>made judgements and estimates that were reasonable and prudent;</w:t>
      </w:r>
    </w:p>
    <w:p w14:paraId="4C2B19E2" w14:textId="77777777" w:rsidR="008F013B" w:rsidRPr="000D67C6" w:rsidRDefault="008F013B" w:rsidP="001704E6">
      <w:pPr>
        <w:pStyle w:val="Normal0"/>
        <w:numPr>
          <w:ilvl w:val="0"/>
          <w:numId w:val="2"/>
        </w:numPr>
        <w:jc w:val="both"/>
        <w:rPr>
          <w:rFonts w:ascii="Arial" w:eastAsia="Times New Roman" w:hAnsi="Arial" w:cs="Arial"/>
          <w:sz w:val="22"/>
          <w:szCs w:val="22"/>
          <w:lang w:val="en-GB"/>
        </w:rPr>
      </w:pPr>
      <w:r w:rsidRPr="000D67C6">
        <w:rPr>
          <w:rFonts w:ascii="Arial" w:eastAsia="Times New Roman" w:hAnsi="Arial" w:cs="Arial"/>
          <w:sz w:val="22"/>
          <w:szCs w:val="22"/>
          <w:lang w:val="en-GB"/>
        </w:rPr>
        <w:t>complied with the Local Authority Code.</w:t>
      </w:r>
    </w:p>
    <w:p w14:paraId="2C8CE1B2" w14:textId="77777777" w:rsidR="008F013B" w:rsidRPr="000D67C6" w:rsidRDefault="008F013B" w:rsidP="008F013B">
      <w:pPr>
        <w:pStyle w:val="Normal0"/>
        <w:ind w:left="360"/>
        <w:jc w:val="both"/>
        <w:rPr>
          <w:rFonts w:ascii="Arial" w:eastAsia="Times New Roman" w:hAnsi="Arial" w:cs="Arial"/>
          <w:sz w:val="22"/>
          <w:szCs w:val="22"/>
          <w:lang w:val="en-GB"/>
        </w:rPr>
      </w:pPr>
    </w:p>
    <w:p w14:paraId="33BB4767"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w:t>
      </w:r>
      <w:r w:rsidR="00B8572C" w:rsidRPr="000D67C6">
        <w:rPr>
          <w:rFonts w:ascii="Arial" w:eastAsia="Times New Roman" w:hAnsi="Arial" w:cs="Arial"/>
          <w:sz w:val="22"/>
          <w:szCs w:val="22"/>
          <w:lang w:val="en-GB"/>
        </w:rPr>
        <w:t>Chief Financial Officer</w:t>
      </w:r>
      <w:r w:rsidRPr="000D67C6">
        <w:rPr>
          <w:rFonts w:ascii="Arial" w:eastAsia="Times New Roman" w:hAnsi="Arial" w:cs="Arial"/>
          <w:sz w:val="22"/>
          <w:szCs w:val="22"/>
          <w:lang w:val="en-GB"/>
        </w:rPr>
        <w:t xml:space="preserve"> has also:</w:t>
      </w:r>
    </w:p>
    <w:p w14:paraId="32AEF6D0" w14:textId="77777777" w:rsidR="008F013B" w:rsidRPr="000D67C6" w:rsidRDefault="008F013B" w:rsidP="008F013B">
      <w:pPr>
        <w:pStyle w:val="Normal0"/>
        <w:jc w:val="both"/>
        <w:rPr>
          <w:rFonts w:ascii="Arial" w:eastAsia="Times New Roman" w:hAnsi="Arial" w:cs="Arial"/>
          <w:sz w:val="22"/>
          <w:szCs w:val="22"/>
          <w:lang w:val="en-GB"/>
        </w:rPr>
      </w:pPr>
    </w:p>
    <w:p w14:paraId="7D3F4C78" w14:textId="77777777" w:rsidR="008F013B" w:rsidRPr="000D67C6" w:rsidRDefault="008F013B" w:rsidP="001704E6">
      <w:pPr>
        <w:pStyle w:val="Normal0"/>
        <w:numPr>
          <w:ilvl w:val="0"/>
          <w:numId w:val="3"/>
        </w:numPr>
        <w:jc w:val="both"/>
        <w:rPr>
          <w:rFonts w:ascii="Arial" w:eastAsia="Times New Roman" w:hAnsi="Arial" w:cs="Arial"/>
          <w:sz w:val="22"/>
          <w:szCs w:val="22"/>
          <w:lang w:val="en-GB"/>
        </w:rPr>
      </w:pPr>
      <w:r w:rsidRPr="000D67C6">
        <w:rPr>
          <w:rFonts w:ascii="Arial" w:eastAsia="Times New Roman" w:hAnsi="Arial" w:cs="Arial"/>
          <w:sz w:val="22"/>
          <w:szCs w:val="22"/>
          <w:lang w:val="en-GB"/>
        </w:rPr>
        <w:t>kept proper accounting records, which were up to date;</w:t>
      </w:r>
    </w:p>
    <w:p w14:paraId="00659FAB" w14:textId="77777777" w:rsidR="008F013B" w:rsidRPr="000D67C6" w:rsidRDefault="008F013B" w:rsidP="001704E6">
      <w:pPr>
        <w:pStyle w:val="Normal0"/>
        <w:numPr>
          <w:ilvl w:val="0"/>
          <w:numId w:val="3"/>
        </w:numPr>
        <w:jc w:val="both"/>
        <w:rPr>
          <w:rFonts w:ascii="Arial" w:eastAsia="Times New Roman" w:hAnsi="Arial" w:cs="Arial"/>
          <w:sz w:val="22"/>
          <w:szCs w:val="22"/>
          <w:lang w:val="en-GB"/>
        </w:rPr>
      </w:pPr>
      <w:r w:rsidRPr="000D67C6">
        <w:rPr>
          <w:rFonts w:ascii="Arial" w:eastAsia="Times New Roman" w:hAnsi="Arial" w:cs="Arial"/>
          <w:sz w:val="22"/>
          <w:szCs w:val="22"/>
          <w:lang w:val="en-GB"/>
        </w:rPr>
        <w:t>taken reasonable steps for the prevention and detection of fraud and other irregularities.</w:t>
      </w:r>
    </w:p>
    <w:p w14:paraId="55AB1133" w14:textId="77777777" w:rsidR="008B75FC" w:rsidRPr="000D67C6" w:rsidRDefault="008B75FC" w:rsidP="008B75FC">
      <w:pPr>
        <w:pStyle w:val="Normal0"/>
        <w:jc w:val="both"/>
        <w:rPr>
          <w:rFonts w:ascii="Arial" w:eastAsia="Times New Roman" w:hAnsi="Arial" w:cs="Arial"/>
          <w:sz w:val="22"/>
          <w:szCs w:val="22"/>
          <w:lang w:val="en-GB"/>
        </w:rPr>
      </w:pPr>
    </w:p>
    <w:p w14:paraId="1EBFC692" w14:textId="77777777" w:rsidR="008F013B" w:rsidRPr="000D67C6" w:rsidRDefault="008F013B" w:rsidP="008F013B">
      <w:pPr>
        <w:pStyle w:val="Normal0"/>
        <w:jc w:val="both"/>
        <w:rPr>
          <w:rFonts w:ascii="Arial" w:eastAsia="Times New Roman" w:hAnsi="Arial" w:cs="Arial"/>
          <w:sz w:val="22"/>
          <w:szCs w:val="22"/>
          <w:lang w:val="en-GB"/>
        </w:rPr>
      </w:pPr>
    </w:p>
    <w:tbl>
      <w:tblP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464E99" w:rsidRPr="000D67C6" w14:paraId="61F44D92" w14:textId="77777777" w:rsidTr="00D918C7">
        <w:tc>
          <w:tcPr>
            <w:tcW w:w="9209" w:type="dxa"/>
          </w:tcPr>
          <w:p w14:paraId="3E318643" w14:textId="77777777" w:rsidR="008F013B" w:rsidRPr="000D67C6" w:rsidRDefault="008F013B" w:rsidP="008F013B">
            <w:pPr>
              <w:pStyle w:val="Normal0"/>
              <w:jc w:val="both"/>
              <w:rPr>
                <w:rFonts w:ascii="Arial" w:eastAsia="Times New Roman" w:hAnsi="Arial" w:cs="Arial"/>
                <w:sz w:val="22"/>
                <w:szCs w:val="22"/>
                <w:lang w:val="en-GB"/>
              </w:rPr>
            </w:pPr>
          </w:p>
          <w:p w14:paraId="0CF88D2A" w14:textId="77777777" w:rsidR="008F013B" w:rsidRPr="000D67C6" w:rsidRDefault="008F013B" w:rsidP="008F013B">
            <w:pPr>
              <w:pStyle w:val="Normal0"/>
              <w:jc w:val="center"/>
              <w:rPr>
                <w:rFonts w:ascii="Arial" w:eastAsia="Times New Roman" w:hAnsi="Arial" w:cs="Arial"/>
                <w:b/>
                <w:sz w:val="22"/>
                <w:szCs w:val="22"/>
                <w:lang w:val="en-GB"/>
              </w:rPr>
            </w:pPr>
            <w:r w:rsidRPr="000D67C6">
              <w:rPr>
                <w:rFonts w:ascii="Arial" w:eastAsia="Times New Roman" w:hAnsi="Arial" w:cs="Arial"/>
                <w:b/>
                <w:sz w:val="22"/>
                <w:szCs w:val="22"/>
                <w:lang w:val="en-GB"/>
              </w:rPr>
              <w:t xml:space="preserve">CERTIFICATE OF THE </w:t>
            </w:r>
            <w:r w:rsidR="00B8572C" w:rsidRPr="000D67C6">
              <w:rPr>
                <w:rFonts w:ascii="Arial" w:eastAsia="Times New Roman" w:hAnsi="Arial" w:cs="Arial"/>
                <w:b/>
                <w:sz w:val="22"/>
                <w:szCs w:val="22"/>
                <w:lang w:val="en-GB"/>
              </w:rPr>
              <w:t xml:space="preserve">CHIEF FINANCIAL OFFICER </w:t>
            </w:r>
          </w:p>
          <w:p w14:paraId="364C290C" w14:textId="77777777" w:rsidR="008F013B" w:rsidRPr="000D67C6" w:rsidRDefault="008F013B" w:rsidP="008F013B">
            <w:pPr>
              <w:pStyle w:val="Normal0"/>
              <w:jc w:val="center"/>
              <w:rPr>
                <w:rFonts w:ascii="Arial" w:eastAsia="Times New Roman" w:hAnsi="Arial" w:cs="Arial"/>
                <w:sz w:val="22"/>
                <w:szCs w:val="22"/>
                <w:lang w:val="en-GB"/>
              </w:rPr>
            </w:pPr>
          </w:p>
          <w:p w14:paraId="22CF9252" w14:textId="77777777" w:rsidR="008F013B" w:rsidRPr="000D67C6" w:rsidRDefault="008F013B" w:rsidP="008F013B">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I certify that the accounts provide a true and fair view of the financial position of the A</w:t>
            </w:r>
            <w:r w:rsidR="009E578B" w:rsidRPr="000D67C6">
              <w:rPr>
                <w:rFonts w:ascii="Arial" w:eastAsia="Times New Roman" w:hAnsi="Arial" w:cs="Arial"/>
                <w:sz w:val="22"/>
                <w:szCs w:val="22"/>
                <w:lang w:val="en-GB"/>
              </w:rPr>
              <w:t>uthority as at the 31 March 201</w:t>
            </w:r>
            <w:r w:rsidR="00C002D2" w:rsidRPr="000D67C6">
              <w:rPr>
                <w:rFonts w:ascii="Arial" w:eastAsia="Times New Roman" w:hAnsi="Arial" w:cs="Arial"/>
                <w:sz w:val="22"/>
                <w:szCs w:val="22"/>
                <w:lang w:val="en-GB"/>
              </w:rPr>
              <w:t>9</w:t>
            </w:r>
            <w:r w:rsidRPr="000D67C6">
              <w:rPr>
                <w:rFonts w:ascii="Arial" w:eastAsia="Times New Roman" w:hAnsi="Arial" w:cs="Arial"/>
                <w:sz w:val="22"/>
                <w:szCs w:val="22"/>
                <w:lang w:val="en-GB"/>
              </w:rPr>
              <w:t xml:space="preserve"> and its income and expenditure for the year then ended.</w:t>
            </w:r>
          </w:p>
          <w:p w14:paraId="102D08EB" w14:textId="77777777" w:rsidR="008F013B" w:rsidRPr="000D67C6" w:rsidRDefault="008F013B" w:rsidP="008F013B">
            <w:pPr>
              <w:pStyle w:val="Normal0"/>
              <w:rPr>
                <w:rFonts w:ascii="Arial" w:eastAsia="Times New Roman" w:hAnsi="Arial" w:cs="Arial"/>
                <w:sz w:val="22"/>
                <w:szCs w:val="22"/>
                <w:lang w:val="en-GB"/>
              </w:rPr>
            </w:pPr>
          </w:p>
          <w:p w14:paraId="2ABBCA88" w14:textId="77777777" w:rsidR="00640317" w:rsidRPr="000D67C6" w:rsidRDefault="00640317" w:rsidP="008F013B">
            <w:pPr>
              <w:pStyle w:val="Normal0"/>
              <w:rPr>
                <w:rFonts w:ascii="Arial" w:eastAsia="Times New Roman" w:hAnsi="Arial" w:cs="Arial"/>
                <w:sz w:val="22"/>
                <w:szCs w:val="22"/>
                <w:lang w:val="en-GB"/>
              </w:rPr>
            </w:pPr>
          </w:p>
          <w:p w14:paraId="01558EDD" w14:textId="6ACA87FB" w:rsidR="008F013B" w:rsidRPr="000D67C6" w:rsidRDefault="0070129A" w:rsidP="008F013B">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Signature:  </w:t>
            </w:r>
            <w:r w:rsidR="00241AFD">
              <w:rPr>
                <w:rFonts w:ascii="Arial" w:eastAsia="Times New Roman" w:hAnsi="Arial" w:cs="Arial"/>
                <w:sz w:val="22"/>
                <w:szCs w:val="22"/>
                <w:lang w:val="en-GB"/>
              </w:rPr>
              <w:t xml:space="preserve">Chris Moore, </w:t>
            </w:r>
            <w:r w:rsidR="00D918C7" w:rsidRPr="000D67C6">
              <w:rPr>
                <w:rFonts w:ascii="Arial" w:eastAsia="Times New Roman" w:hAnsi="Arial" w:cs="Arial"/>
                <w:sz w:val="22"/>
                <w:szCs w:val="22"/>
                <w:lang w:val="en-GB"/>
              </w:rPr>
              <w:t>Chief Financial Officer</w:t>
            </w:r>
          </w:p>
          <w:p w14:paraId="4A566464" w14:textId="77777777" w:rsidR="008F013B" w:rsidRPr="000D67C6" w:rsidRDefault="008F013B" w:rsidP="008F013B">
            <w:pPr>
              <w:pStyle w:val="Normal0"/>
              <w:rPr>
                <w:rFonts w:ascii="Arial" w:eastAsia="Times New Roman" w:hAnsi="Arial" w:cs="Arial"/>
                <w:sz w:val="22"/>
                <w:szCs w:val="22"/>
                <w:lang w:val="en-GB"/>
              </w:rPr>
            </w:pPr>
          </w:p>
          <w:p w14:paraId="6F561B54" w14:textId="7E69B6D7" w:rsidR="008F013B" w:rsidRPr="000D67C6" w:rsidRDefault="008F013B" w:rsidP="008F013B">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Dated: </w:t>
            </w:r>
            <w:r w:rsidR="0070129A" w:rsidRPr="000D67C6">
              <w:rPr>
                <w:rFonts w:ascii="Arial" w:eastAsia="Times New Roman" w:hAnsi="Arial" w:cs="Arial"/>
                <w:sz w:val="22"/>
                <w:szCs w:val="22"/>
                <w:lang w:val="en-GB"/>
              </w:rPr>
              <w:t xml:space="preserve">       </w:t>
            </w:r>
            <w:r w:rsidR="00241AFD">
              <w:rPr>
                <w:rFonts w:ascii="Arial" w:eastAsia="Times New Roman" w:hAnsi="Arial" w:cs="Arial"/>
                <w:sz w:val="22"/>
                <w:szCs w:val="22"/>
                <w:lang w:val="en-GB"/>
              </w:rPr>
              <w:t>29</w:t>
            </w:r>
            <w:r w:rsidR="00241AFD" w:rsidRPr="00241AFD">
              <w:rPr>
                <w:rFonts w:ascii="Arial" w:eastAsia="Times New Roman" w:hAnsi="Arial" w:cs="Arial"/>
                <w:sz w:val="22"/>
                <w:szCs w:val="22"/>
                <w:vertAlign w:val="superscript"/>
                <w:lang w:val="en-GB"/>
              </w:rPr>
              <w:t>th</w:t>
            </w:r>
            <w:r w:rsidR="00241AFD">
              <w:rPr>
                <w:rFonts w:ascii="Arial" w:eastAsia="Times New Roman" w:hAnsi="Arial" w:cs="Arial"/>
                <w:sz w:val="22"/>
                <w:szCs w:val="22"/>
                <w:lang w:val="en-GB"/>
              </w:rPr>
              <w:t xml:space="preserve"> July 2019</w:t>
            </w:r>
          </w:p>
          <w:p w14:paraId="55636A5D" w14:textId="77777777" w:rsidR="008F013B" w:rsidRPr="000D67C6" w:rsidRDefault="008F013B" w:rsidP="00D918C7">
            <w:pPr>
              <w:pStyle w:val="Normal0"/>
              <w:rPr>
                <w:rFonts w:ascii="Arial" w:eastAsia="Times New Roman" w:hAnsi="Arial" w:cs="Arial"/>
                <w:sz w:val="22"/>
                <w:szCs w:val="22"/>
                <w:lang w:val="en-GB"/>
              </w:rPr>
            </w:pPr>
          </w:p>
        </w:tc>
      </w:tr>
    </w:tbl>
    <w:p w14:paraId="7450C76E" w14:textId="77777777" w:rsidR="008F013B" w:rsidRPr="000D67C6" w:rsidRDefault="008F013B">
      <w:pPr>
        <w:rPr>
          <w:rFonts w:ascii="Arial" w:hAnsi="Arial" w:cs="Arial"/>
          <w:sz w:val="22"/>
          <w:szCs w:val="22"/>
          <w:lang w:val="en-AU"/>
        </w:rPr>
      </w:pPr>
    </w:p>
    <w:p w14:paraId="59FFCEA8" w14:textId="77777777" w:rsidR="008B75FC" w:rsidRPr="000D67C6" w:rsidRDefault="008B75FC">
      <w:pPr>
        <w:rPr>
          <w:rFonts w:ascii="Arial" w:hAnsi="Arial" w:cs="Arial"/>
          <w:b/>
          <w:sz w:val="22"/>
          <w:szCs w:val="22"/>
          <w:lang w:val="en-AU"/>
        </w:rPr>
      </w:pPr>
      <w:r w:rsidRPr="000D67C6">
        <w:rPr>
          <w:rFonts w:ascii="Arial" w:hAnsi="Arial" w:cs="Arial"/>
          <w:b/>
          <w:sz w:val="22"/>
          <w:szCs w:val="22"/>
          <w:lang w:val="en-AU"/>
        </w:rPr>
        <w:br w:type="page"/>
      </w:r>
    </w:p>
    <w:p w14:paraId="45A7DB12" w14:textId="2C500453" w:rsidR="00BE7BEA" w:rsidRDefault="00BE7BEA" w:rsidP="002541C9">
      <w:pPr>
        <w:pStyle w:val="Heading3"/>
        <w:spacing w:before="0"/>
        <w:rPr>
          <w:rFonts w:ascii="Arial" w:hAnsi="Arial" w:cs="Arial"/>
          <w:b/>
          <w:color w:val="auto"/>
          <w:sz w:val="28"/>
          <w:szCs w:val="28"/>
        </w:rPr>
      </w:pPr>
      <w:r w:rsidRPr="000D67C6">
        <w:rPr>
          <w:rFonts w:ascii="Arial" w:hAnsi="Arial" w:cs="Arial"/>
          <w:b/>
          <w:color w:val="auto"/>
          <w:sz w:val="28"/>
          <w:szCs w:val="28"/>
        </w:rPr>
        <w:t>Audit report of the Auditor General to the Mid and West Wales Fire and Rescue Authority</w:t>
      </w:r>
    </w:p>
    <w:p w14:paraId="14C2A651" w14:textId="77777777" w:rsidR="002541C9" w:rsidRPr="002541C9" w:rsidRDefault="002541C9" w:rsidP="002541C9"/>
    <w:p w14:paraId="538C2BC9" w14:textId="5090617C" w:rsidR="00BE7BEA" w:rsidRDefault="00BE7BEA" w:rsidP="002541C9">
      <w:pPr>
        <w:jc w:val="both"/>
        <w:outlineLvl w:val="4"/>
        <w:rPr>
          <w:rFonts w:ascii="Arial" w:eastAsia="Calibri" w:hAnsi="Arial" w:cs="Arial"/>
          <w:b/>
        </w:rPr>
      </w:pPr>
      <w:r w:rsidRPr="000D67C6">
        <w:rPr>
          <w:rFonts w:ascii="Arial" w:eastAsia="Calibri" w:hAnsi="Arial" w:cs="Arial"/>
          <w:b/>
        </w:rPr>
        <w:t>Report on the audit of financial statements</w:t>
      </w:r>
    </w:p>
    <w:p w14:paraId="4DF8C477" w14:textId="77777777" w:rsidR="002541C9" w:rsidRPr="000D67C6" w:rsidRDefault="002541C9" w:rsidP="002541C9">
      <w:pPr>
        <w:jc w:val="both"/>
        <w:outlineLvl w:val="4"/>
        <w:rPr>
          <w:rFonts w:ascii="Arial" w:eastAsia="Calibri" w:hAnsi="Arial" w:cs="Arial"/>
          <w:b/>
        </w:rPr>
      </w:pPr>
    </w:p>
    <w:p w14:paraId="3288C04B" w14:textId="0A7333D1" w:rsidR="0096321D" w:rsidRDefault="0096321D" w:rsidP="002541C9">
      <w:pPr>
        <w:rPr>
          <w:rFonts w:ascii="Arial" w:hAnsi="Arial" w:cs="Arial"/>
          <w:b/>
        </w:rPr>
      </w:pPr>
      <w:r w:rsidRPr="000D67C6">
        <w:rPr>
          <w:rFonts w:ascii="Arial" w:hAnsi="Arial" w:cs="Arial"/>
          <w:b/>
        </w:rPr>
        <w:t>Opinion</w:t>
      </w:r>
    </w:p>
    <w:p w14:paraId="009789DC" w14:textId="77777777" w:rsidR="002541C9" w:rsidRPr="000D67C6" w:rsidRDefault="002541C9" w:rsidP="002541C9">
      <w:pPr>
        <w:rPr>
          <w:rFonts w:ascii="Arial" w:hAnsi="Arial" w:cs="Arial"/>
          <w:b/>
        </w:rPr>
      </w:pPr>
    </w:p>
    <w:p w14:paraId="4345D0F1" w14:textId="7E2E59F3" w:rsidR="0096321D" w:rsidRDefault="0096321D" w:rsidP="002541C9">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I have audited the financial statements of:</w:t>
      </w:r>
    </w:p>
    <w:p w14:paraId="533DB0F1" w14:textId="77777777" w:rsidR="002541C9" w:rsidRPr="000D67C6" w:rsidRDefault="002541C9" w:rsidP="002541C9">
      <w:pPr>
        <w:pStyle w:val="Normal0"/>
        <w:jc w:val="both"/>
        <w:rPr>
          <w:rFonts w:ascii="Arial" w:eastAsia="Times New Roman" w:hAnsi="Arial" w:cs="Arial"/>
          <w:sz w:val="22"/>
          <w:szCs w:val="22"/>
          <w:lang w:val="en-GB"/>
        </w:rPr>
      </w:pPr>
    </w:p>
    <w:p w14:paraId="686D8344" w14:textId="77777777" w:rsidR="0096321D" w:rsidRPr="000D67C6" w:rsidRDefault="0096321D" w:rsidP="002541C9">
      <w:pPr>
        <w:pStyle w:val="ListParagraph"/>
        <w:numPr>
          <w:ilvl w:val="0"/>
          <w:numId w:val="39"/>
        </w:numPr>
        <w:ind w:left="357" w:hanging="357"/>
        <w:rPr>
          <w:rFonts w:ascii="Arial" w:hAnsi="Arial" w:cs="Arial"/>
          <w:sz w:val="22"/>
          <w:szCs w:val="22"/>
        </w:rPr>
      </w:pPr>
      <w:r w:rsidRPr="000D67C6">
        <w:rPr>
          <w:rFonts w:ascii="Arial" w:hAnsi="Arial" w:cs="Arial"/>
          <w:sz w:val="22"/>
          <w:szCs w:val="22"/>
        </w:rPr>
        <w:t>the Mid and West Wales Fire and Rescue Authority; and</w:t>
      </w:r>
    </w:p>
    <w:p w14:paraId="4C51C01D" w14:textId="00B9FC86" w:rsidR="0096321D" w:rsidRDefault="0096321D" w:rsidP="002541C9">
      <w:pPr>
        <w:pStyle w:val="ListParagraph"/>
        <w:numPr>
          <w:ilvl w:val="0"/>
          <w:numId w:val="39"/>
        </w:numPr>
        <w:ind w:left="357" w:hanging="357"/>
        <w:rPr>
          <w:rFonts w:ascii="Arial" w:hAnsi="Arial" w:cs="Arial"/>
          <w:sz w:val="22"/>
          <w:szCs w:val="22"/>
        </w:rPr>
      </w:pPr>
      <w:r w:rsidRPr="000D67C6">
        <w:rPr>
          <w:rFonts w:ascii="Arial" w:hAnsi="Arial" w:cs="Arial"/>
          <w:sz w:val="22"/>
          <w:szCs w:val="22"/>
        </w:rPr>
        <w:t xml:space="preserve">the Firefighters’ Pension Fund Account. </w:t>
      </w:r>
    </w:p>
    <w:p w14:paraId="7A195487" w14:textId="77777777" w:rsidR="002541C9" w:rsidRPr="000D67C6" w:rsidRDefault="002541C9" w:rsidP="00351957">
      <w:pPr>
        <w:pStyle w:val="ListParagraph"/>
        <w:ind w:left="0"/>
        <w:rPr>
          <w:rFonts w:ascii="Arial" w:hAnsi="Arial" w:cs="Arial"/>
          <w:sz w:val="22"/>
          <w:szCs w:val="22"/>
        </w:rPr>
      </w:pPr>
    </w:p>
    <w:p w14:paraId="7CB8C8CB" w14:textId="77777777" w:rsidR="001869DB" w:rsidRPr="000D67C6" w:rsidRDefault="0096321D" w:rsidP="002541C9">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for the year ended 31 March 2019 under the Public Audit (Wales) Act 2004.</w:t>
      </w:r>
    </w:p>
    <w:p w14:paraId="7743EE66" w14:textId="3D6C3EFA" w:rsidR="0096321D" w:rsidRPr="000D67C6" w:rsidRDefault="0096321D" w:rsidP="002541C9">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 </w:t>
      </w:r>
    </w:p>
    <w:p w14:paraId="041DC568" w14:textId="57FC1AFE" w:rsidR="0096321D" w:rsidRPr="000D67C6" w:rsidRDefault="0096321D" w:rsidP="002541C9">
      <w:pPr>
        <w:jc w:val="both"/>
        <w:rPr>
          <w:rFonts w:ascii="Arial" w:hAnsi="Arial" w:cs="Arial"/>
          <w:sz w:val="22"/>
          <w:szCs w:val="22"/>
        </w:rPr>
      </w:pPr>
      <w:r w:rsidRPr="000D67C6">
        <w:rPr>
          <w:rFonts w:ascii="Arial" w:hAnsi="Arial" w:cs="Arial"/>
          <w:sz w:val="22"/>
          <w:szCs w:val="22"/>
        </w:rPr>
        <w:t>Mid and West Wales Fire and Rescue Authority’s financial statements comprise the Movement in Reserves Statement, the Comprehensive Income and Expenditure Statement, the Balance Sheet, the Cash Flow Statement, and the related notes</w:t>
      </w:r>
      <w:r w:rsidRPr="000D67C6">
        <w:rPr>
          <w:rFonts w:ascii="Arial" w:eastAsia="Times New Roman" w:hAnsi="Arial" w:cs="Arial"/>
          <w:sz w:val="22"/>
          <w:szCs w:val="22"/>
          <w:lang w:eastAsia="en-GB"/>
        </w:rPr>
        <w:t>, including a summary of significant accounting policies</w:t>
      </w:r>
      <w:r w:rsidRPr="000D67C6">
        <w:rPr>
          <w:rFonts w:ascii="Arial" w:hAnsi="Arial" w:cs="Arial"/>
          <w:sz w:val="22"/>
          <w:szCs w:val="22"/>
        </w:rPr>
        <w:t xml:space="preserve">. </w:t>
      </w:r>
    </w:p>
    <w:p w14:paraId="7DA456DD" w14:textId="77777777" w:rsidR="001869DB" w:rsidRPr="000D67C6" w:rsidRDefault="001869DB" w:rsidP="002541C9">
      <w:pPr>
        <w:jc w:val="both"/>
        <w:rPr>
          <w:rFonts w:ascii="Arial" w:hAnsi="Arial" w:cs="Arial"/>
          <w:sz w:val="22"/>
          <w:szCs w:val="22"/>
        </w:rPr>
      </w:pPr>
    </w:p>
    <w:p w14:paraId="052ACE1F" w14:textId="24A55F43" w:rsidR="0096321D" w:rsidRPr="000D67C6" w:rsidRDefault="0096321D" w:rsidP="002541C9">
      <w:pPr>
        <w:jc w:val="both"/>
        <w:rPr>
          <w:rFonts w:ascii="Arial" w:hAnsi="Arial" w:cs="Arial"/>
          <w:sz w:val="22"/>
          <w:szCs w:val="22"/>
        </w:rPr>
      </w:pPr>
      <w:r w:rsidRPr="000D67C6">
        <w:rPr>
          <w:rFonts w:ascii="Arial" w:hAnsi="Arial" w:cs="Arial"/>
          <w:sz w:val="22"/>
          <w:szCs w:val="22"/>
        </w:rPr>
        <w:t>The Firefighters’ Pension Fund accounting statements compromise the Fund Account and the Net Assets Statement.</w:t>
      </w:r>
    </w:p>
    <w:p w14:paraId="7744544B" w14:textId="77777777" w:rsidR="001869DB" w:rsidRPr="000D67C6" w:rsidRDefault="001869DB" w:rsidP="002541C9">
      <w:pPr>
        <w:jc w:val="both"/>
        <w:rPr>
          <w:rFonts w:ascii="Arial" w:hAnsi="Arial" w:cs="Arial"/>
          <w:sz w:val="22"/>
          <w:szCs w:val="22"/>
        </w:rPr>
      </w:pPr>
    </w:p>
    <w:p w14:paraId="56323C99" w14:textId="77777777" w:rsidR="0096321D" w:rsidRPr="000D67C6" w:rsidRDefault="0096321D" w:rsidP="002541C9">
      <w:pPr>
        <w:jc w:val="both"/>
        <w:rPr>
          <w:rFonts w:ascii="Arial" w:hAnsi="Arial" w:cs="Arial"/>
          <w:sz w:val="22"/>
          <w:szCs w:val="22"/>
        </w:rPr>
      </w:pPr>
      <w:r w:rsidRPr="000D67C6">
        <w:rPr>
          <w:rFonts w:ascii="Arial" w:hAnsi="Arial" w:cs="Arial"/>
          <w:sz w:val="22"/>
          <w:szCs w:val="22"/>
        </w:rPr>
        <w:t>The financial reporting framework that has been applied in their preparation is applicable law and the Code of Practice on Local Authority Accounting in the United Kingdom 2018 based on International Financial Reporting Standards (IFRSs).</w:t>
      </w:r>
    </w:p>
    <w:p w14:paraId="0F5E4C61" w14:textId="77777777" w:rsidR="00F34E07" w:rsidRPr="000D67C6" w:rsidRDefault="00F34E07" w:rsidP="002541C9">
      <w:pPr>
        <w:jc w:val="both"/>
        <w:rPr>
          <w:rFonts w:ascii="Arial" w:hAnsi="Arial" w:cs="Arial"/>
          <w:sz w:val="22"/>
          <w:szCs w:val="22"/>
        </w:rPr>
      </w:pPr>
    </w:p>
    <w:p w14:paraId="604BA268" w14:textId="56F1E4BC" w:rsidR="0096321D" w:rsidRDefault="0096321D" w:rsidP="002541C9">
      <w:pPr>
        <w:jc w:val="both"/>
        <w:rPr>
          <w:rFonts w:ascii="Arial" w:hAnsi="Arial" w:cs="Arial"/>
          <w:sz w:val="22"/>
          <w:szCs w:val="22"/>
        </w:rPr>
      </w:pPr>
      <w:r w:rsidRPr="000D67C6">
        <w:rPr>
          <w:rFonts w:ascii="Arial" w:hAnsi="Arial" w:cs="Arial"/>
          <w:sz w:val="22"/>
          <w:szCs w:val="22"/>
        </w:rPr>
        <w:t xml:space="preserve">In my opinion the financial statements: </w:t>
      </w:r>
    </w:p>
    <w:p w14:paraId="18E0D2A5" w14:textId="77777777" w:rsidR="002541C9" w:rsidRPr="000D67C6" w:rsidRDefault="002541C9" w:rsidP="002541C9">
      <w:pPr>
        <w:jc w:val="both"/>
        <w:rPr>
          <w:rFonts w:ascii="Arial" w:hAnsi="Arial" w:cs="Arial"/>
          <w:sz w:val="22"/>
          <w:szCs w:val="22"/>
        </w:rPr>
      </w:pPr>
    </w:p>
    <w:p w14:paraId="50A24E0A" w14:textId="77777777" w:rsidR="0096321D" w:rsidRPr="000D67C6" w:rsidRDefault="0096321D" w:rsidP="002541C9">
      <w:pPr>
        <w:numPr>
          <w:ilvl w:val="0"/>
          <w:numId w:val="37"/>
        </w:numPr>
        <w:ind w:left="357" w:hanging="357"/>
        <w:rPr>
          <w:rFonts w:ascii="Arial" w:hAnsi="Arial" w:cs="Arial"/>
          <w:sz w:val="22"/>
          <w:szCs w:val="22"/>
        </w:rPr>
      </w:pPr>
      <w:r w:rsidRPr="000D67C6">
        <w:rPr>
          <w:rFonts w:ascii="Arial" w:hAnsi="Arial" w:cs="Arial"/>
          <w:sz w:val="22"/>
          <w:szCs w:val="22"/>
        </w:rPr>
        <w:t>give a true and fair view of the financial position of Mid and West Wales Fire and Rescue Authority and the Fire Fighters’ Pension Fund as at 31 March 2019 and of its income and expenditure for the year then ended; and</w:t>
      </w:r>
    </w:p>
    <w:p w14:paraId="7D98C2CD" w14:textId="77777777" w:rsidR="0096321D" w:rsidRPr="000D67C6" w:rsidRDefault="0096321D" w:rsidP="002541C9">
      <w:pPr>
        <w:numPr>
          <w:ilvl w:val="0"/>
          <w:numId w:val="38"/>
        </w:numPr>
        <w:ind w:left="357" w:hanging="357"/>
        <w:rPr>
          <w:rFonts w:ascii="Arial" w:hAnsi="Arial" w:cs="Arial"/>
          <w:sz w:val="22"/>
          <w:szCs w:val="22"/>
        </w:rPr>
      </w:pPr>
      <w:r w:rsidRPr="000D67C6">
        <w:rPr>
          <w:rFonts w:ascii="Arial" w:hAnsi="Arial" w:cs="Arial"/>
          <w:sz w:val="22"/>
          <w:szCs w:val="22"/>
        </w:rPr>
        <w:t xml:space="preserve">have been properly prepared in accordance with legislative requirements and the Code of Practice on Local Authority Accounting in the United Kingdom 2018. </w:t>
      </w:r>
    </w:p>
    <w:p w14:paraId="7E339F47" w14:textId="77777777" w:rsidR="00503280" w:rsidRPr="00351957" w:rsidRDefault="00503280" w:rsidP="002541C9">
      <w:pPr>
        <w:rPr>
          <w:rFonts w:ascii="Arial" w:eastAsia="Times New Roman" w:hAnsi="Arial" w:cs="Arial"/>
          <w:b/>
          <w:bCs/>
          <w:snapToGrid w:val="0"/>
          <w:szCs w:val="22"/>
          <w:lang w:eastAsia="en-GB"/>
        </w:rPr>
      </w:pPr>
    </w:p>
    <w:p w14:paraId="70207F10" w14:textId="66FC4FAB" w:rsidR="00915B39" w:rsidRDefault="00915B39" w:rsidP="002541C9">
      <w:pPr>
        <w:rPr>
          <w:rFonts w:ascii="Arial" w:eastAsia="Times New Roman" w:hAnsi="Arial" w:cs="Arial"/>
          <w:b/>
          <w:bCs/>
          <w:snapToGrid w:val="0"/>
          <w:lang w:eastAsia="en-GB"/>
        </w:rPr>
      </w:pPr>
      <w:r w:rsidRPr="000D67C6">
        <w:rPr>
          <w:rFonts w:ascii="Arial" w:eastAsia="Times New Roman" w:hAnsi="Arial" w:cs="Arial"/>
          <w:b/>
          <w:bCs/>
          <w:snapToGrid w:val="0"/>
          <w:lang w:eastAsia="en-GB"/>
        </w:rPr>
        <w:t>Basis for opinion</w:t>
      </w:r>
    </w:p>
    <w:p w14:paraId="788932A7" w14:textId="77777777" w:rsidR="002541C9" w:rsidRPr="002541C9" w:rsidRDefault="002541C9" w:rsidP="002541C9">
      <w:pPr>
        <w:rPr>
          <w:rFonts w:ascii="Arial" w:eastAsia="Times New Roman" w:hAnsi="Arial" w:cs="Arial"/>
          <w:b/>
          <w:bCs/>
          <w:snapToGrid w:val="0"/>
          <w:sz w:val="22"/>
          <w:lang w:eastAsia="en-GB"/>
        </w:rPr>
      </w:pPr>
    </w:p>
    <w:p w14:paraId="29B782A6" w14:textId="0CC00F6C" w:rsidR="00915B39" w:rsidRDefault="00915B39" w:rsidP="002541C9">
      <w:pPr>
        <w:jc w:val="both"/>
        <w:rPr>
          <w:rFonts w:ascii="Arial" w:hAnsi="Arial" w:cs="Arial"/>
          <w:sz w:val="22"/>
          <w:szCs w:val="22"/>
        </w:rPr>
      </w:pPr>
      <w:r w:rsidRPr="000D67C6">
        <w:rPr>
          <w:rFonts w:ascii="Arial" w:hAnsi="Arial" w:cs="Arial"/>
          <w:sz w:val="22"/>
          <w:szCs w:val="22"/>
        </w:rPr>
        <w:t xml:space="preserve">I conducted my audit in accordance with applicable law and International Standards on Auditing in the UK (ISAs (UK)). My responsibilities under those standards are further described in the auditor’s responsibilities for the audit of the financial statements section of my report. I am independent of the Fire and Rescue Authority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w:t>
      </w:r>
      <w:proofErr w:type="gramStart"/>
      <w:r w:rsidRPr="000D67C6">
        <w:rPr>
          <w:rFonts w:ascii="Arial" w:hAnsi="Arial" w:cs="Arial"/>
          <w:sz w:val="22"/>
          <w:szCs w:val="22"/>
        </w:rPr>
        <w:t>sufficient</w:t>
      </w:r>
      <w:proofErr w:type="gramEnd"/>
      <w:r w:rsidRPr="000D67C6">
        <w:rPr>
          <w:rFonts w:ascii="Arial" w:hAnsi="Arial" w:cs="Arial"/>
          <w:sz w:val="22"/>
          <w:szCs w:val="22"/>
        </w:rPr>
        <w:t xml:space="preserve"> and appropriate to provide a basis for my opinion.</w:t>
      </w:r>
    </w:p>
    <w:p w14:paraId="55A217E2" w14:textId="77777777" w:rsidR="002541C9" w:rsidRPr="00351957" w:rsidRDefault="002541C9" w:rsidP="002541C9">
      <w:pPr>
        <w:jc w:val="both"/>
        <w:rPr>
          <w:rFonts w:ascii="Arial" w:hAnsi="Arial" w:cs="Arial"/>
          <w:szCs w:val="22"/>
        </w:rPr>
      </w:pPr>
    </w:p>
    <w:p w14:paraId="001BDB46" w14:textId="467B2213" w:rsidR="00915B39" w:rsidRDefault="00915B39" w:rsidP="002541C9">
      <w:pPr>
        <w:rPr>
          <w:rFonts w:ascii="Arial" w:eastAsia="Times New Roman" w:hAnsi="Arial" w:cs="Arial"/>
          <w:b/>
          <w:bCs/>
          <w:snapToGrid w:val="0"/>
          <w:lang w:eastAsia="en-GB"/>
        </w:rPr>
      </w:pPr>
      <w:r w:rsidRPr="000D67C6">
        <w:rPr>
          <w:rFonts w:ascii="Arial" w:eastAsia="Times New Roman" w:hAnsi="Arial" w:cs="Arial"/>
          <w:b/>
          <w:bCs/>
          <w:snapToGrid w:val="0"/>
          <w:lang w:eastAsia="en-GB"/>
        </w:rPr>
        <w:t>Conclusions relating to going concern</w:t>
      </w:r>
    </w:p>
    <w:p w14:paraId="7CD71F18" w14:textId="77777777" w:rsidR="002541C9" w:rsidRPr="00351957" w:rsidRDefault="002541C9" w:rsidP="002541C9">
      <w:pPr>
        <w:rPr>
          <w:rFonts w:ascii="Arial" w:eastAsia="Times New Roman" w:hAnsi="Arial" w:cs="Arial"/>
          <w:b/>
          <w:bCs/>
          <w:snapToGrid w:val="0"/>
          <w:sz w:val="22"/>
          <w:lang w:eastAsia="en-GB"/>
        </w:rPr>
      </w:pPr>
    </w:p>
    <w:p w14:paraId="47B7AC0D" w14:textId="77777777" w:rsidR="00915B39" w:rsidRPr="000D67C6" w:rsidRDefault="00915B39" w:rsidP="002541C9">
      <w:pPr>
        <w:jc w:val="both"/>
        <w:rPr>
          <w:rFonts w:ascii="Arial" w:eastAsia="Times New Roman" w:hAnsi="Arial" w:cs="Arial"/>
          <w:bCs/>
          <w:snapToGrid w:val="0"/>
          <w:sz w:val="22"/>
          <w:szCs w:val="22"/>
          <w:lang w:eastAsia="en-GB"/>
        </w:rPr>
      </w:pPr>
      <w:r w:rsidRPr="000D67C6">
        <w:rPr>
          <w:rFonts w:ascii="Arial" w:eastAsia="Times New Roman" w:hAnsi="Arial" w:cs="Arial"/>
          <w:bCs/>
          <w:snapToGrid w:val="0"/>
          <w:sz w:val="22"/>
          <w:szCs w:val="22"/>
          <w:lang w:eastAsia="en-GB"/>
        </w:rPr>
        <w:t xml:space="preserve">I have nothing to report in respect of the following matters in relation to which the ISAs (UK) require me to report to you </w:t>
      </w:r>
      <w:proofErr w:type="spellStart"/>
      <w:r w:rsidRPr="000D67C6">
        <w:rPr>
          <w:rFonts w:ascii="Arial" w:eastAsia="Times New Roman" w:hAnsi="Arial" w:cs="Arial"/>
          <w:bCs/>
          <w:snapToGrid w:val="0"/>
          <w:sz w:val="22"/>
          <w:szCs w:val="22"/>
          <w:lang w:eastAsia="en-GB"/>
        </w:rPr>
        <w:t>where</w:t>
      </w:r>
      <w:proofErr w:type="spellEnd"/>
      <w:r w:rsidRPr="000D67C6">
        <w:rPr>
          <w:rFonts w:ascii="Arial" w:eastAsia="Times New Roman" w:hAnsi="Arial" w:cs="Arial"/>
          <w:bCs/>
          <w:snapToGrid w:val="0"/>
          <w:sz w:val="22"/>
          <w:szCs w:val="22"/>
          <w:lang w:eastAsia="en-GB"/>
        </w:rPr>
        <w:t>:</w:t>
      </w:r>
    </w:p>
    <w:p w14:paraId="4378AD96" w14:textId="77777777" w:rsidR="00BE7BEA" w:rsidRPr="000D67C6" w:rsidRDefault="00BE7BEA" w:rsidP="002541C9">
      <w:pPr>
        <w:rPr>
          <w:rFonts w:ascii="Arial" w:eastAsiaTheme="majorEastAsia" w:hAnsi="Arial" w:cs="Arial"/>
          <w:b/>
          <w:sz w:val="22"/>
          <w:szCs w:val="22"/>
        </w:rPr>
      </w:pPr>
      <w:r w:rsidRPr="000D67C6">
        <w:rPr>
          <w:rFonts w:ascii="Arial" w:eastAsiaTheme="majorEastAsia" w:hAnsi="Arial" w:cs="Arial"/>
          <w:b/>
          <w:sz w:val="22"/>
          <w:szCs w:val="22"/>
        </w:rPr>
        <w:br w:type="page"/>
      </w:r>
    </w:p>
    <w:p w14:paraId="17AE1C37" w14:textId="3866E4AF" w:rsidR="003E11D5" w:rsidRDefault="003E11D5" w:rsidP="002541C9">
      <w:pPr>
        <w:pStyle w:val="ListParagraph"/>
        <w:numPr>
          <w:ilvl w:val="0"/>
          <w:numId w:val="38"/>
        </w:numPr>
        <w:ind w:left="357" w:hanging="357"/>
        <w:jc w:val="both"/>
        <w:rPr>
          <w:rFonts w:ascii="Arial" w:eastAsia="Times New Roman" w:hAnsi="Arial" w:cs="Arial"/>
          <w:bCs/>
          <w:snapToGrid w:val="0"/>
          <w:sz w:val="22"/>
          <w:szCs w:val="22"/>
          <w:lang w:eastAsia="en-GB"/>
        </w:rPr>
      </w:pPr>
      <w:r w:rsidRPr="000D67C6">
        <w:rPr>
          <w:rFonts w:ascii="Arial" w:eastAsia="Times New Roman" w:hAnsi="Arial" w:cs="Arial"/>
          <w:bCs/>
          <w:snapToGrid w:val="0"/>
          <w:sz w:val="22"/>
          <w:szCs w:val="22"/>
          <w:lang w:eastAsia="en-GB"/>
        </w:rPr>
        <w:t>the use of the going concern basis of accounting in the preparation of the financial statements is not appropriate; or</w:t>
      </w:r>
    </w:p>
    <w:p w14:paraId="0D7D1E95" w14:textId="11F7454D" w:rsidR="003E11D5" w:rsidRPr="00351957" w:rsidRDefault="003E11D5" w:rsidP="00351957">
      <w:pPr>
        <w:pStyle w:val="ListParagraph"/>
        <w:numPr>
          <w:ilvl w:val="0"/>
          <w:numId w:val="38"/>
        </w:numPr>
        <w:ind w:left="357" w:hanging="357"/>
        <w:jc w:val="both"/>
        <w:rPr>
          <w:rFonts w:ascii="Arial" w:eastAsia="Times New Roman" w:hAnsi="Arial" w:cs="Arial"/>
          <w:bCs/>
          <w:snapToGrid w:val="0"/>
          <w:sz w:val="22"/>
          <w:szCs w:val="22"/>
          <w:lang w:eastAsia="en-GB"/>
        </w:rPr>
      </w:pPr>
      <w:r w:rsidRPr="00351957">
        <w:rPr>
          <w:rFonts w:ascii="Arial" w:eastAsia="Times New Roman" w:hAnsi="Arial" w:cs="Arial"/>
          <w:bCs/>
          <w:snapToGrid w:val="0"/>
          <w:sz w:val="22"/>
          <w:szCs w:val="22"/>
          <w:lang w:eastAsia="en-GB"/>
        </w:rPr>
        <w:t>the responsible financial officer has not disclosed in the financial statements any identified material uncertainties that may cast significant doubt about the Fire and rescue Authority’s ability to continue to adopt the going concern basis of accounting for a period of at least twelve months from the date when the financial statements are authorised for issue.</w:t>
      </w:r>
    </w:p>
    <w:p w14:paraId="562A4F6C" w14:textId="77777777" w:rsidR="002541C9" w:rsidRPr="00351957" w:rsidRDefault="002541C9" w:rsidP="00351957">
      <w:pPr>
        <w:pStyle w:val="ListParagraph"/>
        <w:ind w:left="0"/>
        <w:jc w:val="both"/>
        <w:rPr>
          <w:rFonts w:ascii="Arial" w:eastAsia="Times New Roman" w:hAnsi="Arial" w:cs="Arial"/>
          <w:bCs/>
          <w:snapToGrid w:val="0"/>
          <w:szCs w:val="22"/>
          <w:lang w:eastAsia="en-GB"/>
        </w:rPr>
      </w:pPr>
    </w:p>
    <w:p w14:paraId="053B431A" w14:textId="1EB990A4" w:rsidR="003E11D5" w:rsidRDefault="003E11D5" w:rsidP="002541C9">
      <w:pPr>
        <w:rPr>
          <w:rFonts w:ascii="Arial" w:hAnsi="Arial" w:cs="Arial"/>
          <w:b/>
        </w:rPr>
      </w:pPr>
      <w:r w:rsidRPr="000D67C6">
        <w:rPr>
          <w:rFonts w:ascii="Arial" w:hAnsi="Arial" w:cs="Arial"/>
          <w:b/>
        </w:rPr>
        <w:t>Other information</w:t>
      </w:r>
    </w:p>
    <w:p w14:paraId="4FEEA9DC" w14:textId="77777777" w:rsidR="002541C9" w:rsidRPr="00351957" w:rsidRDefault="002541C9" w:rsidP="002541C9">
      <w:pPr>
        <w:rPr>
          <w:rFonts w:ascii="Arial" w:hAnsi="Arial" w:cs="Arial"/>
          <w:b/>
          <w:sz w:val="22"/>
        </w:rPr>
      </w:pPr>
    </w:p>
    <w:p w14:paraId="4D89E9ED" w14:textId="77777777" w:rsidR="003E11D5" w:rsidRPr="000D67C6" w:rsidRDefault="003E11D5" w:rsidP="002541C9">
      <w:pPr>
        <w:jc w:val="both"/>
        <w:rPr>
          <w:rFonts w:ascii="Arial" w:eastAsia="Times New Roman" w:hAnsi="Arial" w:cs="Arial"/>
          <w:bCs/>
          <w:snapToGrid w:val="0"/>
          <w:sz w:val="22"/>
          <w:szCs w:val="22"/>
          <w:lang w:eastAsia="en-GB"/>
        </w:rPr>
      </w:pPr>
      <w:r w:rsidRPr="000D67C6">
        <w:rPr>
          <w:rFonts w:ascii="Arial" w:eastAsia="Times New Roman" w:hAnsi="Arial" w:cs="Arial"/>
          <w:bCs/>
          <w:snapToGrid w:val="0"/>
          <w:sz w:val="22"/>
          <w:szCs w:val="22"/>
          <w:lang w:eastAsia="en-GB"/>
        </w:rPr>
        <w:t>The responsible financial officer is responsible for the other information in the annual report and accounts. The other information comprises the information included in the annual report other than the financial statements and my auditor’s report thereon. My opinion on the financial statements does not cover the other information and, except to the extent otherwise explicitly stated later in my report, I do not express any form of assurance conclusion thereon.</w:t>
      </w:r>
    </w:p>
    <w:p w14:paraId="3EE00CC1" w14:textId="2E3DE253" w:rsidR="003E11D5" w:rsidRDefault="003E11D5" w:rsidP="00351957">
      <w:pPr>
        <w:jc w:val="both"/>
        <w:rPr>
          <w:rFonts w:ascii="Arial" w:eastAsia="Swiss721BT-Roman" w:hAnsi="Arial" w:cs="Arial"/>
          <w:sz w:val="22"/>
          <w:szCs w:val="22"/>
          <w:lang w:eastAsia="en-GB"/>
        </w:rPr>
      </w:pPr>
      <w:r w:rsidRPr="000D67C6">
        <w:rPr>
          <w:rFonts w:ascii="Arial" w:hAnsi="Arial" w:cs="Arial"/>
          <w:sz w:val="22"/>
          <w:szCs w:val="22"/>
        </w:rPr>
        <w:t xml:space="preserve">In connection with my audit of the financial statements, my responsibility is to read the other information </w:t>
      </w:r>
      <w:r w:rsidRPr="000D67C6">
        <w:rPr>
          <w:rFonts w:ascii="Arial" w:eastAsia="Swiss721BT-Roman" w:hAnsi="Arial" w:cs="Arial"/>
          <w:sz w:val="22"/>
          <w:szCs w:val="22"/>
          <w:lang w:eastAsia="en-GB"/>
        </w:rPr>
        <w:t>to identify material inconsistencies with the audited financial statements</w:t>
      </w:r>
      <w:r w:rsidRPr="000D67C6">
        <w:rPr>
          <w:rFonts w:ascii="Arial" w:eastAsia="Times New Roman" w:hAnsi="Arial" w:cs="Arial"/>
          <w:iCs/>
          <w:sz w:val="22"/>
          <w:szCs w:val="22"/>
          <w:lang w:eastAsia="en-GB"/>
        </w:rPr>
        <w:t xml:space="preserve"> and to identify any information that is apparently materially incorrect based on, or materially inconsistent with, the knowledge acquired by me in the course of performing the audit</w:t>
      </w:r>
      <w:r w:rsidRPr="000D67C6">
        <w:rPr>
          <w:rFonts w:ascii="Arial" w:eastAsia="Swiss721BT-Roman" w:hAnsi="Arial" w:cs="Arial"/>
          <w:sz w:val="22"/>
          <w:szCs w:val="22"/>
          <w:lang w:eastAsia="en-GB"/>
        </w:rPr>
        <w:t>. If I become aware of any apparent material misstatements or inconsistencies</w:t>
      </w:r>
      <w:r w:rsidR="002E1D50">
        <w:rPr>
          <w:rFonts w:ascii="Arial" w:eastAsia="Swiss721BT-Roman" w:hAnsi="Arial" w:cs="Arial"/>
          <w:sz w:val="22"/>
          <w:szCs w:val="22"/>
          <w:lang w:eastAsia="en-GB"/>
        </w:rPr>
        <w:t>,</w:t>
      </w:r>
      <w:r w:rsidRPr="000D67C6">
        <w:rPr>
          <w:rFonts w:ascii="Arial" w:eastAsia="Swiss721BT-Roman" w:hAnsi="Arial" w:cs="Arial"/>
          <w:sz w:val="22"/>
          <w:szCs w:val="22"/>
          <w:lang w:eastAsia="en-GB"/>
        </w:rPr>
        <w:t xml:space="preserve"> I consider the implications for my report.</w:t>
      </w:r>
    </w:p>
    <w:p w14:paraId="3073CD29" w14:textId="77777777" w:rsidR="00351957" w:rsidRPr="00351957" w:rsidRDefault="00351957" w:rsidP="00351957">
      <w:pPr>
        <w:jc w:val="both"/>
        <w:rPr>
          <w:rFonts w:ascii="Arial" w:eastAsia="Swiss721BT-Roman" w:hAnsi="Arial" w:cs="Arial"/>
          <w:szCs w:val="22"/>
          <w:lang w:eastAsia="en-GB"/>
        </w:rPr>
      </w:pPr>
    </w:p>
    <w:p w14:paraId="345611EB" w14:textId="65926D8B" w:rsidR="003E11D5" w:rsidRDefault="003E11D5" w:rsidP="00351957">
      <w:pPr>
        <w:rPr>
          <w:rFonts w:ascii="Arial" w:hAnsi="Arial" w:cs="Arial"/>
          <w:b/>
        </w:rPr>
      </w:pPr>
      <w:r w:rsidRPr="000D67C6">
        <w:rPr>
          <w:rFonts w:ascii="Arial" w:hAnsi="Arial" w:cs="Arial"/>
          <w:b/>
        </w:rPr>
        <w:t>Report on other requirements</w:t>
      </w:r>
    </w:p>
    <w:p w14:paraId="3D814A8F" w14:textId="77777777" w:rsidR="00351957" w:rsidRPr="00351957" w:rsidRDefault="00351957" w:rsidP="00351957">
      <w:pPr>
        <w:rPr>
          <w:rFonts w:ascii="Arial" w:hAnsi="Arial" w:cs="Arial"/>
          <w:b/>
          <w:sz w:val="22"/>
        </w:rPr>
      </w:pPr>
    </w:p>
    <w:p w14:paraId="64FA3AFC" w14:textId="59A73F79" w:rsidR="003E11D5" w:rsidRPr="000D67C6" w:rsidRDefault="003E11D5" w:rsidP="00351957">
      <w:pPr>
        <w:rPr>
          <w:rFonts w:ascii="Arial" w:hAnsi="Arial" w:cs="Arial"/>
          <w:b/>
        </w:rPr>
      </w:pPr>
      <w:r w:rsidRPr="000D67C6">
        <w:rPr>
          <w:rFonts w:ascii="Arial" w:hAnsi="Arial" w:cs="Arial"/>
          <w:b/>
        </w:rPr>
        <w:t>Opinion on other matters</w:t>
      </w:r>
    </w:p>
    <w:p w14:paraId="7EFDD6B1" w14:textId="77777777" w:rsidR="00351957" w:rsidRDefault="00351957" w:rsidP="00351957">
      <w:pPr>
        <w:jc w:val="both"/>
        <w:rPr>
          <w:rFonts w:ascii="Arial" w:hAnsi="Arial" w:cs="Arial"/>
          <w:sz w:val="22"/>
          <w:szCs w:val="22"/>
        </w:rPr>
      </w:pPr>
    </w:p>
    <w:p w14:paraId="6EB5D4D9" w14:textId="2427FA81" w:rsidR="003E11D5" w:rsidRDefault="003E11D5" w:rsidP="00351957">
      <w:pPr>
        <w:jc w:val="both"/>
        <w:rPr>
          <w:rFonts w:ascii="Arial" w:hAnsi="Arial" w:cs="Arial"/>
          <w:sz w:val="22"/>
          <w:szCs w:val="22"/>
        </w:rPr>
      </w:pPr>
      <w:r w:rsidRPr="000D67C6">
        <w:rPr>
          <w:rFonts w:ascii="Arial" w:hAnsi="Arial" w:cs="Arial"/>
          <w:sz w:val="22"/>
          <w:szCs w:val="22"/>
        </w:rPr>
        <w:t>In my opinion, based on the work undertaken in the course of my audit:</w:t>
      </w:r>
    </w:p>
    <w:p w14:paraId="2CC1DEFC" w14:textId="77777777" w:rsidR="00351957" w:rsidRPr="000D67C6" w:rsidRDefault="00351957" w:rsidP="00351957">
      <w:pPr>
        <w:jc w:val="both"/>
        <w:rPr>
          <w:rFonts w:ascii="Arial" w:hAnsi="Arial" w:cs="Arial"/>
          <w:sz w:val="22"/>
          <w:szCs w:val="22"/>
        </w:rPr>
      </w:pPr>
    </w:p>
    <w:p w14:paraId="50B379F9" w14:textId="77777777" w:rsidR="003E11D5" w:rsidRPr="000D67C6" w:rsidRDefault="003E11D5" w:rsidP="00351957">
      <w:pPr>
        <w:pStyle w:val="ListParagraph"/>
        <w:numPr>
          <w:ilvl w:val="0"/>
          <w:numId w:val="41"/>
        </w:numPr>
        <w:ind w:left="357" w:hanging="357"/>
        <w:jc w:val="both"/>
        <w:rPr>
          <w:rFonts w:ascii="Arial" w:hAnsi="Arial" w:cs="Arial"/>
          <w:sz w:val="22"/>
          <w:szCs w:val="22"/>
        </w:rPr>
      </w:pPr>
      <w:r w:rsidRPr="000D67C6">
        <w:rPr>
          <w:rFonts w:ascii="Arial" w:hAnsi="Arial" w:cs="Arial"/>
          <w:sz w:val="22"/>
          <w:szCs w:val="22"/>
        </w:rPr>
        <w:t xml:space="preserve">the information contained in the Narrative Report for the financial year for which the financial statements are prepared is consistent with the financial statements and the Narrative Report has been prepared in accordance with the Code of Practice on Local Authority Accounting in the United Kingdom 2018; </w:t>
      </w:r>
    </w:p>
    <w:p w14:paraId="105B2A17" w14:textId="6FF1CDB7" w:rsidR="003E11D5" w:rsidRPr="000D67C6" w:rsidRDefault="003E11D5" w:rsidP="00351957">
      <w:pPr>
        <w:pStyle w:val="ListParagraph"/>
        <w:numPr>
          <w:ilvl w:val="0"/>
          <w:numId w:val="41"/>
        </w:numPr>
        <w:ind w:left="357" w:hanging="357"/>
        <w:jc w:val="both"/>
        <w:rPr>
          <w:rFonts w:ascii="Arial" w:hAnsi="Arial" w:cs="Arial"/>
          <w:sz w:val="22"/>
          <w:szCs w:val="22"/>
        </w:rPr>
      </w:pPr>
      <w:r w:rsidRPr="000D67C6">
        <w:rPr>
          <w:rFonts w:ascii="Arial" w:hAnsi="Arial" w:cs="Arial"/>
          <w:sz w:val="22"/>
          <w:szCs w:val="22"/>
        </w:rPr>
        <w:t xml:space="preserve">The information given in the Annual Governance Statement </w:t>
      </w:r>
      <w:r w:rsidRPr="000D67C6">
        <w:rPr>
          <w:rFonts w:ascii="Arial" w:eastAsia="Times New Roman" w:hAnsi="Arial" w:cs="Arial"/>
          <w:sz w:val="22"/>
          <w:szCs w:val="22"/>
          <w:lang w:eastAsia="en-GB"/>
        </w:rPr>
        <w:t>for the financial year for which the financial statements are prepared</w:t>
      </w:r>
      <w:r w:rsidRPr="000D67C6">
        <w:rPr>
          <w:rFonts w:ascii="Arial" w:hAnsi="Arial" w:cs="Arial"/>
          <w:sz w:val="22"/>
          <w:szCs w:val="22"/>
        </w:rPr>
        <w:t xml:space="preserve"> is consistent with the financial statements and the Annual Governance Statement has been prepared in accordance with guidance. </w:t>
      </w:r>
    </w:p>
    <w:p w14:paraId="2A6DD953" w14:textId="77777777" w:rsidR="00F34E07" w:rsidRPr="000D67C6" w:rsidRDefault="00F34E07" w:rsidP="00351957">
      <w:pPr>
        <w:pStyle w:val="ListParagraph"/>
        <w:ind w:left="0"/>
        <w:jc w:val="both"/>
        <w:rPr>
          <w:rFonts w:ascii="Arial" w:hAnsi="Arial" w:cs="Arial"/>
        </w:rPr>
      </w:pPr>
    </w:p>
    <w:p w14:paraId="146A65A9" w14:textId="5336FFF8" w:rsidR="003E11D5" w:rsidRPr="000D67C6" w:rsidRDefault="003E11D5" w:rsidP="00820FBA">
      <w:pPr>
        <w:rPr>
          <w:rFonts w:ascii="Arial" w:hAnsi="Arial" w:cs="Arial"/>
          <w:b/>
        </w:rPr>
      </w:pPr>
      <w:r w:rsidRPr="000D67C6">
        <w:rPr>
          <w:rFonts w:ascii="Arial" w:hAnsi="Arial" w:cs="Arial"/>
          <w:b/>
        </w:rPr>
        <w:t>Matters on which I report by exception</w:t>
      </w:r>
    </w:p>
    <w:p w14:paraId="0006BD7E" w14:textId="77777777" w:rsidR="00F34E07" w:rsidRPr="000D67C6" w:rsidRDefault="00F34E07" w:rsidP="00351957">
      <w:pPr>
        <w:rPr>
          <w:rFonts w:ascii="Arial" w:hAnsi="Arial" w:cs="Arial"/>
          <w:b/>
          <w:sz w:val="22"/>
          <w:szCs w:val="22"/>
        </w:rPr>
      </w:pPr>
    </w:p>
    <w:p w14:paraId="50CACBCD" w14:textId="1B541C41" w:rsidR="003E11D5" w:rsidRDefault="003E11D5" w:rsidP="002541C9">
      <w:pPr>
        <w:rPr>
          <w:rFonts w:ascii="Arial" w:hAnsi="Arial" w:cs="Arial"/>
          <w:sz w:val="22"/>
          <w:szCs w:val="22"/>
        </w:rPr>
      </w:pPr>
      <w:r w:rsidRPr="000D67C6">
        <w:rPr>
          <w:rFonts w:ascii="Arial" w:hAnsi="Arial" w:cs="Arial"/>
          <w:sz w:val="22"/>
          <w:szCs w:val="22"/>
        </w:rPr>
        <w:t xml:space="preserve">In the light of the knowledge and understanding of </w:t>
      </w:r>
      <w:r w:rsidRPr="000D67C6">
        <w:rPr>
          <w:rFonts w:ascii="Arial" w:eastAsia="Times New Roman" w:hAnsi="Arial" w:cs="Arial"/>
          <w:bCs/>
          <w:snapToGrid w:val="0"/>
          <w:sz w:val="22"/>
          <w:szCs w:val="22"/>
          <w:lang w:eastAsia="en-GB"/>
        </w:rPr>
        <w:t>the Fire and Rescue Authority</w:t>
      </w:r>
      <w:r w:rsidRPr="000D67C6">
        <w:rPr>
          <w:rFonts w:ascii="Arial" w:hAnsi="Arial" w:cs="Arial"/>
          <w:sz w:val="22"/>
          <w:szCs w:val="22"/>
        </w:rPr>
        <w:t xml:space="preserve"> and its environment obtained in the course of the audit, I have not identified material misstatements in the Narrative Report or the Annual Governance Statement.</w:t>
      </w:r>
    </w:p>
    <w:p w14:paraId="04CCBAC4" w14:textId="77777777" w:rsidR="00351957" w:rsidRPr="000D67C6" w:rsidRDefault="00351957" w:rsidP="00351957">
      <w:pPr>
        <w:rPr>
          <w:rFonts w:ascii="Arial" w:hAnsi="Arial" w:cs="Arial"/>
          <w:sz w:val="22"/>
          <w:szCs w:val="22"/>
        </w:rPr>
      </w:pPr>
    </w:p>
    <w:p w14:paraId="0EF95549" w14:textId="357724BE" w:rsidR="003E11D5" w:rsidRDefault="003E11D5" w:rsidP="00351957">
      <w:pPr>
        <w:rPr>
          <w:rFonts w:ascii="Arial" w:hAnsi="Arial" w:cs="Arial"/>
          <w:sz w:val="22"/>
          <w:szCs w:val="22"/>
        </w:rPr>
      </w:pPr>
      <w:r w:rsidRPr="000D67C6">
        <w:rPr>
          <w:rFonts w:ascii="Arial" w:hAnsi="Arial" w:cs="Arial"/>
          <w:sz w:val="22"/>
          <w:szCs w:val="22"/>
        </w:rPr>
        <w:t>I have nothing to report in respect of the following matters, which I report to you, if, in my opinion:</w:t>
      </w:r>
    </w:p>
    <w:p w14:paraId="36C956FB" w14:textId="77777777" w:rsidR="00351957" w:rsidRPr="000D67C6" w:rsidRDefault="00351957" w:rsidP="00351957">
      <w:pPr>
        <w:rPr>
          <w:rFonts w:ascii="Arial" w:hAnsi="Arial" w:cs="Arial"/>
          <w:sz w:val="22"/>
          <w:szCs w:val="22"/>
        </w:rPr>
      </w:pPr>
    </w:p>
    <w:p w14:paraId="0E4994E2" w14:textId="77777777" w:rsidR="003E11D5" w:rsidRPr="000D67C6" w:rsidRDefault="003E11D5" w:rsidP="00351957">
      <w:pPr>
        <w:numPr>
          <w:ilvl w:val="0"/>
          <w:numId w:val="40"/>
        </w:numPr>
        <w:ind w:left="357" w:hanging="357"/>
        <w:rPr>
          <w:rFonts w:ascii="Arial" w:hAnsi="Arial" w:cs="Arial"/>
          <w:sz w:val="22"/>
          <w:szCs w:val="22"/>
        </w:rPr>
      </w:pPr>
      <w:r w:rsidRPr="000D67C6">
        <w:rPr>
          <w:rFonts w:ascii="Arial" w:hAnsi="Arial" w:cs="Arial"/>
          <w:sz w:val="22"/>
          <w:szCs w:val="22"/>
        </w:rPr>
        <w:t>proper accounting records have not been kept;</w:t>
      </w:r>
    </w:p>
    <w:p w14:paraId="37E160E4" w14:textId="77777777" w:rsidR="003E11D5" w:rsidRPr="000D67C6" w:rsidRDefault="003E11D5" w:rsidP="00351957">
      <w:pPr>
        <w:numPr>
          <w:ilvl w:val="0"/>
          <w:numId w:val="40"/>
        </w:numPr>
        <w:ind w:left="357" w:hanging="357"/>
        <w:rPr>
          <w:rFonts w:ascii="Arial" w:hAnsi="Arial" w:cs="Arial"/>
          <w:sz w:val="22"/>
          <w:szCs w:val="22"/>
        </w:rPr>
      </w:pPr>
      <w:r w:rsidRPr="000D67C6">
        <w:rPr>
          <w:rFonts w:ascii="Arial" w:hAnsi="Arial" w:cs="Arial"/>
          <w:sz w:val="22"/>
          <w:szCs w:val="22"/>
        </w:rPr>
        <w:t>the financial statements are not in agreement with the accounting records and returns; or</w:t>
      </w:r>
    </w:p>
    <w:p w14:paraId="5C4EECE8" w14:textId="77777777" w:rsidR="003E11D5" w:rsidRPr="000D67C6" w:rsidRDefault="003E11D5" w:rsidP="00351957">
      <w:pPr>
        <w:numPr>
          <w:ilvl w:val="0"/>
          <w:numId w:val="40"/>
        </w:numPr>
        <w:ind w:left="357" w:hanging="357"/>
        <w:rPr>
          <w:rFonts w:ascii="Arial" w:hAnsi="Arial" w:cs="Arial"/>
          <w:sz w:val="22"/>
          <w:szCs w:val="22"/>
        </w:rPr>
      </w:pPr>
      <w:r w:rsidRPr="000D67C6">
        <w:rPr>
          <w:rFonts w:ascii="Arial" w:hAnsi="Arial" w:cs="Arial"/>
          <w:sz w:val="22"/>
          <w:szCs w:val="22"/>
        </w:rPr>
        <w:t>I have not received all the information and explanations I require for my audit.</w:t>
      </w:r>
    </w:p>
    <w:p w14:paraId="76CCE5D4" w14:textId="6E78D08E" w:rsidR="00C57057" w:rsidRPr="000D67C6" w:rsidRDefault="00BE7BEA" w:rsidP="00351957">
      <w:pPr>
        <w:rPr>
          <w:rFonts w:ascii="Arial" w:hAnsi="Arial" w:cs="Arial"/>
          <w:b/>
        </w:rPr>
      </w:pPr>
      <w:r w:rsidRPr="000D67C6">
        <w:rPr>
          <w:rFonts w:ascii="Arial" w:hAnsi="Arial" w:cs="Arial"/>
          <w:sz w:val="22"/>
          <w:szCs w:val="22"/>
          <w:lang w:val="en-GB"/>
        </w:rPr>
        <w:br w:type="page"/>
      </w:r>
      <w:r w:rsidR="00C57057" w:rsidRPr="000D67C6">
        <w:rPr>
          <w:rFonts w:ascii="Arial" w:hAnsi="Arial" w:cs="Arial"/>
          <w:b/>
        </w:rPr>
        <w:t>Certificate of completion of audit</w:t>
      </w:r>
    </w:p>
    <w:p w14:paraId="2BE5D312" w14:textId="77777777" w:rsidR="00955B90" w:rsidRPr="00351957" w:rsidRDefault="00955B90" w:rsidP="00351957">
      <w:pPr>
        <w:rPr>
          <w:rFonts w:ascii="Arial" w:hAnsi="Arial" w:cs="Arial"/>
          <w:b/>
          <w:sz w:val="22"/>
        </w:rPr>
      </w:pPr>
    </w:p>
    <w:p w14:paraId="2D99F805" w14:textId="77777777" w:rsidR="00C57057" w:rsidRPr="000D67C6" w:rsidRDefault="00C57057" w:rsidP="00351957">
      <w:pPr>
        <w:jc w:val="both"/>
        <w:rPr>
          <w:rFonts w:ascii="Arial" w:hAnsi="Arial" w:cs="Arial"/>
          <w:sz w:val="22"/>
          <w:szCs w:val="22"/>
        </w:rPr>
      </w:pPr>
      <w:r w:rsidRPr="000D67C6">
        <w:rPr>
          <w:rFonts w:ascii="Arial" w:hAnsi="Arial" w:cs="Arial"/>
          <w:sz w:val="22"/>
          <w:szCs w:val="22"/>
        </w:rPr>
        <w:t>I certify that I have completed the audit of the accounts of Mid and West Wales Fire and Rescue Authority in accordance with the requirements of the Public Audit (Wales) Act 2004 and the Auditor General for Wales’ Code of Audit Practice.</w:t>
      </w:r>
    </w:p>
    <w:p w14:paraId="06CC90FE" w14:textId="77777777" w:rsidR="00C57057" w:rsidRPr="000D67C6" w:rsidRDefault="00C57057" w:rsidP="00351957">
      <w:pPr>
        <w:rPr>
          <w:rFonts w:ascii="Arial" w:hAnsi="Arial" w:cs="Arial"/>
        </w:rPr>
      </w:pPr>
    </w:p>
    <w:p w14:paraId="70E30416" w14:textId="77777777" w:rsidR="00C57057" w:rsidRPr="000D67C6" w:rsidRDefault="00C57057" w:rsidP="00351957">
      <w:pPr>
        <w:rPr>
          <w:rFonts w:ascii="Arial" w:hAnsi="Arial" w:cs="Arial"/>
          <w:b/>
        </w:rPr>
      </w:pPr>
      <w:r w:rsidRPr="000D67C6">
        <w:rPr>
          <w:rFonts w:ascii="Arial" w:hAnsi="Arial" w:cs="Arial"/>
          <w:b/>
        </w:rPr>
        <w:t>Responsibilities</w:t>
      </w:r>
    </w:p>
    <w:p w14:paraId="53439925" w14:textId="77777777" w:rsidR="00351957" w:rsidRPr="00351957" w:rsidRDefault="00351957" w:rsidP="00351957">
      <w:pPr>
        <w:rPr>
          <w:rFonts w:ascii="Arial" w:hAnsi="Arial" w:cs="Arial"/>
          <w:b/>
          <w:sz w:val="22"/>
        </w:rPr>
      </w:pPr>
    </w:p>
    <w:p w14:paraId="5020B973" w14:textId="72F8F107" w:rsidR="00C57057" w:rsidRPr="000D67C6" w:rsidRDefault="00C57057" w:rsidP="00351957">
      <w:pPr>
        <w:rPr>
          <w:rFonts w:ascii="Arial" w:hAnsi="Arial" w:cs="Arial"/>
          <w:b/>
        </w:rPr>
      </w:pPr>
      <w:r w:rsidRPr="000D67C6">
        <w:rPr>
          <w:rFonts w:ascii="Arial" w:hAnsi="Arial" w:cs="Arial"/>
          <w:b/>
        </w:rPr>
        <w:t>Responsibilities of the responsible financial officer for the financial statements</w:t>
      </w:r>
    </w:p>
    <w:p w14:paraId="4BFD0D5D" w14:textId="77777777" w:rsidR="00955B90" w:rsidRPr="00351957" w:rsidRDefault="00955B90" w:rsidP="00351957">
      <w:pPr>
        <w:rPr>
          <w:rFonts w:ascii="Arial" w:hAnsi="Arial" w:cs="Arial"/>
          <w:b/>
          <w:sz w:val="22"/>
        </w:rPr>
      </w:pPr>
    </w:p>
    <w:p w14:paraId="12775B8E" w14:textId="45F685C5" w:rsidR="00C57057" w:rsidRPr="000D67C6" w:rsidRDefault="00C57057" w:rsidP="00351957">
      <w:pPr>
        <w:jc w:val="both"/>
        <w:rPr>
          <w:rFonts w:ascii="Arial" w:hAnsi="Arial" w:cs="Arial"/>
          <w:sz w:val="22"/>
          <w:szCs w:val="22"/>
        </w:rPr>
      </w:pPr>
      <w:r w:rsidRPr="000D67C6">
        <w:rPr>
          <w:rFonts w:ascii="Arial" w:hAnsi="Arial" w:cs="Arial"/>
          <w:sz w:val="22"/>
          <w:szCs w:val="22"/>
        </w:rPr>
        <w:t>As explained more fully in the Statement of Responsibilities for the Statement of Accounts set out on page 8, the responsible financial officer is responsible for the preparation of the statement of accounts, including the Fire Fighters’ Pension Fund account, which give a true and fair view, and for such internal control as the responsible financial officer determines is necessary to enable the preparation of statements of accounts that are free from material misstatement, whether due to fraud or error.</w:t>
      </w:r>
    </w:p>
    <w:p w14:paraId="1D76C05E" w14:textId="77777777" w:rsidR="00955B90" w:rsidRPr="000D67C6" w:rsidRDefault="00955B90" w:rsidP="00351957">
      <w:pPr>
        <w:jc w:val="both"/>
        <w:rPr>
          <w:rFonts w:ascii="Arial" w:hAnsi="Arial" w:cs="Arial"/>
          <w:sz w:val="22"/>
          <w:szCs w:val="22"/>
        </w:rPr>
      </w:pPr>
    </w:p>
    <w:p w14:paraId="080003D9" w14:textId="77777777" w:rsidR="00C57057" w:rsidRPr="000D67C6" w:rsidRDefault="00C57057" w:rsidP="002541C9">
      <w:pPr>
        <w:jc w:val="both"/>
        <w:rPr>
          <w:rFonts w:ascii="Arial" w:hAnsi="Arial" w:cs="Arial"/>
          <w:sz w:val="22"/>
          <w:szCs w:val="22"/>
        </w:rPr>
      </w:pPr>
      <w:r w:rsidRPr="000D67C6">
        <w:rPr>
          <w:rFonts w:ascii="Arial" w:hAnsi="Arial" w:cs="Arial"/>
          <w:sz w:val="22"/>
          <w:szCs w:val="22"/>
        </w:rPr>
        <w:t xml:space="preserve">In preparing the statement of accounts, the responsible financial officer is responsible for assessing the Fire and Rescue Authority’s ability to continue as a going concern, disclosing as applicable, matters related to going concern and using the going concern basis of accounting unless deemed inappropriate. </w:t>
      </w:r>
    </w:p>
    <w:p w14:paraId="03A04439" w14:textId="77777777" w:rsidR="00C57057" w:rsidRPr="00351957" w:rsidRDefault="00C57057" w:rsidP="002541C9">
      <w:pPr>
        <w:rPr>
          <w:rFonts w:ascii="Arial" w:hAnsi="Arial" w:cs="Arial"/>
          <w:b/>
          <w:szCs w:val="22"/>
        </w:rPr>
      </w:pPr>
    </w:p>
    <w:p w14:paraId="3665EE83" w14:textId="6FBE9BE7" w:rsidR="00C57057" w:rsidRPr="000D67C6" w:rsidRDefault="00C57057" w:rsidP="002541C9">
      <w:pPr>
        <w:rPr>
          <w:rFonts w:ascii="Arial" w:hAnsi="Arial" w:cs="Arial"/>
          <w:b/>
        </w:rPr>
      </w:pPr>
      <w:r w:rsidRPr="000D67C6">
        <w:rPr>
          <w:rFonts w:ascii="Arial" w:hAnsi="Arial" w:cs="Arial"/>
          <w:b/>
        </w:rPr>
        <w:t>Auditor’s responsibilities for the audit of the financial statements</w:t>
      </w:r>
    </w:p>
    <w:p w14:paraId="7E6FF13D" w14:textId="77777777" w:rsidR="00955B90" w:rsidRPr="00351957" w:rsidRDefault="00955B90" w:rsidP="002541C9">
      <w:pPr>
        <w:rPr>
          <w:rFonts w:ascii="Arial" w:hAnsi="Arial" w:cs="Arial"/>
          <w:b/>
          <w:sz w:val="22"/>
        </w:rPr>
      </w:pPr>
    </w:p>
    <w:p w14:paraId="7F7BED14" w14:textId="45BB5D3D" w:rsidR="00C57057" w:rsidRPr="000D67C6" w:rsidRDefault="00C57057" w:rsidP="002541C9">
      <w:pPr>
        <w:jc w:val="both"/>
        <w:rPr>
          <w:rFonts w:ascii="Arial" w:hAnsi="Arial" w:cs="Arial"/>
          <w:sz w:val="22"/>
          <w:szCs w:val="22"/>
        </w:rPr>
      </w:pPr>
      <w:r w:rsidRPr="000D67C6">
        <w:rPr>
          <w:rFonts w:ascii="Arial" w:hAnsi="Arial" w:cs="Arial"/>
          <w:sz w:val="22"/>
          <w:szCs w:val="22"/>
        </w:rPr>
        <w:t xml:space="preserve">My objectives are to obtain reasonable assurance about whether the financial statements </w:t>
      </w:r>
      <w:proofErr w:type="gramStart"/>
      <w:r w:rsidRPr="000D67C6">
        <w:rPr>
          <w:rFonts w:ascii="Arial" w:hAnsi="Arial" w:cs="Arial"/>
          <w:sz w:val="22"/>
          <w:szCs w:val="22"/>
        </w:rPr>
        <w:t>as a whole are</w:t>
      </w:r>
      <w:proofErr w:type="gramEnd"/>
      <w:r w:rsidRPr="000D67C6">
        <w:rPr>
          <w:rFonts w:ascii="Arial" w:hAnsi="Arial" w:cs="Arial"/>
          <w:sz w:val="22"/>
          <w:szCs w:val="22"/>
        </w:rPr>
        <w:t xml:space="preserv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0D67C6">
        <w:rPr>
          <w:rFonts w:ascii="Arial" w:hAnsi="Arial" w:cs="Arial"/>
          <w:sz w:val="22"/>
          <w:szCs w:val="22"/>
        </w:rPr>
        <w:t>on the basis of</w:t>
      </w:r>
      <w:proofErr w:type="gramEnd"/>
      <w:r w:rsidRPr="000D67C6">
        <w:rPr>
          <w:rFonts w:ascii="Arial" w:hAnsi="Arial" w:cs="Arial"/>
          <w:sz w:val="22"/>
          <w:szCs w:val="22"/>
        </w:rPr>
        <w:t xml:space="preserve"> these financial statements.</w:t>
      </w:r>
    </w:p>
    <w:p w14:paraId="3FF4D9BB" w14:textId="77777777" w:rsidR="00955B90" w:rsidRPr="000D67C6" w:rsidRDefault="00955B90" w:rsidP="002541C9">
      <w:pPr>
        <w:jc w:val="both"/>
        <w:rPr>
          <w:rFonts w:ascii="Arial" w:hAnsi="Arial" w:cs="Arial"/>
          <w:sz w:val="22"/>
          <w:szCs w:val="22"/>
        </w:rPr>
      </w:pPr>
    </w:p>
    <w:p w14:paraId="50432222" w14:textId="77777777" w:rsidR="00C57057" w:rsidRPr="000D67C6" w:rsidRDefault="00C57057" w:rsidP="002541C9">
      <w:pPr>
        <w:jc w:val="both"/>
        <w:rPr>
          <w:rFonts w:ascii="Arial" w:hAnsi="Arial" w:cs="Arial"/>
          <w:sz w:val="22"/>
          <w:szCs w:val="22"/>
        </w:rPr>
      </w:pPr>
      <w:r w:rsidRPr="000D67C6">
        <w:rPr>
          <w:rFonts w:ascii="Arial" w:hAnsi="Arial" w:cs="Arial"/>
          <w:sz w:val="22"/>
          <w:szCs w:val="22"/>
        </w:rPr>
        <w:t>A further description of the auditor’s responsibilities for the audit of the financial statements is located on the Financial Reporting Council's website www.frc.org.uk/auditorsresponsibilities. This description forms part of my auditor’s report.</w:t>
      </w:r>
    </w:p>
    <w:p w14:paraId="3A815495" w14:textId="6357072B" w:rsidR="00C57057" w:rsidRDefault="00C57057" w:rsidP="002541C9">
      <w:pPr>
        <w:rPr>
          <w:rFonts w:ascii="Arial" w:hAnsi="Arial" w:cs="Arial"/>
          <w:sz w:val="22"/>
          <w:szCs w:val="22"/>
        </w:rPr>
      </w:pPr>
    </w:p>
    <w:p w14:paraId="1CBAD796" w14:textId="77777777" w:rsidR="00351957" w:rsidRPr="000D67C6" w:rsidRDefault="00351957" w:rsidP="002541C9">
      <w:pPr>
        <w:rPr>
          <w:rFonts w:ascii="Arial" w:hAnsi="Arial" w:cs="Arial"/>
          <w:sz w:val="22"/>
          <w:szCs w:val="22"/>
        </w:rPr>
      </w:pPr>
    </w:p>
    <w:p w14:paraId="0E96B6FE" w14:textId="77777777" w:rsidR="00C57057" w:rsidRPr="000D67C6" w:rsidRDefault="00C57057" w:rsidP="002541C9">
      <w:pPr>
        <w:rPr>
          <w:rFonts w:ascii="Arial" w:hAnsi="Arial" w:cs="Arial"/>
          <w:sz w:val="22"/>
          <w:szCs w:val="22"/>
        </w:rPr>
      </w:pPr>
    </w:p>
    <w:p w14:paraId="46F6E01A" w14:textId="77777777" w:rsidR="00C57057" w:rsidRPr="000D67C6" w:rsidRDefault="00C57057" w:rsidP="002541C9">
      <w:pPr>
        <w:rPr>
          <w:rFonts w:ascii="Arial" w:hAnsi="Arial" w:cs="Arial"/>
          <w:sz w:val="22"/>
          <w:szCs w:val="22"/>
        </w:rPr>
      </w:pPr>
    </w:p>
    <w:p w14:paraId="08001745" w14:textId="77777777" w:rsidR="00C57057" w:rsidRPr="000D67C6" w:rsidRDefault="00C57057" w:rsidP="002541C9">
      <w:pPr>
        <w:rPr>
          <w:rFonts w:ascii="Arial" w:hAnsi="Arial" w:cs="Arial"/>
          <w:sz w:val="22"/>
          <w:szCs w:val="22"/>
        </w:rPr>
      </w:pP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p>
    <w:p w14:paraId="06897308" w14:textId="77777777" w:rsidR="00C57057" w:rsidRPr="000D67C6" w:rsidRDefault="00C57057" w:rsidP="002541C9">
      <w:pPr>
        <w:rPr>
          <w:rFonts w:ascii="Arial" w:hAnsi="Arial" w:cs="Arial"/>
          <w:sz w:val="22"/>
          <w:szCs w:val="22"/>
        </w:rPr>
      </w:pPr>
      <w:r w:rsidRPr="000D67C6">
        <w:rPr>
          <w:rFonts w:ascii="Arial" w:hAnsi="Arial" w:cs="Arial"/>
          <w:sz w:val="22"/>
          <w:szCs w:val="22"/>
        </w:rPr>
        <w:t>Anthony J Barrett</w:t>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t>24 Cathedral Road</w:t>
      </w:r>
    </w:p>
    <w:p w14:paraId="620EBFE3" w14:textId="2E3C0838" w:rsidR="00C57057" w:rsidRPr="000D67C6" w:rsidRDefault="00C57057" w:rsidP="002541C9">
      <w:pPr>
        <w:rPr>
          <w:rFonts w:ascii="Arial" w:hAnsi="Arial" w:cs="Arial"/>
          <w:sz w:val="22"/>
          <w:szCs w:val="22"/>
        </w:rPr>
      </w:pPr>
      <w:r w:rsidRPr="000D67C6">
        <w:rPr>
          <w:rFonts w:ascii="Arial" w:hAnsi="Arial" w:cs="Arial"/>
          <w:sz w:val="22"/>
          <w:szCs w:val="22"/>
        </w:rPr>
        <w:t>For and on behalf of the Auditor General for Wales</w:t>
      </w:r>
      <w:r w:rsidRPr="000D67C6">
        <w:rPr>
          <w:rFonts w:ascii="Arial" w:hAnsi="Arial" w:cs="Arial"/>
          <w:sz w:val="22"/>
          <w:szCs w:val="22"/>
        </w:rPr>
        <w:tab/>
      </w:r>
      <w:r w:rsidR="00AC5EB3" w:rsidRPr="000D67C6">
        <w:rPr>
          <w:rFonts w:ascii="Arial" w:hAnsi="Arial" w:cs="Arial"/>
          <w:sz w:val="22"/>
          <w:szCs w:val="22"/>
        </w:rPr>
        <w:tab/>
      </w:r>
      <w:r w:rsidRPr="000D67C6">
        <w:rPr>
          <w:rFonts w:ascii="Arial" w:hAnsi="Arial" w:cs="Arial"/>
          <w:sz w:val="22"/>
          <w:szCs w:val="22"/>
        </w:rPr>
        <w:t>Cardiff</w:t>
      </w:r>
    </w:p>
    <w:p w14:paraId="6AE45A54" w14:textId="75C8ED92" w:rsidR="00C57057" w:rsidRPr="000D67C6" w:rsidRDefault="00C57057" w:rsidP="002541C9">
      <w:pPr>
        <w:rPr>
          <w:rFonts w:ascii="Arial" w:hAnsi="Arial" w:cs="Arial"/>
          <w:sz w:val="22"/>
          <w:szCs w:val="22"/>
        </w:rPr>
      </w:pPr>
      <w:r w:rsidRPr="000D67C6">
        <w:rPr>
          <w:rFonts w:ascii="Arial" w:hAnsi="Arial" w:cs="Arial"/>
          <w:sz w:val="22"/>
          <w:szCs w:val="22"/>
        </w:rPr>
        <w:t>Date</w:t>
      </w:r>
      <w:r w:rsidR="00955B90" w:rsidRPr="000D67C6">
        <w:rPr>
          <w:rFonts w:ascii="Arial" w:hAnsi="Arial" w:cs="Arial"/>
          <w:sz w:val="22"/>
          <w:szCs w:val="22"/>
        </w:rPr>
        <w:t>:</w:t>
      </w:r>
      <w:r w:rsidRPr="000D67C6">
        <w:rPr>
          <w:rFonts w:ascii="Arial" w:hAnsi="Arial" w:cs="Arial"/>
          <w:sz w:val="22"/>
          <w:szCs w:val="22"/>
        </w:rPr>
        <w:tab/>
      </w:r>
      <w:r w:rsidR="00241AFD">
        <w:rPr>
          <w:rFonts w:ascii="Arial" w:hAnsi="Arial" w:cs="Arial"/>
          <w:sz w:val="22"/>
          <w:szCs w:val="22"/>
        </w:rPr>
        <w:t>30</w:t>
      </w:r>
      <w:r w:rsidR="00241AFD" w:rsidRPr="00241AFD">
        <w:rPr>
          <w:rFonts w:ascii="Arial" w:hAnsi="Arial" w:cs="Arial"/>
          <w:sz w:val="22"/>
          <w:szCs w:val="22"/>
          <w:vertAlign w:val="superscript"/>
        </w:rPr>
        <w:t>th</w:t>
      </w:r>
      <w:r w:rsidR="00241AFD">
        <w:rPr>
          <w:rFonts w:ascii="Arial" w:hAnsi="Arial" w:cs="Arial"/>
          <w:sz w:val="22"/>
          <w:szCs w:val="22"/>
        </w:rPr>
        <w:t xml:space="preserve"> July 2019</w:t>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r>
      <w:r w:rsidRPr="000D67C6">
        <w:rPr>
          <w:rFonts w:ascii="Arial" w:hAnsi="Arial" w:cs="Arial"/>
          <w:sz w:val="22"/>
          <w:szCs w:val="22"/>
        </w:rPr>
        <w:tab/>
        <w:t>CF11 9LJ</w:t>
      </w:r>
    </w:p>
    <w:p w14:paraId="556A33D0" w14:textId="77777777" w:rsidR="00C57057" w:rsidRPr="000D67C6" w:rsidRDefault="00C57057" w:rsidP="002541C9">
      <w:pPr>
        <w:rPr>
          <w:rFonts w:ascii="Arial" w:hAnsi="Arial" w:cs="Arial"/>
          <w:color w:val="7030A0"/>
          <w:sz w:val="22"/>
          <w:szCs w:val="22"/>
        </w:rPr>
      </w:pPr>
    </w:p>
    <w:p w14:paraId="66529098" w14:textId="77777777" w:rsidR="00C57057" w:rsidRPr="000D67C6" w:rsidRDefault="00C57057" w:rsidP="00C57057">
      <w:pPr>
        <w:rPr>
          <w:rFonts w:ascii="Arial" w:hAnsi="Arial" w:cs="Arial"/>
          <w:sz w:val="22"/>
          <w:szCs w:val="22"/>
        </w:rPr>
      </w:pPr>
    </w:p>
    <w:p w14:paraId="124B0954" w14:textId="6F791259" w:rsidR="00911004" w:rsidRPr="00911004" w:rsidRDefault="00911004" w:rsidP="00911004">
      <w:pPr>
        <w:jc w:val="both"/>
        <w:rPr>
          <w:rFonts w:ascii="Arial" w:hAnsi="Arial" w:cs="Arial"/>
          <w:sz w:val="22"/>
          <w:szCs w:val="22"/>
        </w:rPr>
      </w:pPr>
      <w:r w:rsidRPr="00911004">
        <w:rPr>
          <w:rFonts w:ascii="Arial" w:hAnsi="Arial" w:cs="Arial"/>
          <w:sz w:val="22"/>
          <w:szCs w:val="22"/>
        </w:rPr>
        <w:t xml:space="preserve">The maintenance and integrity of </w:t>
      </w:r>
      <w:r>
        <w:rPr>
          <w:rFonts w:ascii="Arial" w:hAnsi="Arial" w:cs="Arial"/>
          <w:sz w:val="22"/>
          <w:szCs w:val="22"/>
        </w:rPr>
        <w:t>Mid and West Wales Fire and Rescue Authority</w:t>
      </w:r>
      <w:r w:rsidRPr="00911004">
        <w:rPr>
          <w:rFonts w:ascii="Arial" w:hAnsi="Arial" w:cs="Arial"/>
          <w:sz w:val="22"/>
          <w:szCs w:val="22"/>
        </w:rPr>
        <w:t xml:space="preserve"> website is the</w:t>
      </w:r>
      <w:r>
        <w:rPr>
          <w:rFonts w:ascii="Arial" w:hAnsi="Arial" w:cs="Arial"/>
          <w:sz w:val="22"/>
          <w:szCs w:val="22"/>
        </w:rPr>
        <w:t>ir</w:t>
      </w:r>
      <w:r w:rsidRPr="00911004">
        <w:rPr>
          <w:rFonts w:ascii="Arial" w:hAnsi="Arial" w:cs="Arial"/>
          <w:sz w:val="22"/>
          <w:szCs w:val="22"/>
        </w:rPr>
        <w:t xml:space="preserve"> responsibility; the work carried out by auditors does not involve consideration of these matters and accordingly auditors accept no responsibility for any changes that may have occurred to the financial statements since they were initially presented on the website.</w:t>
      </w:r>
    </w:p>
    <w:p w14:paraId="088215DA" w14:textId="77777777" w:rsidR="00C57057" w:rsidRPr="000D67C6" w:rsidRDefault="00C57057" w:rsidP="00C57057">
      <w:pPr>
        <w:rPr>
          <w:sz w:val="22"/>
          <w:szCs w:val="22"/>
        </w:rPr>
      </w:pPr>
    </w:p>
    <w:p w14:paraId="1CA1F625" w14:textId="5CDFACAF" w:rsidR="00AE27A4" w:rsidRDefault="00AE27A4">
      <w:pPr>
        <w:rPr>
          <w:rFonts w:ascii="Arial" w:hAnsi="Arial" w:cs="Arial"/>
          <w:sz w:val="22"/>
          <w:szCs w:val="22"/>
          <w:lang w:val="en-GB"/>
        </w:rPr>
      </w:pPr>
    </w:p>
    <w:p w14:paraId="0BF09496" w14:textId="2780FE42" w:rsidR="004E6D8B" w:rsidRDefault="004E6D8B">
      <w:pPr>
        <w:rPr>
          <w:rFonts w:ascii="Arial" w:hAnsi="Arial" w:cs="Arial"/>
          <w:sz w:val="22"/>
          <w:szCs w:val="22"/>
          <w:lang w:val="en-GB"/>
        </w:rPr>
      </w:pPr>
    </w:p>
    <w:p w14:paraId="1AA6F38F" w14:textId="11DA76AA" w:rsidR="004E6D8B" w:rsidRDefault="004E6D8B">
      <w:pPr>
        <w:rPr>
          <w:rFonts w:ascii="Arial" w:hAnsi="Arial" w:cs="Arial"/>
          <w:sz w:val="22"/>
          <w:szCs w:val="22"/>
          <w:lang w:val="en-GB"/>
        </w:rPr>
      </w:pPr>
    </w:p>
    <w:p w14:paraId="050716B4" w14:textId="7BFE9AAE" w:rsidR="004E6D8B" w:rsidRDefault="004E6D8B">
      <w:pPr>
        <w:rPr>
          <w:rFonts w:ascii="Arial" w:hAnsi="Arial" w:cs="Arial"/>
          <w:sz w:val="22"/>
          <w:szCs w:val="22"/>
          <w:lang w:val="en-GB"/>
        </w:rPr>
      </w:pPr>
    </w:p>
    <w:p w14:paraId="7180F441" w14:textId="7B2742F1" w:rsidR="004E6D8B" w:rsidRDefault="004E6D8B">
      <w:pPr>
        <w:rPr>
          <w:rFonts w:ascii="Arial" w:hAnsi="Arial" w:cs="Arial"/>
          <w:sz w:val="22"/>
          <w:szCs w:val="22"/>
          <w:lang w:val="en-GB"/>
        </w:rPr>
      </w:pPr>
    </w:p>
    <w:p w14:paraId="2C4015F5" w14:textId="31971BF7" w:rsidR="004E6D8B" w:rsidRDefault="004E6D8B">
      <w:pPr>
        <w:rPr>
          <w:rFonts w:ascii="Arial" w:hAnsi="Arial" w:cs="Arial"/>
          <w:sz w:val="22"/>
          <w:szCs w:val="22"/>
          <w:lang w:val="en-GB"/>
        </w:rPr>
      </w:pPr>
    </w:p>
    <w:p w14:paraId="0D18A2E8" w14:textId="77777777" w:rsidR="004E6D8B" w:rsidRPr="000D67C6" w:rsidRDefault="004E6D8B">
      <w:pPr>
        <w:rPr>
          <w:rFonts w:ascii="Arial" w:eastAsiaTheme="majorEastAsia" w:hAnsi="Arial" w:cs="Arial"/>
          <w:b/>
          <w:sz w:val="22"/>
          <w:szCs w:val="22"/>
          <w:lang w:val="en-GB"/>
        </w:rPr>
      </w:pPr>
    </w:p>
    <w:p w14:paraId="4B736A3A" w14:textId="6ED5D6E5" w:rsidR="00E926C9" w:rsidRPr="000D67C6" w:rsidRDefault="00E926C9" w:rsidP="00E926C9">
      <w:pPr>
        <w:pStyle w:val="Heading1"/>
        <w:spacing w:line="259" w:lineRule="auto"/>
        <w:rPr>
          <w:rFonts w:ascii="Arial" w:hAnsi="Arial" w:cs="Arial"/>
          <w:sz w:val="28"/>
          <w:szCs w:val="28"/>
          <w:lang w:val="en-GB"/>
        </w:rPr>
      </w:pPr>
      <w:r w:rsidRPr="000D67C6">
        <w:rPr>
          <w:rFonts w:ascii="Arial" w:hAnsi="Arial" w:cs="Arial"/>
          <w:sz w:val="28"/>
          <w:szCs w:val="28"/>
          <w:lang w:val="en-GB"/>
        </w:rPr>
        <w:t>Expenditure and Funding Analysis</w:t>
      </w:r>
      <w:r w:rsidR="00036297" w:rsidRPr="000D67C6">
        <w:rPr>
          <w:rFonts w:ascii="Arial" w:hAnsi="Arial" w:cs="Arial"/>
          <w:sz w:val="28"/>
          <w:szCs w:val="28"/>
          <w:lang w:val="en-GB"/>
        </w:rPr>
        <w:t xml:space="preserve"> (EFA)</w:t>
      </w:r>
    </w:p>
    <w:p w14:paraId="25BF1707" w14:textId="77777777" w:rsidR="00C954E7" w:rsidRPr="000D67C6" w:rsidRDefault="00C954E7" w:rsidP="00C954E7">
      <w:pPr>
        <w:rPr>
          <w:lang w:val="en-GB"/>
        </w:rPr>
      </w:pPr>
    </w:p>
    <w:p w14:paraId="2EE326DC" w14:textId="77777777" w:rsidR="00036297" w:rsidRPr="000D67C6" w:rsidRDefault="00256773" w:rsidP="00C954E7">
      <w:pPr>
        <w:jc w:val="both"/>
        <w:rPr>
          <w:rFonts w:ascii="Arial" w:hAnsi="Arial" w:cs="Arial"/>
          <w:color w:val="000000"/>
          <w:sz w:val="22"/>
          <w:szCs w:val="22"/>
        </w:rPr>
      </w:pPr>
      <w:r w:rsidRPr="000D67C6">
        <w:rPr>
          <w:rFonts w:ascii="Arial" w:hAnsi="Arial" w:cs="Arial"/>
          <w:color w:val="000000"/>
          <w:sz w:val="22"/>
          <w:szCs w:val="22"/>
        </w:rPr>
        <w:t>The Expenditure and Funding Analysis shows how annual expenditure is used and funded from resources (</w:t>
      </w:r>
      <w:r w:rsidR="00F54FAD" w:rsidRPr="000D67C6">
        <w:rPr>
          <w:rFonts w:ascii="Arial" w:hAnsi="Arial" w:cs="Arial"/>
          <w:color w:val="000000"/>
          <w:sz w:val="22"/>
          <w:szCs w:val="22"/>
        </w:rPr>
        <w:t xml:space="preserve">contributions from constituent authorities, </w:t>
      </w:r>
      <w:r w:rsidRPr="000D67C6">
        <w:rPr>
          <w:rFonts w:ascii="Arial" w:hAnsi="Arial" w:cs="Arial"/>
          <w:color w:val="000000"/>
          <w:sz w:val="22"/>
          <w:szCs w:val="22"/>
        </w:rPr>
        <w:t xml:space="preserve">government grants, </w:t>
      </w:r>
      <w:r w:rsidR="00F54FAD" w:rsidRPr="000D67C6">
        <w:rPr>
          <w:rFonts w:ascii="Arial" w:hAnsi="Arial" w:cs="Arial"/>
          <w:color w:val="000000"/>
          <w:sz w:val="22"/>
          <w:szCs w:val="22"/>
        </w:rPr>
        <w:t>other income etc.</w:t>
      </w:r>
      <w:r w:rsidRPr="000D67C6">
        <w:rPr>
          <w:rFonts w:ascii="Arial" w:hAnsi="Arial" w:cs="Arial"/>
          <w:color w:val="000000"/>
          <w:sz w:val="22"/>
          <w:szCs w:val="22"/>
        </w:rPr>
        <w:t xml:space="preserve">) by </w:t>
      </w:r>
      <w:r w:rsidR="00635DF1" w:rsidRPr="000D67C6">
        <w:rPr>
          <w:rFonts w:ascii="Arial" w:hAnsi="Arial" w:cs="Arial"/>
          <w:color w:val="000000"/>
          <w:sz w:val="22"/>
          <w:szCs w:val="22"/>
        </w:rPr>
        <w:t>the Authority</w:t>
      </w:r>
      <w:r w:rsidRPr="000D67C6">
        <w:rPr>
          <w:rFonts w:ascii="Arial" w:hAnsi="Arial" w:cs="Arial"/>
          <w:color w:val="000000"/>
          <w:sz w:val="22"/>
          <w:szCs w:val="22"/>
        </w:rPr>
        <w:t xml:space="preserve"> in comparison with those resources consumed or earned by </w:t>
      </w:r>
      <w:r w:rsidR="00635DF1" w:rsidRPr="000D67C6">
        <w:rPr>
          <w:rFonts w:ascii="Arial" w:hAnsi="Arial" w:cs="Arial"/>
          <w:color w:val="000000"/>
          <w:sz w:val="22"/>
          <w:szCs w:val="22"/>
        </w:rPr>
        <w:t>the Authority</w:t>
      </w:r>
      <w:r w:rsidRPr="000D67C6">
        <w:rPr>
          <w:rFonts w:ascii="Arial" w:hAnsi="Arial" w:cs="Arial"/>
          <w:color w:val="000000"/>
          <w:sz w:val="22"/>
          <w:szCs w:val="22"/>
        </w:rPr>
        <w:t xml:space="preserve"> in accordance with generally accepted accounting practices. Income and expenditure accounted for under generally accepted accounting practices is presented more fully in the Comprehensive Income and Expenditure Statement.</w:t>
      </w:r>
    </w:p>
    <w:p w14:paraId="5B568C0E" w14:textId="77777777" w:rsidR="00C954E7" w:rsidRPr="000D67C6" w:rsidRDefault="00C954E7" w:rsidP="00C954E7">
      <w:pPr>
        <w:jc w:val="both"/>
        <w:rPr>
          <w:rFonts w:ascii="Arial" w:hAnsi="Arial" w:cs="Arial"/>
          <w:sz w:val="22"/>
          <w:szCs w:val="22"/>
          <w:lang w:val="en-GB"/>
        </w:rPr>
      </w:pPr>
    </w:p>
    <w:p w14:paraId="2247CF87" w14:textId="77777777" w:rsidR="00E926C9" w:rsidRPr="000D67C6" w:rsidRDefault="00C954E7" w:rsidP="00C954E7">
      <w:pPr>
        <w:jc w:val="both"/>
        <w:rPr>
          <w:rFonts w:ascii="Arial" w:hAnsi="Arial" w:cs="Arial"/>
          <w:color w:val="000000"/>
          <w:sz w:val="22"/>
          <w:szCs w:val="22"/>
        </w:rPr>
      </w:pPr>
      <w:r w:rsidRPr="000D67C6">
        <w:rPr>
          <w:rFonts w:ascii="Arial" w:hAnsi="Arial" w:cs="Arial"/>
          <w:color w:val="000000"/>
          <w:sz w:val="22"/>
          <w:szCs w:val="22"/>
        </w:rPr>
        <w:t xml:space="preserve">The EFA is a note to the financial statements not a primary statement. However, it </w:t>
      </w:r>
      <w:r w:rsidR="000118B6" w:rsidRPr="000D67C6">
        <w:rPr>
          <w:rFonts w:ascii="Arial" w:hAnsi="Arial" w:cs="Arial"/>
          <w:color w:val="000000"/>
          <w:sz w:val="22"/>
          <w:szCs w:val="22"/>
        </w:rPr>
        <w:t>has</w:t>
      </w:r>
      <w:r w:rsidRPr="000D67C6">
        <w:rPr>
          <w:rFonts w:ascii="Arial" w:hAnsi="Arial" w:cs="Arial"/>
          <w:color w:val="000000"/>
          <w:sz w:val="22"/>
          <w:szCs w:val="22"/>
        </w:rPr>
        <w:t xml:space="preserve"> been positioned with the primary statements to aid the readers understanding.  </w:t>
      </w:r>
    </w:p>
    <w:tbl>
      <w:tblPr>
        <w:tblpPr w:leftFromText="180" w:rightFromText="180" w:vertAnchor="text" w:horzAnchor="margin" w:tblpXSpec="center" w:tblpY="201"/>
        <w:tblW w:w="9926" w:type="dxa"/>
        <w:tblLayout w:type="fixed"/>
        <w:tblLook w:val="04A0" w:firstRow="1" w:lastRow="0" w:firstColumn="1" w:lastColumn="0" w:noHBand="0" w:noVBand="1"/>
      </w:tblPr>
      <w:tblGrid>
        <w:gridCol w:w="1276"/>
        <w:gridCol w:w="1276"/>
        <w:gridCol w:w="1420"/>
        <w:gridCol w:w="1791"/>
        <w:gridCol w:w="1335"/>
        <w:gridCol w:w="1335"/>
        <w:gridCol w:w="1493"/>
      </w:tblGrid>
      <w:tr w:rsidR="00E926C9" w:rsidRPr="000D67C6" w14:paraId="425C5423" w14:textId="77777777" w:rsidTr="00361C5C">
        <w:trPr>
          <w:trHeight w:val="255"/>
        </w:trPr>
        <w:tc>
          <w:tcPr>
            <w:tcW w:w="3972" w:type="dxa"/>
            <w:gridSpan w:val="3"/>
            <w:shd w:val="clear" w:color="auto" w:fill="auto"/>
            <w:tcMar>
              <w:top w:w="20" w:type="dxa"/>
              <w:left w:w="20" w:type="dxa"/>
              <w:bottom w:w="20" w:type="dxa"/>
              <w:right w:w="20" w:type="dxa"/>
            </w:tcMar>
            <w:vAlign w:val="bottom"/>
          </w:tcPr>
          <w:p w14:paraId="37F12ABC" w14:textId="77777777" w:rsidR="00E926C9" w:rsidRPr="000D67C6" w:rsidRDefault="00371CDA" w:rsidP="00E926C9">
            <w:pPr>
              <w:pStyle w:val="T1TableStyle"/>
              <w:jc w:val="center"/>
              <w:rPr>
                <w:rFonts w:ascii="Arial" w:eastAsia="Verdana" w:hAnsi="Arial" w:cs="Arial"/>
                <w:b/>
                <w:sz w:val="18"/>
                <w:szCs w:val="18"/>
                <w:lang w:val="en-GB"/>
              </w:rPr>
            </w:pPr>
            <w:r w:rsidRPr="000D67C6">
              <w:rPr>
                <w:rFonts w:ascii="Arial" w:eastAsia="Verdana" w:hAnsi="Arial" w:cs="Arial"/>
                <w:b/>
                <w:sz w:val="18"/>
                <w:szCs w:val="18"/>
                <w:lang w:val="en-GB"/>
              </w:rPr>
              <w:t>201</w:t>
            </w:r>
            <w:r w:rsidR="00C002D2" w:rsidRPr="000D67C6">
              <w:rPr>
                <w:rFonts w:ascii="Arial" w:eastAsia="Verdana" w:hAnsi="Arial" w:cs="Arial"/>
                <w:b/>
                <w:sz w:val="18"/>
                <w:szCs w:val="18"/>
                <w:lang w:val="en-GB"/>
              </w:rPr>
              <w:t>7</w:t>
            </w:r>
            <w:r w:rsidRPr="000D67C6">
              <w:rPr>
                <w:rFonts w:ascii="Arial" w:eastAsia="Verdana" w:hAnsi="Arial" w:cs="Arial"/>
                <w:b/>
                <w:sz w:val="18"/>
                <w:szCs w:val="18"/>
                <w:lang w:val="en-GB"/>
              </w:rPr>
              <w:t>/1</w:t>
            </w:r>
            <w:r w:rsidR="00C002D2" w:rsidRPr="000D67C6">
              <w:rPr>
                <w:rFonts w:ascii="Arial" w:eastAsia="Verdana" w:hAnsi="Arial" w:cs="Arial"/>
                <w:b/>
                <w:sz w:val="18"/>
                <w:szCs w:val="18"/>
                <w:lang w:val="en-GB"/>
              </w:rPr>
              <w:t>8</w:t>
            </w:r>
          </w:p>
        </w:tc>
        <w:tc>
          <w:tcPr>
            <w:tcW w:w="1791" w:type="dxa"/>
            <w:shd w:val="clear" w:color="auto" w:fill="auto"/>
            <w:tcMar>
              <w:top w:w="20" w:type="dxa"/>
              <w:left w:w="20" w:type="dxa"/>
              <w:bottom w:w="20" w:type="dxa"/>
              <w:right w:w="20" w:type="dxa"/>
            </w:tcMar>
            <w:vAlign w:val="bottom"/>
          </w:tcPr>
          <w:p w14:paraId="3A014D15" w14:textId="77777777" w:rsidR="00E926C9" w:rsidRPr="000D67C6" w:rsidRDefault="00E926C9" w:rsidP="00E926C9">
            <w:pPr>
              <w:pStyle w:val="T1TableStyle"/>
              <w:jc w:val="center"/>
              <w:rPr>
                <w:rFonts w:ascii="Arial" w:eastAsia="Verdana" w:hAnsi="Arial" w:cs="Arial"/>
                <w:b/>
                <w:sz w:val="18"/>
                <w:szCs w:val="18"/>
                <w:lang w:val="en-GB"/>
              </w:rPr>
            </w:pPr>
            <w:r w:rsidRPr="000D67C6">
              <w:rPr>
                <w:rFonts w:ascii="Arial" w:eastAsia="Verdana" w:hAnsi="Arial" w:cs="Arial"/>
                <w:b/>
                <w:sz w:val="18"/>
                <w:szCs w:val="18"/>
                <w:lang w:val="en-GB"/>
              </w:rPr>
              <w:t xml:space="preserve"> </w:t>
            </w:r>
          </w:p>
        </w:tc>
        <w:tc>
          <w:tcPr>
            <w:tcW w:w="4163" w:type="dxa"/>
            <w:gridSpan w:val="3"/>
            <w:shd w:val="clear" w:color="auto" w:fill="auto"/>
            <w:tcMar>
              <w:top w:w="20" w:type="dxa"/>
              <w:left w:w="20" w:type="dxa"/>
              <w:bottom w:w="20" w:type="dxa"/>
              <w:right w:w="20" w:type="dxa"/>
            </w:tcMar>
            <w:vAlign w:val="bottom"/>
          </w:tcPr>
          <w:p w14:paraId="5EF6EFDA" w14:textId="77777777" w:rsidR="00E926C9" w:rsidRPr="000D67C6" w:rsidRDefault="00371CDA" w:rsidP="00E926C9">
            <w:pPr>
              <w:pStyle w:val="T1TableStyle"/>
              <w:jc w:val="center"/>
              <w:rPr>
                <w:rFonts w:ascii="Arial" w:eastAsia="Verdana" w:hAnsi="Arial" w:cs="Arial"/>
                <w:b/>
                <w:sz w:val="18"/>
                <w:szCs w:val="18"/>
                <w:lang w:val="en-GB"/>
              </w:rPr>
            </w:pPr>
            <w:r w:rsidRPr="000D67C6">
              <w:rPr>
                <w:rFonts w:ascii="Arial" w:eastAsia="Verdana" w:hAnsi="Arial" w:cs="Arial"/>
                <w:b/>
                <w:sz w:val="18"/>
                <w:szCs w:val="18"/>
                <w:lang w:val="en-GB"/>
              </w:rPr>
              <w:t>201</w:t>
            </w:r>
            <w:r w:rsidR="00C002D2" w:rsidRPr="000D67C6">
              <w:rPr>
                <w:rFonts w:ascii="Arial" w:eastAsia="Verdana" w:hAnsi="Arial" w:cs="Arial"/>
                <w:b/>
                <w:sz w:val="18"/>
                <w:szCs w:val="18"/>
                <w:lang w:val="en-GB"/>
              </w:rPr>
              <w:t>8/19</w:t>
            </w:r>
          </w:p>
        </w:tc>
      </w:tr>
      <w:tr w:rsidR="00E926C9" w:rsidRPr="000D67C6" w14:paraId="523EF5D3" w14:textId="77777777" w:rsidTr="00361C5C">
        <w:trPr>
          <w:trHeight w:val="1103"/>
        </w:trPr>
        <w:tc>
          <w:tcPr>
            <w:tcW w:w="1276" w:type="dxa"/>
            <w:shd w:val="clear" w:color="auto" w:fill="auto"/>
            <w:tcMar>
              <w:top w:w="20" w:type="dxa"/>
              <w:left w:w="20" w:type="dxa"/>
              <w:bottom w:w="20" w:type="dxa"/>
              <w:right w:w="20" w:type="dxa"/>
            </w:tcMar>
          </w:tcPr>
          <w:p w14:paraId="6B14A9AA"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Net Expenditure Chargeable to the General Fund Balance</w:t>
            </w:r>
          </w:p>
        </w:tc>
        <w:tc>
          <w:tcPr>
            <w:tcW w:w="1276" w:type="dxa"/>
            <w:shd w:val="clear" w:color="auto" w:fill="auto"/>
            <w:tcMar>
              <w:top w:w="20" w:type="dxa"/>
              <w:left w:w="20" w:type="dxa"/>
              <w:bottom w:w="20" w:type="dxa"/>
              <w:right w:w="20" w:type="dxa"/>
            </w:tcMar>
          </w:tcPr>
          <w:p w14:paraId="12BDCEA1" w14:textId="77777777" w:rsidR="008E28CA" w:rsidRPr="000D67C6" w:rsidRDefault="008E28CA" w:rsidP="00850C69">
            <w:pPr>
              <w:pStyle w:val="T1TableStyle"/>
              <w:jc w:val="right"/>
              <w:rPr>
                <w:rFonts w:ascii="Arial" w:eastAsia="Verdana" w:hAnsi="Arial" w:cs="Arial"/>
                <w:b/>
                <w:sz w:val="18"/>
                <w:szCs w:val="18"/>
                <w:lang w:val="en-GB"/>
              </w:rPr>
            </w:pPr>
          </w:p>
          <w:p w14:paraId="16ACB14F"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Adjustments</w:t>
            </w:r>
            <w:r w:rsidR="00867351" w:rsidRPr="000D67C6">
              <w:rPr>
                <w:rFonts w:ascii="Arial" w:eastAsia="Verdana" w:hAnsi="Arial" w:cs="Arial"/>
                <w:b/>
                <w:sz w:val="18"/>
                <w:szCs w:val="18"/>
                <w:lang w:val="en-GB"/>
              </w:rPr>
              <w:t xml:space="preserve"> between the Funding &amp; Accounting Basis</w:t>
            </w:r>
          </w:p>
        </w:tc>
        <w:tc>
          <w:tcPr>
            <w:tcW w:w="1420" w:type="dxa"/>
            <w:shd w:val="clear" w:color="auto" w:fill="auto"/>
            <w:tcMar>
              <w:top w:w="20" w:type="dxa"/>
              <w:left w:w="20" w:type="dxa"/>
              <w:bottom w:w="20" w:type="dxa"/>
              <w:right w:w="20" w:type="dxa"/>
            </w:tcMar>
          </w:tcPr>
          <w:p w14:paraId="7A1AEDBA"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Net Expenditure in</w:t>
            </w:r>
          </w:p>
          <w:p w14:paraId="761EE417"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Comprehensive </w:t>
            </w:r>
          </w:p>
          <w:p w14:paraId="1A21395F"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Income and Expenditure Statement</w:t>
            </w:r>
          </w:p>
        </w:tc>
        <w:tc>
          <w:tcPr>
            <w:tcW w:w="1791" w:type="dxa"/>
            <w:shd w:val="clear" w:color="auto" w:fill="auto"/>
            <w:tcMar>
              <w:top w:w="20" w:type="dxa"/>
              <w:left w:w="20" w:type="dxa"/>
              <w:bottom w:w="20" w:type="dxa"/>
              <w:right w:w="20" w:type="dxa"/>
            </w:tcMar>
            <w:vAlign w:val="bottom"/>
          </w:tcPr>
          <w:p w14:paraId="07A2C476"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 </w:t>
            </w:r>
          </w:p>
        </w:tc>
        <w:tc>
          <w:tcPr>
            <w:tcW w:w="1335" w:type="dxa"/>
            <w:shd w:val="clear" w:color="auto" w:fill="auto"/>
            <w:tcMar>
              <w:top w:w="20" w:type="dxa"/>
              <w:left w:w="20" w:type="dxa"/>
              <w:bottom w:w="20" w:type="dxa"/>
              <w:right w:w="20" w:type="dxa"/>
            </w:tcMar>
          </w:tcPr>
          <w:p w14:paraId="0A579945"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Net Expenditure Chargeable to the General Fund Balance</w:t>
            </w:r>
          </w:p>
        </w:tc>
        <w:tc>
          <w:tcPr>
            <w:tcW w:w="1335" w:type="dxa"/>
            <w:shd w:val="clear" w:color="auto" w:fill="auto"/>
            <w:tcMar>
              <w:top w:w="20" w:type="dxa"/>
              <w:left w:w="20" w:type="dxa"/>
              <w:bottom w:w="20" w:type="dxa"/>
              <w:right w:w="20" w:type="dxa"/>
            </w:tcMar>
          </w:tcPr>
          <w:p w14:paraId="5D9F9A98" w14:textId="77777777" w:rsidR="008E28CA" w:rsidRPr="000D67C6" w:rsidRDefault="008E28CA" w:rsidP="00850C69">
            <w:pPr>
              <w:pStyle w:val="T1TableStyle"/>
              <w:jc w:val="right"/>
              <w:rPr>
                <w:rFonts w:ascii="Arial" w:eastAsia="Verdana" w:hAnsi="Arial" w:cs="Arial"/>
                <w:b/>
                <w:sz w:val="18"/>
                <w:szCs w:val="18"/>
                <w:lang w:val="en-GB"/>
              </w:rPr>
            </w:pPr>
          </w:p>
          <w:p w14:paraId="4EFAB1B4" w14:textId="77777777" w:rsidR="00E926C9" w:rsidRPr="000D67C6" w:rsidRDefault="00867351"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Adjustments between the Funding &amp; Accounting Basis</w:t>
            </w:r>
          </w:p>
        </w:tc>
        <w:tc>
          <w:tcPr>
            <w:tcW w:w="1493" w:type="dxa"/>
            <w:shd w:val="clear" w:color="auto" w:fill="auto"/>
            <w:tcMar>
              <w:top w:w="20" w:type="dxa"/>
              <w:left w:w="20" w:type="dxa"/>
              <w:bottom w:w="20" w:type="dxa"/>
              <w:right w:w="20" w:type="dxa"/>
            </w:tcMar>
          </w:tcPr>
          <w:p w14:paraId="0280233B"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Net </w:t>
            </w:r>
          </w:p>
          <w:p w14:paraId="08D443F0" w14:textId="77777777" w:rsidR="00E926C9" w:rsidRPr="000D67C6" w:rsidRDefault="00E926C9" w:rsidP="00850C69">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Expenditure in Comprehensive Income and Expenditure Statement</w:t>
            </w:r>
          </w:p>
        </w:tc>
      </w:tr>
      <w:tr w:rsidR="00E926C9" w:rsidRPr="000D67C6" w14:paraId="14B9E55F" w14:textId="77777777" w:rsidTr="00361C5C">
        <w:trPr>
          <w:trHeight w:val="48"/>
        </w:trPr>
        <w:tc>
          <w:tcPr>
            <w:tcW w:w="1276" w:type="dxa"/>
            <w:tcBorders>
              <w:bottom w:val="single" w:sz="2" w:space="0" w:color="000000"/>
            </w:tcBorders>
            <w:shd w:val="clear" w:color="auto" w:fill="auto"/>
            <w:tcMar>
              <w:top w:w="20" w:type="dxa"/>
              <w:left w:w="20" w:type="dxa"/>
              <w:bottom w:w="20" w:type="dxa"/>
              <w:right w:w="20" w:type="dxa"/>
            </w:tcMar>
            <w:vAlign w:val="bottom"/>
          </w:tcPr>
          <w:p w14:paraId="546993DB"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715A1EE8"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20" w:type="dxa"/>
            <w:tcBorders>
              <w:bottom w:val="single" w:sz="2" w:space="0" w:color="000000"/>
            </w:tcBorders>
            <w:shd w:val="clear" w:color="auto" w:fill="auto"/>
            <w:tcMar>
              <w:top w:w="20" w:type="dxa"/>
              <w:left w:w="20" w:type="dxa"/>
              <w:bottom w:w="20" w:type="dxa"/>
              <w:right w:w="20" w:type="dxa"/>
            </w:tcMar>
            <w:vAlign w:val="bottom"/>
          </w:tcPr>
          <w:p w14:paraId="2960AF21"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791" w:type="dxa"/>
            <w:tcBorders>
              <w:bottom w:val="single" w:sz="2" w:space="0" w:color="000000"/>
            </w:tcBorders>
            <w:shd w:val="clear" w:color="auto" w:fill="auto"/>
            <w:tcMar>
              <w:top w:w="20" w:type="dxa"/>
              <w:left w:w="20" w:type="dxa"/>
              <w:bottom w:w="20" w:type="dxa"/>
              <w:right w:w="20" w:type="dxa"/>
            </w:tcMar>
            <w:vAlign w:val="bottom"/>
          </w:tcPr>
          <w:p w14:paraId="7D2B60C6"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vAlign w:val="bottom"/>
          </w:tcPr>
          <w:p w14:paraId="042C7954"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14:paraId="3937467C"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93" w:type="dxa"/>
            <w:tcBorders>
              <w:bottom w:val="single" w:sz="2" w:space="0" w:color="000000"/>
            </w:tcBorders>
            <w:shd w:val="clear" w:color="auto" w:fill="auto"/>
            <w:tcMar>
              <w:top w:w="20" w:type="dxa"/>
              <w:left w:w="20" w:type="dxa"/>
              <w:bottom w:w="20" w:type="dxa"/>
              <w:right w:w="20" w:type="dxa"/>
            </w:tcMar>
            <w:vAlign w:val="bottom"/>
          </w:tcPr>
          <w:p w14:paraId="1897DB04" w14:textId="77777777" w:rsidR="00E926C9" w:rsidRPr="000D67C6" w:rsidRDefault="00E926C9" w:rsidP="00E926C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C002D2" w:rsidRPr="000D67C6" w14:paraId="11424FD6" w14:textId="77777777" w:rsidTr="00D603A4">
        <w:trPr>
          <w:trHeight w:val="255"/>
        </w:trPr>
        <w:tc>
          <w:tcPr>
            <w:tcW w:w="1276" w:type="dxa"/>
            <w:shd w:val="clear" w:color="auto" w:fill="auto"/>
            <w:tcMar>
              <w:top w:w="20" w:type="dxa"/>
              <w:left w:w="20" w:type="dxa"/>
              <w:bottom w:w="20" w:type="dxa"/>
              <w:right w:w="20" w:type="dxa"/>
            </w:tcMar>
            <w:vAlign w:val="center"/>
          </w:tcPr>
          <w:p w14:paraId="3AA13AD7"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42,476</w:t>
            </w:r>
          </w:p>
        </w:tc>
        <w:tc>
          <w:tcPr>
            <w:tcW w:w="1276" w:type="dxa"/>
            <w:shd w:val="clear" w:color="auto" w:fill="auto"/>
            <w:tcMar>
              <w:top w:w="20" w:type="dxa"/>
              <w:left w:w="20" w:type="dxa"/>
              <w:bottom w:w="20" w:type="dxa"/>
              <w:right w:w="20" w:type="dxa"/>
            </w:tcMar>
            <w:vAlign w:val="center"/>
          </w:tcPr>
          <w:p w14:paraId="565B0EF7"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2,011</w:t>
            </w:r>
          </w:p>
        </w:tc>
        <w:tc>
          <w:tcPr>
            <w:tcW w:w="1420" w:type="dxa"/>
            <w:shd w:val="clear" w:color="auto" w:fill="auto"/>
            <w:tcMar>
              <w:top w:w="20" w:type="dxa"/>
              <w:left w:w="20" w:type="dxa"/>
              <w:bottom w:w="20" w:type="dxa"/>
              <w:right w:w="20" w:type="dxa"/>
            </w:tcMar>
            <w:vAlign w:val="center"/>
          </w:tcPr>
          <w:p w14:paraId="7E59F0CB"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44,487</w:t>
            </w:r>
          </w:p>
        </w:tc>
        <w:tc>
          <w:tcPr>
            <w:tcW w:w="1791" w:type="dxa"/>
            <w:shd w:val="clear" w:color="auto" w:fill="auto"/>
            <w:tcMar>
              <w:top w:w="20" w:type="dxa"/>
              <w:left w:w="20" w:type="dxa"/>
              <w:bottom w:w="20" w:type="dxa"/>
              <w:right w:w="20" w:type="dxa"/>
            </w:tcMar>
            <w:vAlign w:val="center"/>
          </w:tcPr>
          <w:p w14:paraId="5B779E7F"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Provision of Fire Services</w:t>
            </w:r>
          </w:p>
        </w:tc>
        <w:tc>
          <w:tcPr>
            <w:tcW w:w="1335" w:type="dxa"/>
            <w:shd w:val="clear" w:color="auto" w:fill="auto"/>
            <w:tcMar>
              <w:top w:w="20" w:type="dxa"/>
              <w:left w:w="20" w:type="dxa"/>
              <w:bottom w:w="20" w:type="dxa"/>
              <w:right w:w="20" w:type="dxa"/>
            </w:tcMar>
            <w:vAlign w:val="center"/>
          </w:tcPr>
          <w:p w14:paraId="170846A1" w14:textId="573556DB" w:rsidR="00C002D2" w:rsidRPr="000D67C6" w:rsidRDefault="0073328B"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43,</w:t>
            </w:r>
            <w:r w:rsidR="00094B08" w:rsidRPr="000D67C6">
              <w:rPr>
                <w:rFonts w:ascii="Arial" w:eastAsia="Verdana" w:hAnsi="Arial" w:cs="Arial"/>
                <w:color w:val="000000"/>
                <w:sz w:val="20"/>
                <w:szCs w:val="20"/>
                <w:lang w:val="en-GB"/>
              </w:rPr>
              <w:t>020</w:t>
            </w:r>
          </w:p>
        </w:tc>
        <w:tc>
          <w:tcPr>
            <w:tcW w:w="1335" w:type="dxa"/>
            <w:shd w:val="clear" w:color="auto" w:fill="auto"/>
            <w:tcMar>
              <w:top w:w="20" w:type="dxa"/>
              <w:left w:w="20" w:type="dxa"/>
              <w:bottom w:w="20" w:type="dxa"/>
              <w:right w:w="20" w:type="dxa"/>
            </w:tcMar>
            <w:vAlign w:val="center"/>
          </w:tcPr>
          <w:p w14:paraId="338A55D2" w14:textId="02588E81" w:rsidR="00C002D2" w:rsidRPr="000D67C6" w:rsidRDefault="00E87AE3"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2</w:t>
            </w:r>
            <w:r w:rsidR="00947267">
              <w:rPr>
                <w:rFonts w:ascii="Arial" w:eastAsia="Verdana" w:hAnsi="Arial" w:cs="Arial"/>
                <w:color w:val="000000"/>
                <w:sz w:val="20"/>
                <w:szCs w:val="20"/>
                <w:lang w:val="en-GB"/>
              </w:rPr>
              <w:t>7</w:t>
            </w:r>
            <w:r w:rsidR="00184871" w:rsidRPr="000D67C6">
              <w:rPr>
                <w:rFonts w:ascii="Arial" w:eastAsia="Verdana" w:hAnsi="Arial" w:cs="Arial"/>
                <w:color w:val="000000"/>
                <w:sz w:val="20"/>
                <w:szCs w:val="20"/>
                <w:lang w:val="en-GB"/>
              </w:rPr>
              <w:t>,</w:t>
            </w:r>
            <w:r w:rsidR="00947267">
              <w:rPr>
                <w:rFonts w:ascii="Arial" w:eastAsia="Verdana" w:hAnsi="Arial" w:cs="Arial"/>
                <w:color w:val="000000"/>
                <w:sz w:val="20"/>
                <w:szCs w:val="20"/>
                <w:lang w:val="en-GB"/>
              </w:rPr>
              <w:t>3</w:t>
            </w:r>
            <w:r w:rsidR="00184871" w:rsidRPr="000D67C6">
              <w:rPr>
                <w:rFonts w:ascii="Arial" w:eastAsia="Verdana" w:hAnsi="Arial" w:cs="Arial"/>
                <w:color w:val="000000"/>
                <w:sz w:val="20"/>
                <w:szCs w:val="20"/>
                <w:lang w:val="en-GB"/>
              </w:rPr>
              <w:t>61</w:t>
            </w:r>
          </w:p>
        </w:tc>
        <w:tc>
          <w:tcPr>
            <w:tcW w:w="1493" w:type="dxa"/>
            <w:shd w:val="clear" w:color="auto" w:fill="auto"/>
            <w:tcMar>
              <w:top w:w="20" w:type="dxa"/>
              <w:left w:w="20" w:type="dxa"/>
              <w:bottom w:w="20" w:type="dxa"/>
              <w:right w:w="20" w:type="dxa"/>
            </w:tcMar>
            <w:vAlign w:val="center"/>
          </w:tcPr>
          <w:p w14:paraId="5D0B3021" w14:textId="2487AEA6" w:rsidR="00C002D2" w:rsidRPr="000D67C6" w:rsidRDefault="009824E4" w:rsidP="00C002D2">
            <w:pPr>
              <w:pStyle w:val="T1TableStyle"/>
              <w:jc w:val="right"/>
              <w:rPr>
                <w:rFonts w:ascii="Arial" w:eastAsia="Verdana" w:hAnsi="Arial" w:cs="Arial"/>
                <w:color w:val="000000"/>
                <w:sz w:val="20"/>
                <w:szCs w:val="20"/>
                <w:lang w:val="en-GB"/>
              </w:rPr>
            </w:pPr>
            <w:r>
              <w:rPr>
                <w:rFonts w:ascii="Arial" w:eastAsia="Verdana" w:hAnsi="Arial" w:cs="Arial"/>
                <w:color w:val="000000"/>
                <w:sz w:val="20"/>
                <w:szCs w:val="20"/>
                <w:lang w:val="en-GB"/>
              </w:rPr>
              <w:t>70</w:t>
            </w:r>
            <w:r w:rsidR="00184871" w:rsidRPr="000D67C6">
              <w:rPr>
                <w:rFonts w:ascii="Arial" w:eastAsia="Verdana" w:hAnsi="Arial" w:cs="Arial"/>
                <w:color w:val="000000"/>
                <w:sz w:val="20"/>
                <w:szCs w:val="20"/>
                <w:lang w:val="en-GB"/>
              </w:rPr>
              <w:t>,</w:t>
            </w:r>
            <w:r w:rsidR="008276E8">
              <w:rPr>
                <w:rFonts w:ascii="Arial" w:eastAsia="Verdana" w:hAnsi="Arial" w:cs="Arial"/>
                <w:color w:val="000000"/>
                <w:sz w:val="20"/>
                <w:szCs w:val="20"/>
                <w:lang w:val="en-GB"/>
              </w:rPr>
              <w:t>3</w:t>
            </w:r>
            <w:r w:rsidR="00184871" w:rsidRPr="000D67C6">
              <w:rPr>
                <w:rFonts w:ascii="Arial" w:eastAsia="Verdana" w:hAnsi="Arial" w:cs="Arial"/>
                <w:color w:val="000000"/>
                <w:sz w:val="20"/>
                <w:szCs w:val="20"/>
                <w:lang w:val="en-GB"/>
              </w:rPr>
              <w:t>81</w:t>
            </w:r>
          </w:p>
        </w:tc>
      </w:tr>
      <w:tr w:rsidR="00C002D2" w:rsidRPr="000D67C6" w14:paraId="0CC4F0C7" w14:textId="77777777" w:rsidTr="00D603A4">
        <w:trPr>
          <w:trHeight w:hRule="exact" w:val="90"/>
        </w:trPr>
        <w:tc>
          <w:tcPr>
            <w:tcW w:w="1276" w:type="dxa"/>
            <w:shd w:val="clear" w:color="auto" w:fill="auto"/>
            <w:tcMar>
              <w:top w:w="20" w:type="dxa"/>
              <w:left w:w="20" w:type="dxa"/>
              <w:bottom w:w="20" w:type="dxa"/>
              <w:right w:w="20" w:type="dxa"/>
            </w:tcMar>
            <w:vAlign w:val="center"/>
          </w:tcPr>
          <w:p w14:paraId="37FD8329" w14:textId="77777777" w:rsidR="00C002D2" w:rsidRPr="000D67C6" w:rsidRDefault="00C002D2" w:rsidP="00C002D2">
            <w:pPr>
              <w:pStyle w:val="T1TableStyle"/>
              <w:jc w:val="center"/>
              <w:rPr>
                <w:rFonts w:ascii="Arial" w:eastAsia="Calibri" w:hAnsi="Arial" w:cs="Arial"/>
                <w:sz w:val="20"/>
                <w:szCs w:val="20"/>
                <w:lang w:val="en-GB"/>
              </w:rPr>
            </w:pPr>
          </w:p>
        </w:tc>
        <w:tc>
          <w:tcPr>
            <w:tcW w:w="1276" w:type="dxa"/>
            <w:shd w:val="clear" w:color="auto" w:fill="auto"/>
            <w:tcMar>
              <w:top w:w="20" w:type="dxa"/>
              <w:left w:w="20" w:type="dxa"/>
              <w:bottom w:w="20" w:type="dxa"/>
              <w:right w:w="20" w:type="dxa"/>
            </w:tcMar>
            <w:vAlign w:val="center"/>
          </w:tcPr>
          <w:p w14:paraId="139D7B23" w14:textId="77777777" w:rsidR="00C002D2" w:rsidRPr="000D67C6" w:rsidRDefault="00C002D2" w:rsidP="00C002D2">
            <w:pPr>
              <w:pStyle w:val="T1TableStyle"/>
              <w:jc w:val="center"/>
              <w:rPr>
                <w:rFonts w:ascii="Arial" w:eastAsia="Calibri" w:hAnsi="Arial" w:cs="Arial"/>
                <w:sz w:val="20"/>
                <w:szCs w:val="20"/>
                <w:lang w:val="en-GB"/>
              </w:rPr>
            </w:pPr>
          </w:p>
        </w:tc>
        <w:tc>
          <w:tcPr>
            <w:tcW w:w="1420" w:type="dxa"/>
            <w:shd w:val="clear" w:color="auto" w:fill="auto"/>
            <w:tcMar>
              <w:top w:w="20" w:type="dxa"/>
              <w:left w:w="20" w:type="dxa"/>
              <w:bottom w:w="20" w:type="dxa"/>
              <w:right w:w="20" w:type="dxa"/>
            </w:tcMar>
            <w:vAlign w:val="center"/>
          </w:tcPr>
          <w:p w14:paraId="1B89ACE2" w14:textId="77777777" w:rsidR="00C002D2" w:rsidRPr="000D67C6" w:rsidRDefault="00C002D2" w:rsidP="00C002D2">
            <w:pPr>
              <w:pStyle w:val="T1TableStyle"/>
              <w:jc w:val="center"/>
              <w:rPr>
                <w:rFonts w:ascii="Arial" w:eastAsia="Calibri" w:hAnsi="Arial" w:cs="Arial"/>
                <w:sz w:val="20"/>
                <w:szCs w:val="20"/>
                <w:lang w:val="en-GB"/>
              </w:rPr>
            </w:pPr>
          </w:p>
        </w:tc>
        <w:tc>
          <w:tcPr>
            <w:tcW w:w="1791" w:type="dxa"/>
            <w:shd w:val="clear" w:color="auto" w:fill="auto"/>
            <w:tcMar>
              <w:top w:w="20" w:type="dxa"/>
              <w:left w:w="20" w:type="dxa"/>
              <w:bottom w:w="20" w:type="dxa"/>
              <w:right w:w="20" w:type="dxa"/>
            </w:tcMar>
            <w:vAlign w:val="center"/>
          </w:tcPr>
          <w:p w14:paraId="0BBA124D"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335" w:type="dxa"/>
            <w:shd w:val="clear" w:color="auto" w:fill="auto"/>
            <w:tcMar>
              <w:top w:w="20" w:type="dxa"/>
              <w:left w:w="20" w:type="dxa"/>
              <w:bottom w:w="20" w:type="dxa"/>
              <w:right w:w="20" w:type="dxa"/>
            </w:tcMar>
            <w:vAlign w:val="center"/>
          </w:tcPr>
          <w:p w14:paraId="7C5CD049" w14:textId="77777777" w:rsidR="00C002D2" w:rsidRPr="000D67C6" w:rsidRDefault="00C002D2" w:rsidP="00C002D2">
            <w:pPr>
              <w:pStyle w:val="T1TableStyle"/>
              <w:jc w:val="center"/>
              <w:rPr>
                <w:rFonts w:ascii="Arial" w:eastAsia="Calibri" w:hAnsi="Arial" w:cs="Arial"/>
                <w:sz w:val="20"/>
                <w:szCs w:val="20"/>
                <w:lang w:val="en-GB"/>
              </w:rPr>
            </w:pPr>
          </w:p>
        </w:tc>
        <w:tc>
          <w:tcPr>
            <w:tcW w:w="1335" w:type="dxa"/>
            <w:shd w:val="clear" w:color="auto" w:fill="auto"/>
            <w:tcMar>
              <w:top w:w="20" w:type="dxa"/>
              <w:left w:w="20" w:type="dxa"/>
              <w:bottom w:w="20" w:type="dxa"/>
              <w:right w:w="20" w:type="dxa"/>
            </w:tcMar>
            <w:vAlign w:val="center"/>
          </w:tcPr>
          <w:p w14:paraId="0FAF8931" w14:textId="77777777" w:rsidR="00C002D2" w:rsidRPr="000D67C6" w:rsidRDefault="00C002D2" w:rsidP="00C002D2">
            <w:pPr>
              <w:pStyle w:val="T1TableStyle"/>
              <w:jc w:val="center"/>
              <w:rPr>
                <w:rFonts w:ascii="Arial" w:eastAsia="Calibri" w:hAnsi="Arial" w:cs="Arial"/>
                <w:sz w:val="20"/>
                <w:szCs w:val="20"/>
                <w:lang w:val="en-GB"/>
              </w:rPr>
            </w:pPr>
          </w:p>
        </w:tc>
        <w:tc>
          <w:tcPr>
            <w:tcW w:w="1493" w:type="dxa"/>
            <w:shd w:val="clear" w:color="auto" w:fill="auto"/>
            <w:tcMar>
              <w:top w:w="20" w:type="dxa"/>
              <w:left w:w="20" w:type="dxa"/>
              <w:bottom w:w="20" w:type="dxa"/>
              <w:right w:w="20" w:type="dxa"/>
            </w:tcMar>
            <w:vAlign w:val="center"/>
          </w:tcPr>
          <w:p w14:paraId="5C2EDC43" w14:textId="77777777" w:rsidR="00C002D2" w:rsidRPr="000D67C6" w:rsidRDefault="00C002D2" w:rsidP="00C002D2">
            <w:pPr>
              <w:pStyle w:val="T1TableStyle"/>
              <w:jc w:val="center"/>
              <w:rPr>
                <w:rFonts w:ascii="Arial" w:eastAsia="Calibri" w:hAnsi="Arial" w:cs="Arial"/>
                <w:sz w:val="20"/>
                <w:szCs w:val="20"/>
                <w:lang w:val="en-GB"/>
              </w:rPr>
            </w:pPr>
          </w:p>
        </w:tc>
      </w:tr>
      <w:tr w:rsidR="00C002D2" w:rsidRPr="000D67C6" w14:paraId="4B9A452C" w14:textId="77777777" w:rsidTr="00D603A4">
        <w:trPr>
          <w:trHeight w:val="420"/>
        </w:trPr>
        <w:tc>
          <w:tcPr>
            <w:tcW w:w="1276" w:type="dxa"/>
            <w:shd w:val="clear" w:color="auto" w:fill="auto"/>
            <w:tcMar>
              <w:top w:w="20" w:type="dxa"/>
              <w:left w:w="20" w:type="dxa"/>
              <w:bottom w:w="20" w:type="dxa"/>
              <w:right w:w="20" w:type="dxa"/>
            </w:tcMar>
            <w:vAlign w:val="center"/>
          </w:tcPr>
          <w:p w14:paraId="7A55AE1F"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(41,516)</w:t>
            </w:r>
          </w:p>
        </w:tc>
        <w:tc>
          <w:tcPr>
            <w:tcW w:w="1276" w:type="dxa"/>
            <w:shd w:val="clear" w:color="auto" w:fill="auto"/>
            <w:tcMar>
              <w:top w:w="20" w:type="dxa"/>
              <w:left w:w="20" w:type="dxa"/>
              <w:bottom w:w="20" w:type="dxa"/>
              <w:right w:w="20" w:type="dxa"/>
            </w:tcMar>
            <w:vAlign w:val="center"/>
          </w:tcPr>
          <w:p w14:paraId="4405E56E"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8,342</w:t>
            </w:r>
          </w:p>
        </w:tc>
        <w:tc>
          <w:tcPr>
            <w:tcW w:w="1420" w:type="dxa"/>
            <w:shd w:val="clear" w:color="auto" w:fill="auto"/>
            <w:tcMar>
              <w:top w:w="20" w:type="dxa"/>
              <w:left w:w="20" w:type="dxa"/>
              <w:bottom w:w="20" w:type="dxa"/>
              <w:right w:w="20" w:type="dxa"/>
            </w:tcMar>
            <w:vAlign w:val="center"/>
          </w:tcPr>
          <w:p w14:paraId="313F84B4"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(33,174)</w:t>
            </w:r>
          </w:p>
        </w:tc>
        <w:tc>
          <w:tcPr>
            <w:tcW w:w="1791" w:type="dxa"/>
            <w:shd w:val="clear" w:color="auto" w:fill="auto"/>
            <w:tcMar>
              <w:top w:w="20" w:type="dxa"/>
              <w:left w:w="20" w:type="dxa"/>
              <w:bottom w:w="20" w:type="dxa"/>
              <w:right w:w="20" w:type="dxa"/>
            </w:tcMar>
            <w:vAlign w:val="center"/>
          </w:tcPr>
          <w:p w14:paraId="6CD2BBC3"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Other Income and Expenditure</w:t>
            </w:r>
          </w:p>
        </w:tc>
        <w:tc>
          <w:tcPr>
            <w:tcW w:w="1335" w:type="dxa"/>
            <w:shd w:val="clear" w:color="auto" w:fill="auto"/>
            <w:tcMar>
              <w:top w:w="20" w:type="dxa"/>
              <w:left w:w="20" w:type="dxa"/>
              <w:bottom w:w="20" w:type="dxa"/>
              <w:right w:w="20" w:type="dxa"/>
            </w:tcMar>
            <w:vAlign w:val="center"/>
          </w:tcPr>
          <w:p w14:paraId="6B7A27E4" w14:textId="69B02361" w:rsidR="00C002D2" w:rsidRPr="000D67C6" w:rsidRDefault="00621F87"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(43,</w:t>
            </w:r>
            <w:r w:rsidR="0063300A" w:rsidRPr="000D67C6">
              <w:rPr>
                <w:rFonts w:ascii="Arial" w:eastAsia="Verdana" w:hAnsi="Arial" w:cs="Arial"/>
                <w:color w:val="000000"/>
                <w:sz w:val="20"/>
                <w:szCs w:val="20"/>
                <w:lang w:val="en-GB"/>
              </w:rPr>
              <w:t>590</w:t>
            </w:r>
            <w:r w:rsidRPr="000D67C6">
              <w:rPr>
                <w:rFonts w:ascii="Arial" w:eastAsia="Verdana" w:hAnsi="Arial" w:cs="Arial"/>
                <w:color w:val="000000"/>
                <w:sz w:val="20"/>
                <w:szCs w:val="20"/>
                <w:lang w:val="en-GB"/>
              </w:rPr>
              <w:t>)</w:t>
            </w:r>
          </w:p>
        </w:tc>
        <w:tc>
          <w:tcPr>
            <w:tcW w:w="1335" w:type="dxa"/>
            <w:shd w:val="clear" w:color="auto" w:fill="auto"/>
            <w:tcMar>
              <w:top w:w="20" w:type="dxa"/>
              <w:left w:w="20" w:type="dxa"/>
              <w:bottom w:w="20" w:type="dxa"/>
              <w:right w:w="20" w:type="dxa"/>
            </w:tcMar>
            <w:vAlign w:val="center"/>
          </w:tcPr>
          <w:p w14:paraId="48594000" w14:textId="77777777" w:rsidR="00C002D2" w:rsidRPr="000D67C6" w:rsidRDefault="00621F87"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10,232</w:t>
            </w:r>
          </w:p>
        </w:tc>
        <w:tc>
          <w:tcPr>
            <w:tcW w:w="1493" w:type="dxa"/>
            <w:shd w:val="clear" w:color="auto" w:fill="auto"/>
            <w:tcMar>
              <w:top w:w="20" w:type="dxa"/>
              <w:left w:w="20" w:type="dxa"/>
              <w:bottom w:w="20" w:type="dxa"/>
              <w:right w:w="20" w:type="dxa"/>
            </w:tcMar>
            <w:vAlign w:val="center"/>
          </w:tcPr>
          <w:p w14:paraId="22F928AD" w14:textId="075D9577" w:rsidR="00C002D2" w:rsidRPr="000D67C6" w:rsidRDefault="00621F87"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(33,</w:t>
            </w:r>
            <w:r w:rsidR="00494A70" w:rsidRPr="000D67C6">
              <w:rPr>
                <w:rFonts w:ascii="Arial" w:eastAsia="Verdana" w:hAnsi="Arial" w:cs="Arial"/>
                <w:color w:val="000000"/>
                <w:sz w:val="20"/>
                <w:szCs w:val="20"/>
                <w:lang w:val="en-GB"/>
              </w:rPr>
              <w:t>358</w:t>
            </w:r>
            <w:r w:rsidRPr="000D67C6">
              <w:rPr>
                <w:rFonts w:ascii="Arial" w:eastAsia="Verdana" w:hAnsi="Arial" w:cs="Arial"/>
                <w:color w:val="000000"/>
                <w:sz w:val="20"/>
                <w:szCs w:val="20"/>
                <w:lang w:val="en-GB"/>
              </w:rPr>
              <w:t>)</w:t>
            </w:r>
          </w:p>
        </w:tc>
      </w:tr>
      <w:tr w:rsidR="00C002D2" w:rsidRPr="000D67C6" w14:paraId="5261469A" w14:textId="77777777" w:rsidTr="00D603A4">
        <w:trPr>
          <w:trHeight w:val="501"/>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85C7808"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960</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E75BCF3"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10,353</w:t>
            </w:r>
          </w:p>
        </w:tc>
        <w:tc>
          <w:tcPr>
            <w:tcW w:w="142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5DE7B6F"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11,313</w:t>
            </w:r>
          </w:p>
        </w:tc>
        <w:tc>
          <w:tcPr>
            <w:tcW w:w="179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3324443"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(Surplus) or Deficit on Provision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A71B09B" w14:textId="77777777" w:rsidR="00C002D2" w:rsidRPr="000D67C6" w:rsidRDefault="00B3725F"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w:t>
            </w:r>
            <w:r w:rsidR="00904716" w:rsidRPr="000D67C6">
              <w:rPr>
                <w:rFonts w:ascii="Arial" w:eastAsia="Verdana" w:hAnsi="Arial" w:cs="Arial"/>
                <w:b/>
                <w:sz w:val="20"/>
                <w:szCs w:val="20"/>
                <w:lang w:val="en-GB"/>
              </w:rPr>
              <w:t>570</w:t>
            </w:r>
            <w:r w:rsidRPr="000D67C6">
              <w:rPr>
                <w:rFonts w:ascii="Arial" w:eastAsia="Verdana" w:hAnsi="Arial" w:cs="Arial"/>
                <w:b/>
                <w:sz w:val="20"/>
                <w:szCs w:val="20"/>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691043A" w14:textId="5B52E75C" w:rsidR="00C002D2" w:rsidRPr="000D67C6" w:rsidRDefault="00184871"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BC502A">
              <w:rPr>
                <w:rFonts w:ascii="Arial" w:eastAsia="Verdana" w:hAnsi="Arial" w:cs="Arial"/>
                <w:b/>
                <w:sz w:val="20"/>
                <w:szCs w:val="20"/>
                <w:lang w:val="en-GB"/>
              </w:rPr>
              <w:t>7</w:t>
            </w:r>
            <w:r w:rsidRPr="000D67C6">
              <w:rPr>
                <w:rFonts w:ascii="Arial" w:eastAsia="Verdana" w:hAnsi="Arial" w:cs="Arial"/>
                <w:b/>
                <w:sz w:val="20"/>
                <w:szCs w:val="20"/>
                <w:lang w:val="en-GB"/>
              </w:rPr>
              <w:t>,</w:t>
            </w:r>
            <w:r w:rsidR="007C2800">
              <w:rPr>
                <w:rFonts w:ascii="Arial" w:eastAsia="Verdana" w:hAnsi="Arial" w:cs="Arial"/>
                <w:b/>
                <w:sz w:val="20"/>
                <w:szCs w:val="20"/>
                <w:lang w:val="en-GB"/>
              </w:rPr>
              <w:t>593</w:t>
            </w:r>
          </w:p>
        </w:tc>
        <w:tc>
          <w:tcPr>
            <w:tcW w:w="149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45BD75A" w14:textId="226526BC" w:rsidR="00C002D2" w:rsidRPr="000D67C6" w:rsidRDefault="00184871"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71441B">
              <w:rPr>
                <w:rFonts w:ascii="Arial" w:eastAsia="Verdana" w:hAnsi="Arial" w:cs="Arial"/>
                <w:b/>
                <w:sz w:val="20"/>
                <w:szCs w:val="20"/>
                <w:lang w:val="en-GB"/>
              </w:rPr>
              <w:t>7</w:t>
            </w:r>
            <w:r w:rsidRPr="000D67C6">
              <w:rPr>
                <w:rFonts w:ascii="Arial" w:eastAsia="Verdana" w:hAnsi="Arial" w:cs="Arial"/>
                <w:b/>
                <w:sz w:val="20"/>
                <w:szCs w:val="20"/>
                <w:lang w:val="en-GB"/>
              </w:rPr>
              <w:t>,</w:t>
            </w:r>
            <w:r w:rsidR="0071441B">
              <w:rPr>
                <w:rFonts w:ascii="Arial" w:eastAsia="Verdana" w:hAnsi="Arial" w:cs="Arial"/>
                <w:b/>
                <w:sz w:val="20"/>
                <w:szCs w:val="20"/>
                <w:lang w:val="en-GB"/>
              </w:rPr>
              <w:t>023</w:t>
            </w:r>
          </w:p>
        </w:tc>
      </w:tr>
      <w:tr w:rsidR="00591633" w:rsidRPr="000D67C6" w14:paraId="7CD1696D" w14:textId="77777777" w:rsidTr="00361C5C">
        <w:trPr>
          <w:trHeight w:val="501"/>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78DE508B" w14:textId="77777777" w:rsidR="00591633" w:rsidRPr="000D67C6" w:rsidRDefault="00591633" w:rsidP="00E926C9">
            <w:pPr>
              <w:pStyle w:val="T1TableStyle"/>
              <w:jc w:val="right"/>
              <w:rPr>
                <w:rFonts w:ascii="Arial" w:eastAsia="Verdana" w:hAnsi="Arial" w:cs="Arial"/>
                <w:b/>
                <w:sz w:val="20"/>
                <w:szCs w:val="20"/>
                <w:lang w:val="en-GB"/>
              </w:rPr>
            </w:pP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03C4D318" w14:textId="77777777" w:rsidR="00591633" w:rsidRPr="000D67C6" w:rsidRDefault="00591633" w:rsidP="00E926C9">
            <w:pPr>
              <w:pStyle w:val="T1TableStyle"/>
              <w:jc w:val="right"/>
              <w:rPr>
                <w:rFonts w:ascii="Arial" w:eastAsia="Verdana" w:hAnsi="Arial" w:cs="Arial"/>
                <w:b/>
                <w:sz w:val="20"/>
                <w:szCs w:val="20"/>
                <w:lang w:val="en-GB"/>
              </w:rPr>
            </w:pPr>
          </w:p>
        </w:tc>
        <w:tc>
          <w:tcPr>
            <w:tcW w:w="1420" w:type="dxa"/>
            <w:tcBorders>
              <w:top w:val="single" w:sz="2" w:space="0" w:color="000000"/>
              <w:bottom w:val="single" w:sz="12" w:space="0" w:color="000000"/>
            </w:tcBorders>
            <w:shd w:val="clear" w:color="auto" w:fill="auto"/>
            <w:tcMar>
              <w:top w:w="20" w:type="dxa"/>
              <w:left w:w="20" w:type="dxa"/>
              <w:bottom w:w="20" w:type="dxa"/>
              <w:right w:w="20" w:type="dxa"/>
            </w:tcMar>
          </w:tcPr>
          <w:p w14:paraId="30E2F718" w14:textId="77777777" w:rsidR="00591633" w:rsidRPr="000D67C6" w:rsidRDefault="00591633" w:rsidP="00E926C9">
            <w:pPr>
              <w:pStyle w:val="T1TableStyle"/>
              <w:jc w:val="right"/>
              <w:rPr>
                <w:rFonts w:ascii="Arial" w:eastAsia="Verdana" w:hAnsi="Arial" w:cs="Arial"/>
                <w:b/>
                <w:sz w:val="20"/>
                <w:szCs w:val="20"/>
                <w:lang w:val="en-GB"/>
              </w:rPr>
            </w:pPr>
          </w:p>
        </w:tc>
        <w:tc>
          <w:tcPr>
            <w:tcW w:w="1791" w:type="dxa"/>
            <w:tcBorders>
              <w:top w:val="single" w:sz="2" w:space="0" w:color="000000"/>
              <w:bottom w:val="single" w:sz="12" w:space="0" w:color="000000"/>
            </w:tcBorders>
            <w:shd w:val="clear" w:color="auto" w:fill="auto"/>
            <w:tcMar>
              <w:top w:w="20" w:type="dxa"/>
              <w:left w:w="20" w:type="dxa"/>
              <w:bottom w:w="20" w:type="dxa"/>
              <w:right w:w="20" w:type="dxa"/>
            </w:tcMar>
          </w:tcPr>
          <w:p w14:paraId="0E2E101D" w14:textId="77777777" w:rsidR="00591633" w:rsidRPr="000D67C6" w:rsidRDefault="00591633" w:rsidP="00E926C9">
            <w:pPr>
              <w:pStyle w:val="T1TableStyle"/>
              <w:rPr>
                <w:rFonts w:ascii="Arial" w:eastAsia="Verdana" w:hAnsi="Arial" w:cs="Arial"/>
                <w:b/>
                <w:sz w:val="20"/>
                <w:szCs w:val="20"/>
                <w:lang w:val="en-GB"/>
              </w:rPr>
            </w:pP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182CEB73" w14:textId="77777777" w:rsidR="00591633" w:rsidRPr="000D67C6" w:rsidRDefault="00591633" w:rsidP="00E926C9">
            <w:pPr>
              <w:pStyle w:val="T1TableStyle"/>
              <w:jc w:val="right"/>
              <w:rPr>
                <w:rFonts w:ascii="Arial" w:eastAsia="Verdana" w:hAnsi="Arial" w:cs="Arial"/>
                <w:b/>
                <w:sz w:val="20"/>
                <w:szCs w:val="20"/>
                <w:lang w:val="en-GB"/>
              </w:rPr>
            </w:pP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0E515620" w14:textId="77777777" w:rsidR="00591633" w:rsidRPr="000D67C6" w:rsidRDefault="00591633" w:rsidP="00E926C9">
            <w:pPr>
              <w:pStyle w:val="T1TableStyle"/>
              <w:jc w:val="right"/>
              <w:rPr>
                <w:rFonts w:ascii="Arial" w:eastAsia="Verdana" w:hAnsi="Arial" w:cs="Arial"/>
                <w:b/>
                <w:sz w:val="20"/>
                <w:szCs w:val="20"/>
                <w:lang w:val="en-GB"/>
              </w:rPr>
            </w:pPr>
          </w:p>
        </w:tc>
        <w:tc>
          <w:tcPr>
            <w:tcW w:w="1493" w:type="dxa"/>
            <w:tcBorders>
              <w:top w:val="single" w:sz="2" w:space="0" w:color="000000"/>
              <w:bottom w:val="single" w:sz="12" w:space="0" w:color="000000"/>
            </w:tcBorders>
            <w:shd w:val="clear" w:color="auto" w:fill="auto"/>
            <w:tcMar>
              <w:top w:w="20" w:type="dxa"/>
              <w:left w:w="20" w:type="dxa"/>
              <w:bottom w:w="20" w:type="dxa"/>
              <w:right w:w="20" w:type="dxa"/>
            </w:tcMar>
          </w:tcPr>
          <w:p w14:paraId="6161B7B4" w14:textId="77777777" w:rsidR="00591633" w:rsidRPr="000D67C6" w:rsidRDefault="00591633" w:rsidP="00E926C9">
            <w:pPr>
              <w:pStyle w:val="T1TableStyle"/>
              <w:jc w:val="right"/>
              <w:rPr>
                <w:rFonts w:ascii="Arial" w:eastAsia="Verdana" w:hAnsi="Arial" w:cs="Arial"/>
                <w:b/>
                <w:sz w:val="20"/>
                <w:szCs w:val="20"/>
                <w:lang w:val="en-GB"/>
              </w:rPr>
            </w:pPr>
          </w:p>
        </w:tc>
      </w:tr>
      <w:tr w:rsidR="00591633" w:rsidRPr="000D67C6" w14:paraId="3CF90F2F" w14:textId="77777777" w:rsidTr="00361C5C">
        <w:trPr>
          <w:trHeight w:val="501"/>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08C6702A" w14:textId="77777777" w:rsidR="00ED6520" w:rsidRPr="000D67C6" w:rsidRDefault="00ED6520" w:rsidP="00591633">
            <w:pPr>
              <w:pStyle w:val="T1TableStyle"/>
              <w:jc w:val="right"/>
              <w:rPr>
                <w:rFonts w:ascii="Arial" w:eastAsia="Verdana" w:hAnsi="Arial" w:cs="Arial"/>
                <w:b/>
                <w:sz w:val="18"/>
                <w:szCs w:val="18"/>
                <w:lang w:val="en-GB"/>
              </w:rPr>
            </w:pPr>
          </w:p>
          <w:p w14:paraId="3FC9AE96"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 General Fund Balance</w:t>
            </w:r>
          </w:p>
          <w:p w14:paraId="373B743A"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7EE6B6B3" w14:textId="77777777" w:rsidR="00591633" w:rsidRPr="000D67C6" w:rsidRDefault="00ED6520"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Earmarked </w:t>
            </w:r>
            <w:r w:rsidR="00591633" w:rsidRPr="000D67C6">
              <w:rPr>
                <w:rFonts w:ascii="Arial" w:eastAsia="Verdana" w:hAnsi="Arial" w:cs="Arial"/>
                <w:b/>
                <w:sz w:val="18"/>
                <w:szCs w:val="18"/>
                <w:lang w:val="en-GB"/>
              </w:rPr>
              <w:t xml:space="preserve">General Fund </w:t>
            </w:r>
            <w:r w:rsidR="00004580" w:rsidRPr="000D67C6">
              <w:rPr>
                <w:rFonts w:ascii="Arial" w:eastAsia="Verdana" w:hAnsi="Arial" w:cs="Arial"/>
                <w:b/>
                <w:sz w:val="18"/>
                <w:szCs w:val="18"/>
                <w:lang w:val="en-GB"/>
              </w:rPr>
              <w:t>Reserves</w:t>
            </w:r>
          </w:p>
          <w:p w14:paraId="73FBE4DD"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c>
          <w:tcPr>
            <w:tcW w:w="1420" w:type="dxa"/>
            <w:tcBorders>
              <w:top w:val="single" w:sz="2" w:space="0" w:color="000000"/>
              <w:bottom w:val="single" w:sz="12" w:space="0" w:color="000000"/>
            </w:tcBorders>
            <w:shd w:val="clear" w:color="auto" w:fill="auto"/>
            <w:tcMar>
              <w:top w:w="20" w:type="dxa"/>
              <w:left w:w="20" w:type="dxa"/>
              <w:bottom w:w="20" w:type="dxa"/>
              <w:right w:w="20" w:type="dxa"/>
            </w:tcMar>
          </w:tcPr>
          <w:p w14:paraId="2187EB99"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Total General Fund Balance</w:t>
            </w:r>
          </w:p>
          <w:p w14:paraId="7666030D" w14:textId="77777777" w:rsidR="00591633" w:rsidRPr="000D67C6" w:rsidRDefault="00591633" w:rsidP="00591633">
            <w:pPr>
              <w:pStyle w:val="T1TableStyle"/>
              <w:jc w:val="right"/>
              <w:rPr>
                <w:rFonts w:ascii="Arial" w:eastAsia="Verdana" w:hAnsi="Arial" w:cs="Arial"/>
                <w:b/>
                <w:sz w:val="18"/>
                <w:szCs w:val="18"/>
                <w:lang w:val="en-GB"/>
              </w:rPr>
            </w:pPr>
          </w:p>
          <w:p w14:paraId="42900BF3"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c>
          <w:tcPr>
            <w:tcW w:w="1791" w:type="dxa"/>
            <w:tcBorders>
              <w:top w:val="single" w:sz="2" w:space="0" w:color="000000"/>
              <w:bottom w:val="single" w:sz="12" w:space="0" w:color="000000"/>
            </w:tcBorders>
            <w:shd w:val="clear" w:color="auto" w:fill="auto"/>
            <w:tcMar>
              <w:top w:w="20" w:type="dxa"/>
              <w:left w:w="20" w:type="dxa"/>
              <w:bottom w:w="20" w:type="dxa"/>
              <w:right w:w="20" w:type="dxa"/>
            </w:tcMar>
          </w:tcPr>
          <w:p w14:paraId="2B27376E" w14:textId="77777777" w:rsidR="00591633" w:rsidRPr="000D67C6" w:rsidRDefault="00591633" w:rsidP="00591633">
            <w:pPr>
              <w:pStyle w:val="T1TableStyle"/>
              <w:rPr>
                <w:rFonts w:ascii="Arial" w:eastAsia="Verdana" w:hAnsi="Arial" w:cs="Arial"/>
                <w:b/>
                <w:sz w:val="18"/>
                <w:szCs w:val="18"/>
                <w:lang w:val="en-GB"/>
              </w:rPr>
            </w:pP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1A863BBF" w14:textId="77777777" w:rsidR="00ED6520" w:rsidRPr="000D67C6" w:rsidRDefault="00ED6520" w:rsidP="00591633">
            <w:pPr>
              <w:pStyle w:val="T1TableStyle"/>
              <w:jc w:val="right"/>
              <w:rPr>
                <w:rFonts w:ascii="Arial" w:eastAsia="Verdana" w:hAnsi="Arial" w:cs="Arial"/>
                <w:b/>
                <w:sz w:val="18"/>
                <w:szCs w:val="18"/>
                <w:lang w:val="en-GB"/>
              </w:rPr>
            </w:pPr>
          </w:p>
          <w:p w14:paraId="2AAEDE7D"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General Fund Balance</w:t>
            </w:r>
          </w:p>
          <w:p w14:paraId="119A1B8F"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601FEEA0" w14:textId="77777777" w:rsidR="00ED6520" w:rsidRPr="000D67C6" w:rsidRDefault="00ED6520"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Earmarked</w:t>
            </w:r>
          </w:p>
          <w:p w14:paraId="44125A60"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 xml:space="preserve">General Fund </w:t>
            </w:r>
            <w:r w:rsidR="005C4729" w:rsidRPr="000D67C6">
              <w:rPr>
                <w:rFonts w:ascii="Arial" w:eastAsia="Verdana" w:hAnsi="Arial" w:cs="Arial"/>
                <w:b/>
                <w:sz w:val="18"/>
                <w:szCs w:val="18"/>
                <w:lang w:val="en-GB"/>
              </w:rPr>
              <w:t>Reserves</w:t>
            </w:r>
          </w:p>
          <w:p w14:paraId="0F21DE15"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c>
          <w:tcPr>
            <w:tcW w:w="1493" w:type="dxa"/>
            <w:tcBorders>
              <w:top w:val="single" w:sz="2" w:space="0" w:color="000000"/>
              <w:bottom w:val="single" w:sz="12" w:space="0" w:color="000000"/>
            </w:tcBorders>
            <w:shd w:val="clear" w:color="auto" w:fill="auto"/>
            <w:tcMar>
              <w:top w:w="20" w:type="dxa"/>
              <w:left w:w="20" w:type="dxa"/>
              <w:bottom w:w="20" w:type="dxa"/>
              <w:right w:w="20" w:type="dxa"/>
            </w:tcMar>
          </w:tcPr>
          <w:p w14:paraId="215190DD"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Total General Fund Balance</w:t>
            </w:r>
          </w:p>
          <w:p w14:paraId="512F41D4" w14:textId="77777777" w:rsidR="00591633" w:rsidRPr="000D67C6" w:rsidRDefault="00591633" w:rsidP="00591633">
            <w:pPr>
              <w:pStyle w:val="T1TableStyle"/>
              <w:jc w:val="right"/>
              <w:rPr>
                <w:rFonts w:ascii="Arial" w:eastAsia="Verdana" w:hAnsi="Arial" w:cs="Arial"/>
                <w:b/>
                <w:sz w:val="18"/>
                <w:szCs w:val="18"/>
                <w:lang w:val="en-GB"/>
              </w:rPr>
            </w:pPr>
          </w:p>
          <w:p w14:paraId="1CFD502A" w14:textId="77777777" w:rsidR="00591633" w:rsidRPr="000D67C6" w:rsidRDefault="00591633" w:rsidP="00591633">
            <w:pPr>
              <w:pStyle w:val="T1TableStyle"/>
              <w:jc w:val="right"/>
              <w:rPr>
                <w:rFonts w:ascii="Arial" w:eastAsia="Verdana" w:hAnsi="Arial" w:cs="Arial"/>
                <w:b/>
                <w:sz w:val="18"/>
                <w:szCs w:val="18"/>
                <w:lang w:val="en-GB"/>
              </w:rPr>
            </w:pPr>
            <w:r w:rsidRPr="000D67C6">
              <w:rPr>
                <w:rFonts w:ascii="Arial" w:eastAsia="Verdana" w:hAnsi="Arial" w:cs="Arial"/>
                <w:b/>
                <w:sz w:val="18"/>
                <w:szCs w:val="18"/>
                <w:lang w:val="en-GB"/>
              </w:rPr>
              <w:t>£000</w:t>
            </w:r>
          </w:p>
        </w:tc>
      </w:tr>
      <w:tr w:rsidR="00591633" w:rsidRPr="000D67C6" w14:paraId="60A50B72" w14:textId="77777777" w:rsidTr="00361C5C">
        <w:trPr>
          <w:trHeight w:hRule="exact" w:val="90"/>
        </w:trPr>
        <w:tc>
          <w:tcPr>
            <w:tcW w:w="1276" w:type="dxa"/>
            <w:shd w:val="clear" w:color="auto" w:fill="auto"/>
            <w:tcMar>
              <w:top w:w="20" w:type="dxa"/>
              <w:left w:w="20" w:type="dxa"/>
              <w:bottom w:w="20" w:type="dxa"/>
              <w:right w:w="20" w:type="dxa"/>
            </w:tcMar>
          </w:tcPr>
          <w:p w14:paraId="39C85332"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276" w:type="dxa"/>
            <w:shd w:val="clear" w:color="auto" w:fill="auto"/>
            <w:tcMar>
              <w:top w:w="20" w:type="dxa"/>
              <w:left w:w="20" w:type="dxa"/>
              <w:bottom w:w="20" w:type="dxa"/>
              <w:right w:w="20" w:type="dxa"/>
            </w:tcMar>
          </w:tcPr>
          <w:p w14:paraId="552C65D4"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420" w:type="dxa"/>
            <w:shd w:val="clear" w:color="auto" w:fill="auto"/>
            <w:tcMar>
              <w:top w:w="20" w:type="dxa"/>
              <w:left w:w="20" w:type="dxa"/>
              <w:bottom w:w="20" w:type="dxa"/>
              <w:right w:w="20" w:type="dxa"/>
            </w:tcMar>
          </w:tcPr>
          <w:p w14:paraId="234B467E"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791" w:type="dxa"/>
            <w:shd w:val="clear" w:color="auto" w:fill="auto"/>
            <w:tcMar>
              <w:top w:w="20" w:type="dxa"/>
              <w:left w:w="20" w:type="dxa"/>
              <w:bottom w:w="20" w:type="dxa"/>
              <w:right w:w="20" w:type="dxa"/>
            </w:tcMar>
          </w:tcPr>
          <w:p w14:paraId="19DC0666"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335" w:type="dxa"/>
            <w:shd w:val="clear" w:color="auto" w:fill="auto"/>
            <w:tcMar>
              <w:top w:w="20" w:type="dxa"/>
              <w:left w:w="20" w:type="dxa"/>
              <w:bottom w:w="20" w:type="dxa"/>
              <w:right w:w="20" w:type="dxa"/>
            </w:tcMar>
          </w:tcPr>
          <w:p w14:paraId="28EE3A7E"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335" w:type="dxa"/>
            <w:shd w:val="clear" w:color="auto" w:fill="auto"/>
            <w:tcMar>
              <w:top w:w="20" w:type="dxa"/>
              <w:left w:w="20" w:type="dxa"/>
              <w:bottom w:w="20" w:type="dxa"/>
              <w:right w:w="20" w:type="dxa"/>
            </w:tcMar>
          </w:tcPr>
          <w:p w14:paraId="5646B988"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493" w:type="dxa"/>
            <w:shd w:val="clear" w:color="auto" w:fill="auto"/>
            <w:tcMar>
              <w:top w:w="20" w:type="dxa"/>
              <w:left w:w="20" w:type="dxa"/>
              <w:bottom w:w="20" w:type="dxa"/>
              <w:right w:w="20" w:type="dxa"/>
            </w:tcMar>
          </w:tcPr>
          <w:p w14:paraId="7248745D" w14:textId="77777777" w:rsidR="00591633" w:rsidRPr="000D67C6" w:rsidRDefault="00591633" w:rsidP="00591633">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r>
      <w:tr w:rsidR="00C002D2" w:rsidRPr="000D67C6" w14:paraId="0CF8C6EB" w14:textId="77777777" w:rsidTr="002872DD">
        <w:trPr>
          <w:trHeight w:val="427"/>
        </w:trPr>
        <w:tc>
          <w:tcPr>
            <w:tcW w:w="1276" w:type="dxa"/>
            <w:shd w:val="clear" w:color="auto" w:fill="auto"/>
            <w:tcMar>
              <w:top w:w="20" w:type="dxa"/>
              <w:left w:w="20" w:type="dxa"/>
              <w:bottom w:w="20" w:type="dxa"/>
              <w:right w:w="20" w:type="dxa"/>
            </w:tcMar>
          </w:tcPr>
          <w:p w14:paraId="36B4F167"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(361)</w:t>
            </w:r>
          </w:p>
        </w:tc>
        <w:tc>
          <w:tcPr>
            <w:tcW w:w="1276" w:type="dxa"/>
            <w:shd w:val="clear" w:color="auto" w:fill="auto"/>
            <w:tcMar>
              <w:top w:w="20" w:type="dxa"/>
              <w:left w:w="20" w:type="dxa"/>
              <w:bottom w:w="20" w:type="dxa"/>
              <w:right w:w="20" w:type="dxa"/>
            </w:tcMar>
          </w:tcPr>
          <w:p w14:paraId="569DBFDA"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(8,634)</w:t>
            </w:r>
          </w:p>
        </w:tc>
        <w:tc>
          <w:tcPr>
            <w:tcW w:w="1420" w:type="dxa"/>
            <w:shd w:val="clear" w:color="auto" w:fill="auto"/>
            <w:tcMar>
              <w:top w:w="20" w:type="dxa"/>
              <w:left w:w="20" w:type="dxa"/>
              <w:bottom w:w="20" w:type="dxa"/>
              <w:right w:w="20" w:type="dxa"/>
            </w:tcMar>
          </w:tcPr>
          <w:p w14:paraId="7CD5FA50"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(8,995)</w:t>
            </w:r>
          </w:p>
        </w:tc>
        <w:tc>
          <w:tcPr>
            <w:tcW w:w="1791" w:type="dxa"/>
            <w:shd w:val="clear" w:color="auto" w:fill="auto"/>
            <w:tcMar>
              <w:top w:w="20" w:type="dxa"/>
              <w:left w:w="20" w:type="dxa"/>
              <w:bottom w:w="20" w:type="dxa"/>
              <w:right w:w="20" w:type="dxa"/>
            </w:tcMar>
            <w:vAlign w:val="center"/>
          </w:tcPr>
          <w:p w14:paraId="37F0D363" w14:textId="77777777" w:rsidR="00C002D2" w:rsidRPr="000D67C6" w:rsidRDefault="00C002D2" w:rsidP="00C002D2">
            <w:pPr>
              <w:pStyle w:val="T1TableStyle"/>
              <w:spacing w:line="480" w:lineRule="auto"/>
              <w:rPr>
                <w:rFonts w:ascii="Arial" w:eastAsia="Verdana" w:hAnsi="Arial" w:cs="Arial"/>
                <w:sz w:val="20"/>
                <w:szCs w:val="20"/>
                <w:lang w:val="en-GB"/>
              </w:rPr>
            </w:pPr>
            <w:r w:rsidRPr="000D67C6">
              <w:rPr>
                <w:rFonts w:ascii="Arial" w:eastAsia="Verdana" w:hAnsi="Arial" w:cs="Arial"/>
                <w:sz w:val="20"/>
                <w:szCs w:val="20"/>
                <w:lang w:val="en-GB"/>
              </w:rPr>
              <w:t>Brought Forward</w:t>
            </w:r>
          </w:p>
        </w:tc>
        <w:tc>
          <w:tcPr>
            <w:tcW w:w="1335" w:type="dxa"/>
            <w:shd w:val="clear" w:color="auto" w:fill="auto"/>
            <w:tcMar>
              <w:top w:w="20" w:type="dxa"/>
              <w:left w:w="20" w:type="dxa"/>
              <w:bottom w:w="20" w:type="dxa"/>
              <w:right w:w="20" w:type="dxa"/>
            </w:tcMar>
          </w:tcPr>
          <w:p w14:paraId="2CEA4E6A" w14:textId="77777777" w:rsidR="00C002D2" w:rsidRPr="000D67C6" w:rsidRDefault="003E5AF1"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(707)</w:t>
            </w:r>
          </w:p>
        </w:tc>
        <w:tc>
          <w:tcPr>
            <w:tcW w:w="1335" w:type="dxa"/>
            <w:shd w:val="clear" w:color="auto" w:fill="auto"/>
            <w:tcMar>
              <w:top w:w="20" w:type="dxa"/>
              <w:left w:w="20" w:type="dxa"/>
              <w:bottom w:w="20" w:type="dxa"/>
              <w:right w:w="20" w:type="dxa"/>
            </w:tcMar>
          </w:tcPr>
          <w:p w14:paraId="33CEFCFE" w14:textId="77777777" w:rsidR="00C002D2" w:rsidRPr="000D67C6" w:rsidRDefault="003E5AF1"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(7,328)</w:t>
            </w:r>
          </w:p>
        </w:tc>
        <w:tc>
          <w:tcPr>
            <w:tcW w:w="1493" w:type="dxa"/>
            <w:shd w:val="clear" w:color="auto" w:fill="auto"/>
            <w:tcMar>
              <w:top w:w="20" w:type="dxa"/>
              <w:left w:w="20" w:type="dxa"/>
              <w:bottom w:w="20" w:type="dxa"/>
              <w:right w:w="20" w:type="dxa"/>
            </w:tcMar>
          </w:tcPr>
          <w:p w14:paraId="26CC76DD" w14:textId="77777777" w:rsidR="00C002D2" w:rsidRPr="000D67C6" w:rsidRDefault="003E5AF1"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(8,035)</w:t>
            </w:r>
          </w:p>
        </w:tc>
      </w:tr>
      <w:tr w:rsidR="00C002D2" w:rsidRPr="000D67C6" w14:paraId="0AAA3598" w14:textId="77777777" w:rsidTr="002872DD">
        <w:trPr>
          <w:trHeight w:val="862"/>
        </w:trPr>
        <w:tc>
          <w:tcPr>
            <w:tcW w:w="1276" w:type="dxa"/>
            <w:shd w:val="clear" w:color="auto" w:fill="auto"/>
            <w:tcMar>
              <w:top w:w="20" w:type="dxa"/>
              <w:left w:w="20" w:type="dxa"/>
              <w:bottom w:w="20" w:type="dxa"/>
              <w:right w:w="20" w:type="dxa"/>
            </w:tcMar>
            <w:vAlign w:val="center"/>
          </w:tcPr>
          <w:p w14:paraId="3EF3D58D"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960</w:t>
            </w:r>
          </w:p>
        </w:tc>
        <w:tc>
          <w:tcPr>
            <w:tcW w:w="1276" w:type="dxa"/>
            <w:shd w:val="clear" w:color="auto" w:fill="auto"/>
            <w:tcMar>
              <w:top w:w="20" w:type="dxa"/>
              <w:left w:w="20" w:type="dxa"/>
              <w:bottom w:w="20" w:type="dxa"/>
              <w:right w:w="20" w:type="dxa"/>
            </w:tcMar>
            <w:vAlign w:val="center"/>
          </w:tcPr>
          <w:p w14:paraId="2B545432" w14:textId="77777777" w:rsidR="00C002D2" w:rsidRPr="000D67C6" w:rsidRDefault="00C002D2"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0</w:t>
            </w:r>
          </w:p>
        </w:tc>
        <w:tc>
          <w:tcPr>
            <w:tcW w:w="1420" w:type="dxa"/>
            <w:shd w:val="clear" w:color="auto" w:fill="auto"/>
            <w:tcMar>
              <w:top w:w="20" w:type="dxa"/>
              <w:left w:w="20" w:type="dxa"/>
              <w:bottom w:w="20" w:type="dxa"/>
              <w:right w:w="20" w:type="dxa"/>
            </w:tcMar>
            <w:vAlign w:val="center"/>
          </w:tcPr>
          <w:p w14:paraId="5D2ED110" w14:textId="77777777" w:rsidR="00C002D2" w:rsidRPr="000D67C6" w:rsidRDefault="00C002D2"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960</w:t>
            </w:r>
          </w:p>
        </w:tc>
        <w:tc>
          <w:tcPr>
            <w:tcW w:w="1791" w:type="dxa"/>
            <w:shd w:val="clear" w:color="auto" w:fill="auto"/>
            <w:tcMar>
              <w:top w:w="20" w:type="dxa"/>
              <w:left w:w="20" w:type="dxa"/>
              <w:bottom w:w="20" w:type="dxa"/>
              <w:right w:w="20" w:type="dxa"/>
            </w:tcMar>
            <w:vAlign w:val="center"/>
          </w:tcPr>
          <w:p w14:paraId="681736EA"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(Surplus) or Deficit on Provision of Services</w:t>
            </w:r>
          </w:p>
        </w:tc>
        <w:tc>
          <w:tcPr>
            <w:tcW w:w="1335" w:type="dxa"/>
            <w:shd w:val="clear" w:color="auto" w:fill="auto"/>
            <w:tcMar>
              <w:top w:w="20" w:type="dxa"/>
              <w:left w:w="20" w:type="dxa"/>
              <w:bottom w:w="20" w:type="dxa"/>
              <w:right w:w="20" w:type="dxa"/>
            </w:tcMar>
            <w:vAlign w:val="center"/>
          </w:tcPr>
          <w:p w14:paraId="5DA2A29F" w14:textId="77777777" w:rsidR="00C002D2" w:rsidRPr="000D67C6" w:rsidRDefault="003E5AF1"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w:t>
            </w:r>
            <w:r w:rsidR="00904716" w:rsidRPr="000D67C6">
              <w:rPr>
                <w:rFonts w:ascii="Arial" w:eastAsia="Verdana" w:hAnsi="Arial" w:cs="Arial"/>
                <w:color w:val="000000"/>
                <w:sz w:val="20"/>
                <w:szCs w:val="20"/>
                <w:lang w:val="en-GB"/>
              </w:rPr>
              <w:t>570</w:t>
            </w:r>
            <w:r w:rsidRPr="000D67C6">
              <w:rPr>
                <w:rFonts w:ascii="Arial" w:eastAsia="Verdana" w:hAnsi="Arial" w:cs="Arial"/>
                <w:color w:val="000000"/>
                <w:sz w:val="20"/>
                <w:szCs w:val="20"/>
                <w:lang w:val="en-GB"/>
              </w:rPr>
              <w:t>)</w:t>
            </w:r>
          </w:p>
        </w:tc>
        <w:tc>
          <w:tcPr>
            <w:tcW w:w="1335" w:type="dxa"/>
            <w:shd w:val="clear" w:color="auto" w:fill="auto"/>
            <w:tcMar>
              <w:top w:w="20" w:type="dxa"/>
              <w:left w:w="20" w:type="dxa"/>
              <w:bottom w:w="20" w:type="dxa"/>
              <w:right w:w="20" w:type="dxa"/>
            </w:tcMar>
            <w:vAlign w:val="center"/>
          </w:tcPr>
          <w:p w14:paraId="43459204" w14:textId="77777777" w:rsidR="00C002D2" w:rsidRPr="000D67C6" w:rsidRDefault="003E5AF1"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0</w:t>
            </w:r>
          </w:p>
        </w:tc>
        <w:tc>
          <w:tcPr>
            <w:tcW w:w="1493" w:type="dxa"/>
            <w:shd w:val="clear" w:color="auto" w:fill="auto"/>
            <w:tcMar>
              <w:top w:w="20" w:type="dxa"/>
              <w:left w:w="20" w:type="dxa"/>
              <w:bottom w:w="20" w:type="dxa"/>
              <w:right w:w="20" w:type="dxa"/>
            </w:tcMar>
            <w:vAlign w:val="center"/>
          </w:tcPr>
          <w:p w14:paraId="5EFF7EA4" w14:textId="77777777" w:rsidR="00C002D2" w:rsidRPr="000D67C6" w:rsidRDefault="003E5AF1"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w:t>
            </w:r>
            <w:r w:rsidR="00F81B54" w:rsidRPr="000D67C6">
              <w:rPr>
                <w:rFonts w:ascii="Arial" w:eastAsia="Calibri" w:hAnsi="Arial" w:cs="Arial"/>
                <w:sz w:val="20"/>
                <w:szCs w:val="20"/>
                <w:lang w:val="en-GB"/>
              </w:rPr>
              <w:t>570</w:t>
            </w:r>
            <w:r w:rsidRPr="000D67C6">
              <w:rPr>
                <w:rFonts w:ascii="Arial" w:eastAsia="Calibri" w:hAnsi="Arial" w:cs="Arial"/>
                <w:sz w:val="20"/>
                <w:szCs w:val="20"/>
                <w:lang w:val="en-GB"/>
              </w:rPr>
              <w:t>)</w:t>
            </w:r>
          </w:p>
        </w:tc>
      </w:tr>
      <w:tr w:rsidR="00C002D2" w:rsidRPr="000D67C6" w14:paraId="56306AEE" w14:textId="77777777" w:rsidTr="002872DD">
        <w:trPr>
          <w:trHeight w:val="862"/>
        </w:trPr>
        <w:tc>
          <w:tcPr>
            <w:tcW w:w="1276" w:type="dxa"/>
            <w:tcBorders>
              <w:bottom w:val="single" w:sz="4" w:space="0" w:color="auto"/>
            </w:tcBorders>
            <w:shd w:val="clear" w:color="auto" w:fill="auto"/>
            <w:tcMar>
              <w:top w:w="20" w:type="dxa"/>
              <w:left w:w="20" w:type="dxa"/>
              <w:bottom w:w="20" w:type="dxa"/>
              <w:right w:w="20" w:type="dxa"/>
            </w:tcMar>
            <w:vAlign w:val="center"/>
          </w:tcPr>
          <w:p w14:paraId="3ED6BDCB"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(1,306)</w:t>
            </w:r>
          </w:p>
        </w:tc>
        <w:tc>
          <w:tcPr>
            <w:tcW w:w="1276" w:type="dxa"/>
            <w:tcBorders>
              <w:bottom w:val="single" w:sz="4" w:space="0" w:color="auto"/>
            </w:tcBorders>
            <w:shd w:val="clear" w:color="auto" w:fill="auto"/>
            <w:tcMar>
              <w:top w:w="20" w:type="dxa"/>
              <w:left w:w="20" w:type="dxa"/>
              <w:bottom w:w="20" w:type="dxa"/>
              <w:right w:w="20" w:type="dxa"/>
            </w:tcMar>
            <w:vAlign w:val="center"/>
          </w:tcPr>
          <w:p w14:paraId="4F3BE9B7" w14:textId="77777777" w:rsidR="00C002D2" w:rsidRPr="000D67C6" w:rsidRDefault="00C002D2"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1,306</w:t>
            </w:r>
          </w:p>
        </w:tc>
        <w:tc>
          <w:tcPr>
            <w:tcW w:w="1420" w:type="dxa"/>
            <w:tcBorders>
              <w:bottom w:val="single" w:sz="4" w:space="0" w:color="auto"/>
            </w:tcBorders>
            <w:shd w:val="clear" w:color="auto" w:fill="auto"/>
            <w:tcMar>
              <w:top w:w="20" w:type="dxa"/>
              <w:left w:w="20" w:type="dxa"/>
              <w:bottom w:w="20" w:type="dxa"/>
              <w:right w:w="20" w:type="dxa"/>
            </w:tcMar>
            <w:vAlign w:val="center"/>
          </w:tcPr>
          <w:p w14:paraId="4881EA92" w14:textId="77777777" w:rsidR="00C002D2" w:rsidRPr="000D67C6" w:rsidRDefault="00C002D2"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0</w:t>
            </w:r>
          </w:p>
        </w:tc>
        <w:tc>
          <w:tcPr>
            <w:tcW w:w="1791" w:type="dxa"/>
            <w:tcBorders>
              <w:bottom w:val="single" w:sz="4" w:space="0" w:color="auto"/>
            </w:tcBorders>
            <w:shd w:val="clear" w:color="auto" w:fill="auto"/>
            <w:tcMar>
              <w:top w:w="20" w:type="dxa"/>
              <w:left w:w="20" w:type="dxa"/>
              <w:bottom w:w="20" w:type="dxa"/>
              <w:right w:w="20" w:type="dxa"/>
            </w:tcMar>
            <w:vAlign w:val="center"/>
          </w:tcPr>
          <w:p w14:paraId="3B10BBC1"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Transfer between General Fund Balance &amp; Earmarked General Fund Reserves</w:t>
            </w:r>
          </w:p>
        </w:tc>
        <w:tc>
          <w:tcPr>
            <w:tcW w:w="1335" w:type="dxa"/>
            <w:tcBorders>
              <w:bottom w:val="single" w:sz="4" w:space="0" w:color="auto"/>
            </w:tcBorders>
            <w:shd w:val="clear" w:color="auto" w:fill="auto"/>
            <w:tcMar>
              <w:top w:w="20" w:type="dxa"/>
              <w:left w:w="20" w:type="dxa"/>
              <w:bottom w:w="20" w:type="dxa"/>
              <w:right w:w="20" w:type="dxa"/>
            </w:tcMar>
            <w:vAlign w:val="center"/>
          </w:tcPr>
          <w:p w14:paraId="0BFFB75A" w14:textId="0261C54D" w:rsidR="00C002D2" w:rsidRPr="000D67C6" w:rsidRDefault="00133F4B"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397</w:t>
            </w:r>
          </w:p>
        </w:tc>
        <w:tc>
          <w:tcPr>
            <w:tcW w:w="1335" w:type="dxa"/>
            <w:tcBorders>
              <w:bottom w:val="single" w:sz="4" w:space="0" w:color="auto"/>
            </w:tcBorders>
            <w:shd w:val="clear" w:color="auto" w:fill="auto"/>
            <w:tcMar>
              <w:top w:w="20" w:type="dxa"/>
              <w:left w:w="20" w:type="dxa"/>
              <w:bottom w:w="20" w:type="dxa"/>
              <w:right w:w="20" w:type="dxa"/>
            </w:tcMar>
            <w:vAlign w:val="center"/>
          </w:tcPr>
          <w:p w14:paraId="6C29C22C" w14:textId="060ADFD1" w:rsidR="00C002D2" w:rsidRPr="000D67C6" w:rsidRDefault="00133F4B"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(397)</w:t>
            </w:r>
          </w:p>
        </w:tc>
        <w:tc>
          <w:tcPr>
            <w:tcW w:w="1493" w:type="dxa"/>
            <w:tcBorders>
              <w:bottom w:val="single" w:sz="4" w:space="0" w:color="auto"/>
            </w:tcBorders>
            <w:shd w:val="clear" w:color="auto" w:fill="auto"/>
            <w:tcMar>
              <w:top w:w="20" w:type="dxa"/>
              <w:left w:w="20" w:type="dxa"/>
              <w:bottom w:w="20" w:type="dxa"/>
              <w:right w:w="20" w:type="dxa"/>
            </w:tcMar>
            <w:vAlign w:val="center"/>
          </w:tcPr>
          <w:p w14:paraId="190B00F5" w14:textId="77777777" w:rsidR="00C002D2" w:rsidRPr="000D67C6" w:rsidRDefault="003E5AF1" w:rsidP="00C002D2">
            <w:pPr>
              <w:pStyle w:val="T1TableStyle"/>
              <w:jc w:val="right"/>
              <w:rPr>
                <w:rFonts w:ascii="Arial" w:eastAsia="Calibri" w:hAnsi="Arial" w:cs="Arial"/>
                <w:sz w:val="20"/>
                <w:szCs w:val="20"/>
                <w:lang w:val="en-GB"/>
              </w:rPr>
            </w:pPr>
            <w:r w:rsidRPr="000D67C6">
              <w:rPr>
                <w:rFonts w:ascii="Arial" w:eastAsia="Calibri" w:hAnsi="Arial" w:cs="Arial"/>
                <w:sz w:val="20"/>
                <w:szCs w:val="20"/>
                <w:lang w:val="en-GB"/>
              </w:rPr>
              <w:t>0</w:t>
            </w:r>
          </w:p>
        </w:tc>
      </w:tr>
      <w:tr w:rsidR="00C002D2" w:rsidRPr="000D67C6" w14:paraId="7B9236C4" w14:textId="77777777" w:rsidTr="0022458C">
        <w:trPr>
          <w:trHeight w:val="572"/>
        </w:trPr>
        <w:tc>
          <w:tcPr>
            <w:tcW w:w="1276"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1A830195"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(707)</w:t>
            </w:r>
          </w:p>
        </w:tc>
        <w:tc>
          <w:tcPr>
            <w:tcW w:w="1276"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2EE071CB" w14:textId="77777777" w:rsidR="00C002D2" w:rsidRPr="000D67C6" w:rsidRDefault="00C002D2" w:rsidP="00C002D2">
            <w:pPr>
              <w:pStyle w:val="T1TableStyle"/>
              <w:spacing w:line="276" w:lineRule="auto"/>
              <w:jc w:val="right"/>
              <w:rPr>
                <w:rFonts w:ascii="Arial" w:eastAsia="Verdana" w:hAnsi="Arial" w:cs="Arial"/>
                <w:b/>
                <w:sz w:val="20"/>
                <w:szCs w:val="20"/>
                <w:lang w:val="en-GB"/>
              </w:rPr>
            </w:pPr>
            <w:r w:rsidRPr="000D67C6">
              <w:rPr>
                <w:rFonts w:ascii="Arial" w:eastAsia="Verdana" w:hAnsi="Arial" w:cs="Arial"/>
                <w:b/>
                <w:sz w:val="20"/>
                <w:szCs w:val="20"/>
                <w:lang w:val="en-GB"/>
              </w:rPr>
              <w:t>(7,328)</w:t>
            </w:r>
          </w:p>
        </w:tc>
        <w:tc>
          <w:tcPr>
            <w:tcW w:w="1420"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737A4937" w14:textId="77777777" w:rsidR="00C002D2" w:rsidRPr="000D67C6" w:rsidRDefault="00C002D2" w:rsidP="00C002D2">
            <w:pPr>
              <w:pStyle w:val="T1TableStyle"/>
              <w:spacing w:line="276" w:lineRule="auto"/>
              <w:jc w:val="right"/>
              <w:rPr>
                <w:rFonts w:ascii="Arial" w:eastAsia="Verdana" w:hAnsi="Arial" w:cs="Arial"/>
                <w:b/>
                <w:sz w:val="20"/>
                <w:szCs w:val="20"/>
                <w:lang w:val="en-GB"/>
              </w:rPr>
            </w:pPr>
            <w:r w:rsidRPr="000D67C6">
              <w:rPr>
                <w:rFonts w:ascii="Arial" w:eastAsia="Verdana" w:hAnsi="Arial" w:cs="Arial"/>
                <w:b/>
                <w:sz w:val="20"/>
                <w:szCs w:val="20"/>
                <w:lang w:val="en-GB"/>
              </w:rPr>
              <w:t>(8,035)</w:t>
            </w:r>
          </w:p>
        </w:tc>
        <w:tc>
          <w:tcPr>
            <w:tcW w:w="1791"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3557C655"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Closing Balance</w:t>
            </w:r>
          </w:p>
        </w:tc>
        <w:tc>
          <w:tcPr>
            <w:tcW w:w="1335"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03606E65" w14:textId="16673129" w:rsidR="00C002D2" w:rsidRPr="000D67C6" w:rsidRDefault="00B3725F"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w:t>
            </w:r>
            <w:r w:rsidR="00133F4B" w:rsidRPr="000D67C6">
              <w:rPr>
                <w:rFonts w:ascii="Arial" w:eastAsia="Verdana" w:hAnsi="Arial" w:cs="Arial"/>
                <w:b/>
                <w:sz w:val="20"/>
                <w:szCs w:val="20"/>
                <w:lang w:val="en-GB"/>
              </w:rPr>
              <w:t>880</w:t>
            </w:r>
            <w:r w:rsidRPr="000D67C6">
              <w:rPr>
                <w:rFonts w:ascii="Arial" w:eastAsia="Verdana" w:hAnsi="Arial" w:cs="Arial"/>
                <w:b/>
                <w:sz w:val="20"/>
                <w:szCs w:val="20"/>
                <w:lang w:val="en-GB"/>
              </w:rPr>
              <w:t>)</w:t>
            </w:r>
          </w:p>
        </w:tc>
        <w:tc>
          <w:tcPr>
            <w:tcW w:w="1335"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2577BF0F" w14:textId="05C54D54" w:rsidR="00C002D2" w:rsidRPr="000D67C6" w:rsidRDefault="00451AF5" w:rsidP="00C002D2">
            <w:pPr>
              <w:pStyle w:val="T1TableStyle"/>
              <w:spacing w:line="276" w:lineRule="auto"/>
              <w:jc w:val="right"/>
              <w:rPr>
                <w:rFonts w:ascii="Arial" w:eastAsia="Verdana" w:hAnsi="Arial" w:cs="Arial"/>
                <w:b/>
                <w:sz w:val="20"/>
                <w:szCs w:val="20"/>
                <w:lang w:val="en-GB"/>
              </w:rPr>
            </w:pPr>
            <w:r w:rsidRPr="000D67C6">
              <w:rPr>
                <w:rFonts w:ascii="Arial" w:eastAsia="Verdana" w:hAnsi="Arial" w:cs="Arial"/>
                <w:b/>
                <w:sz w:val="20"/>
                <w:szCs w:val="20"/>
                <w:lang w:val="en-GB"/>
              </w:rPr>
              <w:t>(7,725)</w:t>
            </w:r>
          </w:p>
        </w:tc>
        <w:tc>
          <w:tcPr>
            <w:tcW w:w="1493" w:type="dxa"/>
            <w:tcBorders>
              <w:top w:val="single" w:sz="4" w:space="0" w:color="auto"/>
              <w:bottom w:val="single" w:sz="4" w:space="0" w:color="auto"/>
            </w:tcBorders>
            <w:shd w:val="clear" w:color="auto" w:fill="auto"/>
            <w:tcMar>
              <w:top w:w="20" w:type="dxa"/>
              <w:left w:w="20" w:type="dxa"/>
              <w:bottom w:w="20" w:type="dxa"/>
              <w:right w:w="20" w:type="dxa"/>
            </w:tcMar>
            <w:vAlign w:val="center"/>
          </w:tcPr>
          <w:p w14:paraId="7DE955EC" w14:textId="77777777" w:rsidR="00C3253F" w:rsidRPr="000D67C6" w:rsidRDefault="00B3725F" w:rsidP="00C3253F">
            <w:pPr>
              <w:pStyle w:val="T1TableStyle"/>
              <w:spacing w:line="276" w:lineRule="auto"/>
              <w:jc w:val="right"/>
              <w:rPr>
                <w:rFonts w:ascii="Arial" w:eastAsia="Verdana" w:hAnsi="Arial" w:cs="Arial"/>
                <w:b/>
                <w:sz w:val="20"/>
                <w:szCs w:val="20"/>
                <w:lang w:val="en-GB"/>
              </w:rPr>
            </w:pPr>
            <w:r w:rsidRPr="000D67C6">
              <w:rPr>
                <w:rFonts w:ascii="Arial" w:eastAsia="Verdana" w:hAnsi="Arial" w:cs="Arial"/>
                <w:b/>
                <w:sz w:val="20"/>
                <w:szCs w:val="20"/>
                <w:lang w:val="en-GB"/>
              </w:rPr>
              <w:t>(8,6</w:t>
            </w:r>
            <w:r w:rsidR="00F81B54" w:rsidRPr="000D67C6">
              <w:rPr>
                <w:rFonts w:ascii="Arial" w:eastAsia="Verdana" w:hAnsi="Arial" w:cs="Arial"/>
                <w:b/>
                <w:sz w:val="20"/>
                <w:szCs w:val="20"/>
                <w:lang w:val="en-GB"/>
              </w:rPr>
              <w:t>05</w:t>
            </w:r>
            <w:r w:rsidRPr="000D67C6">
              <w:rPr>
                <w:rFonts w:ascii="Arial" w:eastAsia="Verdana" w:hAnsi="Arial" w:cs="Arial"/>
                <w:b/>
                <w:sz w:val="20"/>
                <w:szCs w:val="20"/>
                <w:lang w:val="en-GB"/>
              </w:rPr>
              <w:t>)</w:t>
            </w:r>
          </w:p>
        </w:tc>
      </w:tr>
    </w:tbl>
    <w:p w14:paraId="334BFD1B" w14:textId="77777777" w:rsidR="00E926C9" w:rsidRPr="000D67C6" w:rsidRDefault="00E926C9" w:rsidP="00E926C9">
      <w:pPr>
        <w:pStyle w:val="Normal0"/>
        <w:rPr>
          <w:rFonts w:ascii="Arial" w:hAnsi="Arial" w:cs="Arial"/>
          <w:szCs w:val="22"/>
          <w:lang w:val="en-GB"/>
        </w:rPr>
      </w:pPr>
    </w:p>
    <w:p w14:paraId="0539D10D" w14:textId="77777777" w:rsidR="00E926C9" w:rsidRPr="000D67C6" w:rsidRDefault="00E926C9">
      <w:pPr>
        <w:rPr>
          <w:rFonts w:ascii="Arial" w:eastAsiaTheme="majorEastAsia" w:hAnsi="Arial" w:cs="Arial"/>
          <w:b/>
          <w:sz w:val="28"/>
          <w:szCs w:val="32"/>
          <w:lang w:val="en-GB"/>
        </w:rPr>
      </w:pPr>
      <w:r w:rsidRPr="000D67C6">
        <w:rPr>
          <w:rFonts w:ascii="Arial" w:hAnsi="Arial" w:cs="Arial"/>
          <w:sz w:val="28"/>
          <w:lang w:val="en-GB"/>
        </w:rPr>
        <w:br w:type="page"/>
      </w:r>
    </w:p>
    <w:p w14:paraId="161583D7" w14:textId="77777777" w:rsidR="008F013B" w:rsidRPr="000D67C6" w:rsidRDefault="008F013B" w:rsidP="008F013B">
      <w:pPr>
        <w:pStyle w:val="Heading1"/>
        <w:spacing w:line="259" w:lineRule="auto"/>
        <w:rPr>
          <w:rFonts w:ascii="Arial" w:hAnsi="Arial" w:cs="Arial"/>
          <w:sz w:val="28"/>
          <w:szCs w:val="28"/>
          <w:lang w:val="en-GB"/>
        </w:rPr>
      </w:pPr>
      <w:r w:rsidRPr="000D67C6">
        <w:rPr>
          <w:rFonts w:ascii="Arial" w:hAnsi="Arial" w:cs="Arial"/>
          <w:sz w:val="28"/>
          <w:szCs w:val="28"/>
          <w:lang w:val="en-GB"/>
        </w:rPr>
        <w:t>Comprehensive Income and Expenditure Statement</w:t>
      </w:r>
      <w:r w:rsidR="008A5DBA" w:rsidRPr="000D67C6">
        <w:rPr>
          <w:rFonts w:ascii="Arial" w:hAnsi="Arial" w:cs="Arial"/>
          <w:sz w:val="28"/>
          <w:szCs w:val="28"/>
          <w:lang w:val="en-GB"/>
        </w:rPr>
        <w:t xml:space="preserve"> (CIES)</w:t>
      </w:r>
    </w:p>
    <w:p w14:paraId="526F97B6" w14:textId="77777777" w:rsidR="0070129A" w:rsidRPr="000D67C6" w:rsidRDefault="0070129A" w:rsidP="008F013B">
      <w:pPr>
        <w:pStyle w:val="Normal0"/>
        <w:rPr>
          <w:rFonts w:ascii="Arial" w:hAnsi="Arial" w:cs="Arial"/>
          <w:sz w:val="20"/>
          <w:szCs w:val="20"/>
          <w:lang w:val="en-GB"/>
        </w:rPr>
      </w:pPr>
    </w:p>
    <w:tbl>
      <w:tblPr>
        <w:tblW w:w="9639" w:type="dxa"/>
        <w:jc w:val="center"/>
        <w:tblLayout w:type="fixed"/>
        <w:tblLook w:val="04A0" w:firstRow="1" w:lastRow="0" w:firstColumn="1" w:lastColumn="0" w:noHBand="0" w:noVBand="1"/>
      </w:tblPr>
      <w:tblGrid>
        <w:gridCol w:w="1230"/>
        <w:gridCol w:w="1038"/>
        <w:gridCol w:w="851"/>
        <w:gridCol w:w="3402"/>
        <w:gridCol w:w="1276"/>
        <w:gridCol w:w="843"/>
        <w:gridCol w:w="999"/>
      </w:tblGrid>
      <w:tr w:rsidR="00464E99" w:rsidRPr="000D67C6" w14:paraId="2D351B67" w14:textId="77777777" w:rsidTr="008E28CA">
        <w:trPr>
          <w:trHeight w:val="255"/>
          <w:jc w:val="center"/>
        </w:trPr>
        <w:tc>
          <w:tcPr>
            <w:tcW w:w="3119" w:type="dxa"/>
            <w:gridSpan w:val="3"/>
            <w:shd w:val="clear" w:color="auto" w:fill="auto"/>
            <w:tcMar>
              <w:top w:w="20" w:type="dxa"/>
              <w:left w:w="20" w:type="dxa"/>
              <w:bottom w:w="20" w:type="dxa"/>
              <w:right w:w="20" w:type="dxa"/>
            </w:tcMar>
            <w:vAlign w:val="bottom"/>
          </w:tcPr>
          <w:p w14:paraId="1E1BFB55" w14:textId="77777777" w:rsidR="008F013B" w:rsidRPr="000D67C6" w:rsidRDefault="00371CDA">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201</w:t>
            </w:r>
            <w:r w:rsidR="00C002D2" w:rsidRPr="000D67C6">
              <w:rPr>
                <w:rFonts w:ascii="Arial" w:eastAsia="Verdana" w:hAnsi="Arial" w:cs="Arial"/>
                <w:b/>
                <w:sz w:val="20"/>
                <w:szCs w:val="20"/>
                <w:lang w:val="en-GB"/>
              </w:rPr>
              <w:t>7</w:t>
            </w:r>
            <w:r w:rsidRPr="000D67C6">
              <w:rPr>
                <w:rFonts w:ascii="Arial" w:eastAsia="Verdana" w:hAnsi="Arial" w:cs="Arial"/>
                <w:b/>
                <w:sz w:val="20"/>
                <w:szCs w:val="20"/>
                <w:lang w:val="en-GB"/>
              </w:rPr>
              <w:t>/1</w:t>
            </w:r>
            <w:r w:rsidR="00C002D2" w:rsidRPr="000D67C6">
              <w:rPr>
                <w:rFonts w:ascii="Arial" w:eastAsia="Verdana" w:hAnsi="Arial" w:cs="Arial"/>
                <w:b/>
                <w:sz w:val="20"/>
                <w:szCs w:val="20"/>
                <w:lang w:val="en-GB"/>
              </w:rPr>
              <w:t>8</w:t>
            </w:r>
            <w:r w:rsidR="00886D40" w:rsidRPr="000D67C6">
              <w:rPr>
                <w:rFonts w:ascii="Arial" w:eastAsia="Verdana" w:hAnsi="Arial" w:cs="Arial"/>
                <w:b/>
                <w:sz w:val="20"/>
                <w:szCs w:val="20"/>
                <w:lang w:val="en-GB"/>
              </w:rPr>
              <w:t xml:space="preserve"> </w:t>
            </w:r>
          </w:p>
        </w:tc>
        <w:tc>
          <w:tcPr>
            <w:tcW w:w="3402" w:type="dxa"/>
            <w:shd w:val="clear" w:color="auto" w:fill="auto"/>
            <w:tcMar>
              <w:top w:w="20" w:type="dxa"/>
              <w:left w:w="20" w:type="dxa"/>
              <w:bottom w:w="20" w:type="dxa"/>
              <w:right w:w="20" w:type="dxa"/>
            </w:tcMar>
            <w:vAlign w:val="bottom"/>
          </w:tcPr>
          <w:p w14:paraId="3285BA08" w14:textId="77777777" w:rsidR="008F013B" w:rsidRPr="000D67C6" w:rsidRDefault="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3118" w:type="dxa"/>
            <w:gridSpan w:val="3"/>
            <w:shd w:val="clear" w:color="auto" w:fill="auto"/>
            <w:tcMar>
              <w:top w:w="20" w:type="dxa"/>
              <w:left w:w="20" w:type="dxa"/>
              <w:bottom w:w="20" w:type="dxa"/>
              <w:right w:w="20" w:type="dxa"/>
            </w:tcMar>
            <w:vAlign w:val="bottom"/>
          </w:tcPr>
          <w:p w14:paraId="4F3E89B1" w14:textId="77777777" w:rsidR="008F013B" w:rsidRPr="000D67C6" w:rsidRDefault="00371CDA">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201</w:t>
            </w:r>
            <w:r w:rsidR="00C002D2" w:rsidRPr="000D67C6">
              <w:rPr>
                <w:rFonts w:ascii="Arial" w:eastAsia="Verdana" w:hAnsi="Arial" w:cs="Arial"/>
                <w:b/>
                <w:sz w:val="20"/>
                <w:szCs w:val="20"/>
                <w:lang w:val="en-GB"/>
              </w:rPr>
              <w:t>8</w:t>
            </w:r>
            <w:r w:rsidRPr="000D67C6">
              <w:rPr>
                <w:rFonts w:ascii="Arial" w:eastAsia="Verdana" w:hAnsi="Arial" w:cs="Arial"/>
                <w:b/>
                <w:sz w:val="20"/>
                <w:szCs w:val="20"/>
                <w:lang w:val="en-GB"/>
              </w:rPr>
              <w:t>/1</w:t>
            </w:r>
            <w:r w:rsidR="00C002D2" w:rsidRPr="000D67C6">
              <w:rPr>
                <w:rFonts w:ascii="Arial" w:eastAsia="Verdana" w:hAnsi="Arial" w:cs="Arial"/>
                <w:b/>
                <w:sz w:val="20"/>
                <w:szCs w:val="20"/>
                <w:lang w:val="en-GB"/>
              </w:rPr>
              <w:t>9</w:t>
            </w:r>
          </w:p>
        </w:tc>
      </w:tr>
      <w:tr w:rsidR="00464E99" w:rsidRPr="000D67C6" w14:paraId="27667D16" w14:textId="77777777" w:rsidTr="008E28CA">
        <w:trPr>
          <w:trHeight w:val="255"/>
          <w:jc w:val="center"/>
        </w:trPr>
        <w:tc>
          <w:tcPr>
            <w:tcW w:w="1230" w:type="dxa"/>
            <w:shd w:val="clear" w:color="auto" w:fill="auto"/>
            <w:tcMar>
              <w:top w:w="20" w:type="dxa"/>
              <w:left w:w="20" w:type="dxa"/>
              <w:bottom w:w="20" w:type="dxa"/>
              <w:right w:w="20" w:type="dxa"/>
            </w:tcMar>
            <w:vAlign w:val="bottom"/>
          </w:tcPr>
          <w:p w14:paraId="6968F88F"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Expenditure</w:t>
            </w:r>
          </w:p>
        </w:tc>
        <w:tc>
          <w:tcPr>
            <w:tcW w:w="1038" w:type="dxa"/>
            <w:shd w:val="clear" w:color="auto" w:fill="auto"/>
            <w:tcMar>
              <w:top w:w="20" w:type="dxa"/>
              <w:left w:w="20" w:type="dxa"/>
              <w:bottom w:w="20" w:type="dxa"/>
              <w:right w:w="20" w:type="dxa"/>
            </w:tcMar>
            <w:vAlign w:val="bottom"/>
          </w:tcPr>
          <w:p w14:paraId="7B14845A"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Income</w:t>
            </w:r>
          </w:p>
        </w:tc>
        <w:tc>
          <w:tcPr>
            <w:tcW w:w="851" w:type="dxa"/>
            <w:shd w:val="clear" w:color="auto" w:fill="auto"/>
            <w:tcMar>
              <w:top w:w="20" w:type="dxa"/>
              <w:left w:w="20" w:type="dxa"/>
              <w:bottom w:w="20" w:type="dxa"/>
              <w:right w:w="20" w:type="dxa"/>
            </w:tcMar>
            <w:vAlign w:val="bottom"/>
          </w:tcPr>
          <w:p w14:paraId="5D265AF1"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w:t>
            </w:r>
          </w:p>
        </w:tc>
        <w:tc>
          <w:tcPr>
            <w:tcW w:w="3402" w:type="dxa"/>
            <w:shd w:val="clear" w:color="auto" w:fill="auto"/>
            <w:tcMar>
              <w:top w:w="20" w:type="dxa"/>
              <w:left w:w="20" w:type="dxa"/>
              <w:bottom w:w="20" w:type="dxa"/>
              <w:right w:w="20" w:type="dxa"/>
            </w:tcMar>
            <w:vAlign w:val="bottom"/>
          </w:tcPr>
          <w:p w14:paraId="237BBF45"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276" w:type="dxa"/>
            <w:shd w:val="clear" w:color="auto" w:fill="auto"/>
            <w:tcMar>
              <w:top w:w="20" w:type="dxa"/>
              <w:left w:w="20" w:type="dxa"/>
              <w:bottom w:w="20" w:type="dxa"/>
              <w:right w:w="20" w:type="dxa"/>
            </w:tcMar>
            <w:vAlign w:val="bottom"/>
          </w:tcPr>
          <w:p w14:paraId="5D658D3C"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Expenditure</w:t>
            </w:r>
          </w:p>
        </w:tc>
        <w:tc>
          <w:tcPr>
            <w:tcW w:w="843" w:type="dxa"/>
            <w:shd w:val="clear" w:color="auto" w:fill="auto"/>
            <w:tcMar>
              <w:top w:w="20" w:type="dxa"/>
              <w:left w:w="20" w:type="dxa"/>
              <w:bottom w:w="20" w:type="dxa"/>
              <w:right w:w="20" w:type="dxa"/>
            </w:tcMar>
            <w:vAlign w:val="bottom"/>
          </w:tcPr>
          <w:p w14:paraId="1BE82877"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Income</w:t>
            </w:r>
          </w:p>
        </w:tc>
        <w:tc>
          <w:tcPr>
            <w:tcW w:w="999" w:type="dxa"/>
            <w:shd w:val="clear" w:color="auto" w:fill="auto"/>
            <w:tcMar>
              <w:top w:w="20" w:type="dxa"/>
              <w:left w:w="20" w:type="dxa"/>
              <w:bottom w:w="20" w:type="dxa"/>
              <w:right w:w="20" w:type="dxa"/>
            </w:tcMar>
            <w:vAlign w:val="bottom"/>
          </w:tcPr>
          <w:p w14:paraId="346525C3" w14:textId="77777777" w:rsidR="008F013B" w:rsidRPr="000D67C6" w:rsidRDefault="008F013B" w:rsidP="008E28C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w:t>
            </w:r>
          </w:p>
        </w:tc>
      </w:tr>
      <w:tr w:rsidR="00464E99" w:rsidRPr="000D67C6" w14:paraId="2E304684" w14:textId="77777777" w:rsidTr="008E28CA">
        <w:trPr>
          <w:trHeight w:val="255"/>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14:paraId="21D98744"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038" w:type="dxa"/>
            <w:tcBorders>
              <w:bottom w:val="single" w:sz="2" w:space="0" w:color="000000"/>
            </w:tcBorders>
            <w:shd w:val="clear" w:color="auto" w:fill="auto"/>
            <w:tcMar>
              <w:top w:w="20" w:type="dxa"/>
              <w:left w:w="20" w:type="dxa"/>
              <w:bottom w:w="20" w:type="dxa"/>
              <w:right w:w="20" w:type="dxa"/>
            </w:tcMar>
            <w:vAlign w:val="bottom"/>
          </w:tcPr>
          <w:p w14:paraId="3127001D"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851" w:type="dxa"/>
            <w:tcBorders>
              <w:bottom w:val="single" w:sz="2" w:space="0" w:color="000000"/>
            </w:tcBorders>
            <w:shd w:val="clear" w:color="auto" w:fill="auto"/>
            <w:tcMar>
              <w:top w:w="20" w:type="dxa"/>
              <w:left w:w="20" w:type="dxa"/>
              <w:bottom w:w="20" w:type="dxa"/>
              <w:right w:w="20" w:type="dxa"/>
            </w:tcMar>
            <w:vAlign w:val="bottom"/>
          </w:tcPr>
          <w:p w14:paraId="403C2C28"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3402" w:type="dxa"/>
            <w:tcBorders>
              <w:bottom w:val="single" w:sz="2" w:space="0" w:color="000000"/>
            </w:tcBorders>
            <w:shd w:val="clear" w:color="auto" w:fill="auto"/>
            <w:tcMar>
              <w:top w:w="20" w:type="dxa"/>
              <w:left w:w="20" w:type="dxa"/>
              <w:bottom w:w="20" w:type="dxa"/>
              <w:right w:w="20" w:type="dxa"/>
            </w:tcMar>
            <w:vAlign w:val="bottom"/>
          </w:tcPr>
          <w:p w14:paraId="5F76C947"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6B14A552"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843" w:type="dxa"/>
            <w:tcBorders>
              <w:bottom w:val="single" w:sz="2" w:space="0" w:color="000000"/>
            </w:tcBorders>
            <w:shd w:val="clear" w:color="auto" w:fill="auto"/>
            <w:tcMar>
              <w:top w:w="20" w:type="dxa"/>
              <w:left w:w="20" w:type="dxa"/>
              <w:bottom w:w="20" w:type="dxa"/>
              <w:right w:w="20" w:type="dxa"/>
            </w:tcMar>
            <w:vAlign w:val="bottom"/>
          </w:tcPr>
          <w:p w14:paraId="121736A6"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999" w:type="dxa"/>
            <w:tcBorders>
              <w:bottom w:val="single" w:sz="2" w:space="0" w:color="000000"/>
            </w:tcBorders>
            <w:shd w:val="clear" w:color="auto" w:fill="auto"/>
            <w:tcMar>
              <w:top w:w="20" w:type="dxa"/>
              <w:left w:w="20" w:type="dxa"/>
              <w:bottom w:w="20" w:type="dxa"/>
              <w:right w:w="20" w:type="dxa"/>
            </w:tcMar>
            <w:vAlign w:val="bottom"/>
          </w:tcPr>
          <w:p w14:paraId="1F983B86" w14:textId="77777777" w:rsidR="008F013B" w:rsidRPr="000D67C6" w:rsidRDefault="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C002D2" w:rsidRPr="000D67C6" w14:paraId="36D41081" w14:textId="77777777" w:rsidTr="000E3907">
        <w:trPr>
          <w:trHeight w:val="494"/>
          <w:jc w:val="center"/>
        </w:trPr>
        <w:tc>
          <w:tcPr>
            <w:tcW w:w="1230" w:type="dxa"/>
            <w:shd w:val="clear" w:color="auto" w:fill="auto"/>
            <w:tcMar>
              <w:top w:w="20" w:type="dxa"/>
              <w:left w:w="20" w:type="dxa"/>
              <w:bottom w:w="20" w:type="dxa"/>
              <w:right w:w="20" w:type="dxa"/>
            </w:tcMar>
            <w:vAlign w:val="center"/>
          </w:tcPr>
          <w:p w14:paraId="0D0E10B2"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48,779</w:t>
            </w:r>
          </w:p>
        </w:tc>
        <w:tc>
          <w:tcPr>
            <w:tcW w:w="1038" w:type="dxa"/>
            <w:shd w:val="clear" w:color="auto" w:fill="auto"/>
            <w:tcMar>
              <w:top w:w="20" w:type="dxa"/>
              <w:left w:w="20" w:type="dxa"/>
              <w:bottom w:w="20" w:type="dxa"/>
              <w:right w:w="20" w:type="dxa"/>
            </w:tcMar>
            <w:vAlign w:val="center"/>
          </w:tcPr>
          <w:p w14:paraId="6FA32EDD"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(4,292)</w:t>
            </w:r>
          </w:p>
        </w:tc>
        <w:tc>
          <w:tcPr>
            <w:tcW w:w="851" w:type="dxa"/>
            <w:shd w:val="clear" w:color="auto" w:fill="auto"/>
            <w:tcMar>
              <w:top w:w="20" w:type="dxa"/>
              <w:left w:w="20" w:type="dxa"/>
              <w:bottom w:w="20" w:type="dxa"/>
              <w:right w:w="20" w:type="dxa"/>
            </w:tcMar>
            <w:vAlign w:val="center"/>
          </w:tcPr>
          <w:p w14:paraId="6249C8F2"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44,487</w:t>
            </w:r>
          </w:p>
        </w:tc>
        <w:tc>
          <w:tcPr>
            <w:tcW w:w="3402" w:type="dxa"/>
            <w:shd w:val="clear" w:color="auto" w:fill="auto"/>
            <w:tcMar>
              <w:top w:w="20" w:type="dxa"/>
              <w:left w:w="20" w:type="dxa"/>
              <w:bottom w:w="20" w:type="dxa"/>
              <w:right w:w="20" w:type="dxa"/>
            </w:tcMar>
            <w:vAlign w:val="center"/>
          </w:tcPr>
          <w:p w14:paraId="43AEE513"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Provision of Fire Services</w:t>
            </w:r>
          </w:p>
        </w:tc>
        <w:tc>
          <w:tcPr>
            <w:tcW w:w="1276" w:type="dxa"/>
            <w:shd w:val="clear" w:color="auto" w:fill="auto"/>
            <w:tcMar>
              <w:top w:w="20" w:type="dxa"/>
              <w:left w:w="20" w:type="dxa"/>
              <w:bottom w:w="20" w:type="dxa"/>
              <w:right w:w="20" w:type="dxa"/>
            </w:tcMar>
            <w:vAlign w:val="center"/>
          </w:tcPr>
          <w:p w14:paraId="2796D8BB" w14:textId="33236E68" w:rsidR="00C002D2" w:rsidRPr="000D67C6" w:rsidRDefault="0095667F"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7</w:t>
            </w:r>
            <w:r w:rsidR="00985DE9">
              <w:rPr>
                <w:rFonts w:ascii="Arial" w:eastAsia="Verdana" w:hAnsi="Arial" w:cs="Arial"/>
                <w:color w:val="000000"/>
                <w:sz w:val="20"/>
                <w:szCs w:val="20"/>
                <w:lang w:val="en-GB"/>
              </w:rPr>
              <w:t>4</w:t>
            </w:r>
            <w:r w:rsidRPr="000D67C6">
              <w:rPr>
                <w:rFonts w:ascii="Arial" w:eastAsia="Verdana" w:hAnsi="Arial" w:cs="Arial"/>
                <w:color w:val="000000"/>
                <w:sz w:val="20"/>
                <w:szCs w:val="20"/>
                <w:lang w:val="en-GB"/>
              </w:rPr>
              <w:t>,</w:t>
            </w:r>
            <w:r w:rsidR="00985DE9">
              <w:rPr>
                <w:rFonts w:ascii="Arial" w:eastAsia="Verdana" w:hAnsi="Arial" w:cs="Arial"/>
                <w:color w:val="000000"/>
                <w:sz w:val="20"/>
                <w:szCs w:val="20"/>
                <w:lang w:val="en-GB"/>
              </w:rPr>
              <w:t>7</w:t>
            </w:r>
            <w:r w:rsidRPr="000D67C6">
              <w:rPr>
                <w:rFonts w:ascii="Arial" w:eastAsia="Verdana" w:hAnsi="Arial" w:cs="Arial"/>
                <w:color w:val="000000"/>
                <w:sz w:val="20"/>
                <w:szCs w:val="20"/>
                <w:lang w:val="en-GB"/>
              </w:rPr>
              <w:t>62</w:t>
            </w:r>
          </w:p>
        </w:tc>
        <w:tc>
          <w:tcPr>
            <w:tcW w:w="843" w:type="dxa"/>
            <w:shd w:val="clear" w:color="auto" w:fill="auto"/>
            <w:tcMar>
              <w:top w:w="20" w:type="dxa"/>
              <w:left w:w="20" w:type="dxa"/>
              <w:bottom w:w="20" w:type="dxa"/>
              <w:right w:w="20" w:type="dxa"/>
            </w:tcMar>
            <w:vAlign w:val="center"/>
          </w:tcPr>
          <w:p w14:paraId="610534B4" w14:textId="77777777" w:rsidR="00C002D2" w:rsidRPr="000D67C6" w:rsidRDefault="00B341C7"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(4,381)</w:t>
            </w:r>
          </w:p>
        </w:tc>
        <w:tc>
          <w:tcPr>
            <w:tcW w:w="999" w:type="dxa"/>
            <w:shd w:val="clear" w:color="auto" w:fill="auto"/>
            <w:tcMar>
              <w:top w:w="20" w:type="dxa"/>
              <w:left w:w="20" w:type="dxa"/>
              <w:bottom w:w="20" w:type="dxa"/>
              <w:right w:w="20" w:type="dxa"/>
            </w:tcMar>
            <w:vAlign w:val="center"/>
          </w:tcPr>
          <w:p w14:paraId="1FC3D521" w14:textId="242CB62F" w:rsidR="00C002D2" w:rsidRPr="000D67C6" w:rsidRDefault="003F5BD2" w:rsidP="00C002D2">
            <w:pPr>
              <w:pStyle w:val="T1TableStyle"/>
              <w:jc w:val="right"/>
              <w:rPr>
                <w:rFonts w:ascii="Arial" w:eastAsia="Verdana" w:hAnsi="Arial" w:cs="Arial"/>
                <w:color w:val="000000"/>
                <w:sz w:val="20"/>
                <w:szCs w:val="20"/>
                <w:lang w:val="en-GB"/>
              </w:rPr>
            </w:pPr>
            <w:r>
              <w:rPr>
                <w:rFonts w:ascii="Arial" w:eastAsia="Verdana" w:hAnsi="Arial" w:cs="Arial"/>
                <w:color w:val="000000"/>
                <w:sz w:val="20"/>
                <w:szCs w:val="20"/>
                <w:lang w:val="en-GB"/>
              </w:rPr>
              <w:t>70</w:t>
            </w:r>
            <w:r w:rsidR="0095667F" w:rsidRPr="000D67C6">
              <w:rPr>
                <w:rFonts w:ascii="Arial" w:eastAsia="Verdana" w:hAnsi="Arial" w:cs="Arial"/>
                <w:color w:val="000000"/>
                <w:sz w:val="20"/>
                <w:szCs w:val="20"/>
                <w:lang w:val="en-GB"/>
              </w:rPr>
              <w:t>,</w:t>
            </w:r>
            <w:r>
              <w:rPr>
                <w:rFonts w:ascii="Arial" w:eastAsia="Verdana" w:hAnsi="Arial" w:cs="Arial"/>
                <w:color w:val="000000"/>
                <w:sz w:val="20"/>
                <w:szCs w:val="20"/>
                <w:lang w:val="en-GB"/>
              </w:rPr>
              <w:t>3</w:t>
            </w:r>
            <w:r w:rsidR="0095667F" w:rsidRPr="000D67C6">
              <w:rPr>
                <w:rFonts w:ascii="Arial" w:eastAsia="Verdana" w:hAnsi="Arial" w:cs="Arial"/>
                <w:color w:val="000000"/>
                <w:sz w:val="20"/>
                <w:szCs w:val="20"/>
                <w:lang w:val="en-GB"/>
              </w:rPr>
              <w:t>81</w:t>
            </w:r>
          </w:p>
        </w:tc>
      </w:tr>
      <w:tr w:rsidR="00C002D2" w:rsidRPr="000D67C6" w14:paraId="2DF73DA2" w14:textId="77777777" w:rsidTr="000E3907">
        <w:trPr>
          <w:trHeight w:val="25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08A0394"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48,779</w:t>
            </w:r>
          </w:p>
        </w:tc>
        <w:tc>
          <w:tcPr>
            <w:tcW w:w="103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9B7E8A8"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(4,292)</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F654F19"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44,487</w:t>
            </w:r>
          </w:p>
        </w:tc>
        <w:tc>
          <w:tcPr>
            <w:tcW w:w="340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C983DC2"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Cost of Services</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78626D9" w14:textId="78DE6D8A" w:rsidR="00C002D2" w:rsidRPr="000D67C6" w:rsidRDefault="0095667F"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7</w:t>
            </w:r>
            <w:r w:rsidR="003F5BD2">
              <w:rPr>
                <w:rFonts w:ascii="Arial" w:eastAsia="Verdana" w:hAnsi="Arial" w:cs="Arial"/>
                <w:b/>
                <w:sz w:val="20"/>
                <w:szCs w:val="20"/>
                <w:lang w:val="en-GB"/>
              </w:rPr>
              <w:t>4</w:t>
            </w:r>
            <w:r w:rsidRPr="000D67C6">
              <w:rPr>
                <w:rFonts w:ascii="Arial" w:eastAsia="Verdana" w:hAnsi="Arial" w:cs="Arial"/>
                <w:b/>
                <w:sz w:val="20"/>
                <w:szCs w:val="20"/>
                <w:lang w:val="en-GB"/>
              </w:rPr>
              <w:t>,</w:t>
            </w:r>
            <w:r w:rsidR="003F5BD2">
              <w:rPr>
                <w:rFonts w:ascii="Arial" w:eastAsia="Verdana" w:hAnsi="Arial" w:cs="Arial"/>
                <w:b/>
                <w:sz w:val="20"/>
                <w:szCs w:val="20"/>
                <w:lang w:val="en-GB"/>
              </w:rPr>
              <w:t>7</w:t>
            </w:r>
            <w:r w:rsidRPr="000D67C6">
              <w:rPr>
                <w:rFonts w:ascii="Arial" w:eastAsia="Verdana" w:hAnsi="Arial" w:cs="Arial"/>
                <w:b/>
                <w:sz w:val="20"/>
                <w:szCs w:val="20"/>
                <w:lang w:val="en-GB"/>
              </w:rPr>
              <w:t>62</w:t>
            </w:r>
          </w:p>
        </w:tc>
        <w:tc>
          <w:tcPr>
            <w:tcW w:w="84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08D37D6" w14:textId="77777777" w:rsidR="00C002D2" w:rsidRPr="000D67C6" w:rsidRDefault="00B341C7"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(4,381)</w:t>
            </w:r>
          </w:p>
        </w:tc>
        <w:tc>
          <w:tcPr>
            <w:tcW w:w="99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4A3E0E3" w14:textId="1AB5F910" w:rsidR="00C002D2" w:rsidRPr="000D67C6" w:rsidRDefault="003F5BD2" w:rsidP="00C002D2">
            <w:pPr>
              <w:pStyle w:val="T1TableStyle"/>
              <w:jc w:val="right"/>
              <w:rPr>
                <w:rFonts w:ascii="Arial" w:eastAsia="Verdana" w:hAnsi="Arial" w:cs="Arial"/>
                <w:b/>
                <w:sz w:val="20"/>
                <w:szCs w:val="20"/>
                <w:lang w:val="en-GB"/>
              </w:rPr>
            </w:pPr>
            <w:r>
              <w:rPr>
                <w:rFonts w:ascii="Arial" w:eastAsia="Verdana" w:hAnsi="Arial" w:cs="Arial"/>
                <w:b/>
                <w:sz w:val="20"/>
                <w:szCs w:val="20"/>
                <w:lang w:val="en-GB"/>
              </w:rPr>
              <w:t>70</w:t>
            </w:r>
            <w:r w:rsidR="00CE0CD2" w:rsidRPr="000D67C6">
              <w:rPr>
                <w:rFonts w:ascii="Arial" w:eastAsia="Verdana" w:hAnsi="Arial" w:cs="Arial"/>
                <w:b/>
                <w:sz w:val="20"/>
                <w:szCs w:val="20"/>
                <w:lang w:val="en-GB"/>
              </w:rPr>
              <w:t>,</w:t>
            </w:r>
            <w:r>
              <w:rPr>
                <w:rFonts w:ascii="Arial" w:eastAsia="Verdana" w:hAnsi="Arial" w:cs="Arial"/>
                <w:b/>
                <w:sz w:val="20"/>
                <w:szCs w:val="20"/>
                <w:lang w:val="en-GB"/>
              </w:rPr>
              <w:t>3</w:t>
            </w:r>
            <w:r w:rsidR="00CE0CD2" w:rsidRPr="000D67C6">
              <w:rPr>
                <w:rFonts w:ascii="Arial" w:eastAsia="Verdana" w:hAnsi="Arial" w:cs="Arial"/>
                <w:b/>
                <w:sz w:val="20"/>
                <w:szCs w:val="20"/>
                <w:lang w:val="en-GB"/>
              </w:rPr>
              <w:t>81</w:t>
            </w:r>
          </w:p>
        </w:tc>
      </w:tr>
      <w:tr w:rsidR="00C002D2" w:rsidRPr="000D67C6" w14:paraId="6ABFAA56" w14:textId="77777777" w:rsidTr="000E3907">
        <w:trPr>
          <w:trHeight w:val="369"/>
          <w:jc w:val="center"/>
        </w:trPr>
        <w:tc>
          <w:tcPr>
            <w:tcW w:w="1230" w:type="dxa"/>
            <w:shd w:val="clear" w:color="auto" w:fill="auto"/>
            <w:tcMar>
              <w:top w:w="20" w:type="dxa"/>
              <w:left w:w="20" w:type="dxa"/>
              <w:bottom w:w="20" w:type="dxa"/>
              <w:right w:w="20" w:type="dxa"/>
            </w:tcMar>
            <w:vAlign w:val="center"/>
          </w:tcPr>
          <w:p w14:paraId="0104292D"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1038" w:type="dxa"/>
            <w:shd w:val="clear" w:color="auto" w:fill="auto"/>
            <w:tcMar>
              <w:top w:w="20" w:type="dxa"/>
              <w:left w:w="20" w:type="dxa"/>
              <w:bottom w:w="20" w:type="dxa"/>
              <w:right w:w="20" w:type="dxa"/>
            </w:tcMar>
            <w:vAlign w:val="center"/>
          </w:tcPr>
          <w:p w14:paraId="17AC551A"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51" w:type="dxa"/>
            <w:shd w:val="clear" w:color="auto" w:fill="auto"/>
            <w:tcMar>
              <w:top w:w="20" w:type="dxa"/>
              <w:left w:w="20" w:type="dxa"/>
              <w:bottom w:w="20" w:type="dxa"/>
              <w:right w:w="20" w:type="dxa"/>
            </w:tcMar>
            <w:vAlign w:val="center"/>
          </w:tcPr>
          <w:p w14:paraId="4949914D"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(21)</w:t>
            </w:r>
          </w:p>
        </w:tc>
        <w:tc>
          <w:tcPr>
            <w:tcW w:w="3402" w:type="dxa"/>
            <w:shd w:val="clear" w:color="auto" w:fill="auto"/>
            <w:tcMar>
              <w:top w:w="20" w:type="dxa"/>
              <w:left w:w="20" w:type="dxa"/>
              <w:bottom w:w="20" w:type="dxa"/>
              <w:right w:w="20" w:type="dxa"/>
            </w:tcMar>
            <w:vAlign w:val="center"/>
          </w:tcPr>
          <w:p w14:paraId="2658078F"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Other Operating Expenditure</w:t>
            </w:r>
          </w:p>
        </w:tc>
        <w:tc>
          <w:tcPr>
            <w:tcW w:w="1276" w:type="dxa"/>
            <w:shd w:val="clear" w:color="auto" w:fill="auto"/>
            <w:tcMar>
              <w:top w:w="20" w:type="dxa"/>
              <w:left w:w="20" w:type="dxa"/>
              <w:bottom w:w="20" w:type="dxa"/>
              <w:right w:w="20" w:type="dxa"/>
            </w:tcMar>
            <w:vAlign w:val="center"/>
          </w:tcPr>
          <w:p w14:paraId="1A26CD2C"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43" w:type="dxa"/>
            <w:shd w:val="clear" w:color="auto" w:fill="auto"/>
            <w:tcMar>
              <w:top w:w="20" w:type="dxa"/>
              <w:left w:w="20" w:type="dxa"/>
              <w:bottom w:w="20" w:type="dxa"/>
              <w:right w:w="20" w:type="dxa"/>
            </w:tcMar>
            <w:vAlign w:val="center"/>
          </w:tcPr>
          <w:p w14:paraId="5D99CAC1"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999" w:type="dxa"/>
            <w:shd w:val="clear" w:color="auto" w:fill="auto"/>
            <w:tcMar>
              <w:top w:w="20" w:type="dxa"/>
              <w:left w:w="20" w:type="dxa"/>
              <w:bottom w:w="20" w:type="dxa"/>
              <w:right w:w="20" w:type="dxa"/>
            </w:tcMar>
            <w:vAlign w:val="center"/>
          </w:tcPr>
          <w:p w14:paraId="700429AC" w14:textId="77777777" w:rsidR="00C002D2" w:rsidRPr="000D67C6" w:rsidRDefault="00B341C7"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29</w:t>
            </w:r>
          </w:p>
        </w:tc>
      </w:tr>
      <w:tr w:rsidR="00C002D2" w:rsidRPr="000D67C6" w14:paraId="4B8471C3" w14:textId="77777777" w:rsidTr="000E3907">
        <w:trPr>
          <w:trHeight w:val="526"/>
          <w:jc w:val="center"/>
        </w:trPr>
        <w:tc>
          <w:tcPr>
            <w:tcW w:w="1230" w:type="dxa"/>
            <w:shd w:val="clear" w:color="auto" w:fill="auto"/>
            <w:tcMar>
              <w:top w:w="20" w:type="dxa"/>
              <w:left w:w="20" w:type="dxa"/>
              <w:bottom w:w="20" w:type="dxa"/>
              <w:right w:w="20" w:type="dxa"/>
            </w:tcMar>
            <w:vAlign w:val="center"/>
          </w:tcPr>
          <w:p w14:paraId="55F69303"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1038" w:type="dxa"/>
            <w:shd w:val="clear" w:color="auto" w:fill="auto"/>
            <w:tcMar>
              <w:top w:w="20" w:type="dxa"/>
              <w:left w:w="20" w:type="dxa"/>
              <w:bottom w:w="20" w:type="dxa"/>
              <w:right w:w="20" w:type="dxa"/>
            </w:tcMar>
            <w:vAlign w:val="center"/>
          </w:tcPr>
          <w:p w14:paraId="6F72B7E6"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51" w:type="dxa"/>
            <w:shd w:val="clear" w:color="auto" w:fill="auto"/>
            <w:tcMar>
              <w:top w:w="20" w:type="dxa"/>
              <w:left w:w="20" w:type="dxa"/>
              <w:bottom w:w="20" w:type="dxa"/>
              <w:right w:w="20" w:type="dxa"/>
            </w:tcMar>
            <w:vAlign w:val="center"/>
          </w:tcPr>
          <w:p w14:paraId="1F05DC48"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13,262</w:t>
            </w:r>
          </w:p>
        </w:tc>
        <w:tc>
          <w:tcPr>
            <w:tcW w:w="3402" w:type="dxa"/>
            <w:shd w:val="clear" w:color="auto" w:fill="auto"/>
            <w:tcMar>
              <w:top w:w="20" w:type="dxa"/>
              <w:left w:w="20" w:type="dxa"/>
              <w:bottom w:w="20" w:type="dxa"/>
              <w:right w:w="20" w:type="dxa"/>
            </w:tcMar>
            <w:vAlign w:val="center"/>
          </w:tcPr>
          <w:p w14:paraId="3EE07505"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Financing and Investment Income </w:t>
            </w:r>
          </w:p>
          <w:p w14:paraId="43F629DE"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and Expenditure (Note 10)</w:t>
            </w:r>
          </w:p>
        </w:tc>
        <w:tc>
          <w:tcPr>
            <w:tcW w:w="1276" w:type="dxa"/>
            <w:shd w:val="clear" w:color="auto" w:fill="auto"/>
            <w:tcMar>
              <w:top w:w="20" w:type="dxa"/>
              <w:left w:w="20" w:type="dxa"/>
              <w:bottom w:w="20" w:type="dxa"/>
              <w:right w:w="20" w:type="dxa"/>
            </w:tcMar>
            <w:vAlign w:val="center"/>
          </w:tcPr>
          <w:p w14:paraId="55B0F673"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43" w:type="dxa"/>
            <w:shd w:val="clear" w:color="auto" w:fill="auto"/>
            <w:tcMar>
              <w:top w:w="20" w:type="dxa"/>
              <w:left w:w="20" w:type="dxa"/>
              <w:bottom w:w="20" w:type="dxa"/>
              <w:right w:w="20" w:type="dxa"/>
            </w:tcMar>
            <w:vAlign w:val="center"/>
          </w:tcPr>
          <w:p w14:paraId="00EB7A97"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999" w:type="dxa"/>
            <w:shd w:val="clear" w:color="auto" w:fill="auto"/>
            <w:tcMar>
              <w:top w:w="20" w:type="dxa"/>
              <w:left w:w="20" w:type="dxa"/>
              <w:bottom w:w="20" w:type="dxa"/>
              <w:right w:w="20" w:type="dxa"/>
            </w:tcMar>
            <w:vAlign w:val="center"/>
          </w:tcPr>
          <w:p w14:paraId="64CA9A0B" w14:textId="01792E29" w:rsidR="00C002D2" w:rsidRPr="000D67C6" w:rsidRDefault="00EA69F9"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13,</w:t>
            </w:r>
            <w:r w:rsidR="00236C02" w:rsidRPr="000D67C6">
              <w:rPr>
                <w:rFonts w:ascii="Arial" w:eastAsia="Verdana" w:hAnsi="Arial" w:cs="Arial"/>
                <w:color w:val="000000"/>
                <w:sz w:val="20"/>
                <w:szCs w:val="20"/>
                <w:lang w:val="en-GB"/>
              </w:rPr>
              <w:t>641</w:t>
            </w:r>
          </w:p>
        </w:tc>
      </w:tr>
      <w:tr w:rsidR="00C002D2" w:rsidRPr="000D67C6" w14:paraId="7602EEA6" w14:textId="77777777" w:rsidTr="000E3907">
        <w:trPr>
          <w:trHeight w:val="237"/>
          <w:jc w:val="center"/>
        </w:trPr>
        <w:tc>
          <w:tcPr>
            <w:tcW w:w="1230" w:type="dxa"/>
            <w:shd w:val="clear" w:color="auto" w:fill="auto"/>
            <w:tcMar>
              <w:top w:w="20" w:type="dxa"/>
              <w:left w:w="20" w:type="dxa"/>
              <w:bottom w:w="20" w:type="dxa"/>
              <w:right w:w="20" w:type="dxa"/>
            </w:tcMar>
            <w:vAlign w:val="center"/>
          </w:tcPr>
          <w:p w14:paraId="330D1C02"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1038" w:type="dxa"/>
            <w:shd w:val="clear" w:color="auto" w:fill="auto"/>
            <w:tcMar>
              <w:top w:w="20" w:type="dxa"/>
              <w:left w:w="20" w:type="dxa"/>
              <w:bottom w:w="20" w:type="dxa"/>
              <w:right w:w="20" w:type="dxa"/>
            </w:tcMar>
            <w:vAlign w:val="center"/>
          </w:tcPr>
          <w:p w14:paraId="18F84E39"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51" w:type="dxa"/>
            <w:shd w:val="clear" w:color="auto" w:fill="auto"/>
            <w:tcMar>
              <w:top w:w="20" w:type="dxa"/>
              <w:left w:w="20" w:type="dxa"/>
              <w:bottom w:w="20" w:type="dxa"/>
              <w:right w:w="20" w:type="dxa"/>
            </w:tcMar>
            <w:vAlign w:val="center"/>
          </w:tcPr>
          <w:p w14:paraId="08DD9DDA"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(46,415)</w:t>
            </w:r>
          </w:p>
        </w:tc>
        <w:tc>
          <w:tcPr>
            <w:tcW w:w="3402" w:type="dxa"/>
            <w:shd w:val="clear" w:color="auto" w:fill="auto"/>
            <w:tcMar>
              <w:top w:w="20" w:type="dxa"/>
              <w:left w:w="20" w:type="dxa"/>
              <w:bottom w:w="20" w:type="dxa"/>
              <w:right w:w="20" w:type="dxa"/>
            </w:tcMar>
            <w:vAlign w:val="center"/>
          </w:tcPr>
          <w:p w14:paraId="38FD7010"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Taxation and Non-Specific Grant   </w:t>
            </w:r>
          </w:p>
          <w:p w14:paraId="6DC0F4AB"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Income (Note 11)</w:t>
            </w:r>
          </w:p>
        </w:tc>
        <w:tc>
          <w:tcPr>
            <w:tcW w:w="1276" w:type="dxa"/>
            <w:shd w:val="clear" w:color="auto" w:fill="auto"/>
            <w:tcMar>
              <w:top w:w="20" w:type="dxa"/>
              <w:left w:w="20" w:type="dxa"/>
              <w:bottom w:w="20" w:type="dxa"/>
              <w:right w:w="20" w:type="dxa"/>
            </w:tcMar>
            <w:vAlign w:val="center"/>
          </w:tcPr>
          <w:p w14:paraId="1E7742AD"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843" w:type="dxa"/>
            <w:shd w:val="clear" w:color="auto" w:fill="auto"/>
            <w:tcMar>
              <w:top w:w="20" w:type="dxa"/>
              <w:left w:w="20" w:type="dxa"/>
              <w:bottom w:w="20" w:type="dxa"/>
              <w:right w:w="20" w:type="dxa"/>
            </w:tcMar>
            <w:vAlign w:val="center"/>
          </w:tcPr>
          <w:p w14:paraId="6045B8BE" w14:textId="77777777" w:rsidR="00C002D2" w:rsidRPr="000D67C6" w:rsidRDefault="00C002D2" w:rsidP="00C002D2">
            <w:pPr>
              <w:pStyle w:val="T1TableStyle"/>
              <w:jc w:val="right"/>
              <w:rPr>
                <w:rFonts w:ascii="Arial" w:eastAsia="Verdana" w:hAnsi="Arial" w:cs="Arial"/>
                <w:color w:val="000000"/>
                <w:sz w:val="20"/>
                <w:szCs w:val="20"/>
                <w:lang w:val="en-GB"/>
              </w:rPr>
            </w:pPr>
          </w:p>
        </w:tc>
        <w:tc>
          <w:tcPr>
            <w:tcW w:w="999" w:type="dxa"/>
            <w:shd w:val="clear" w:color="auto" w:fill="auto"/>
            <w:tcMar>
              <w:top w:w="20" w:type="dxa"/>
              <w:left w:w="20" w:type="dxa"/>
              <w:bottom w:w="20" w:type="dxa"/>
              <w:right w:w="20" w:type="dxa"/>
            </w:tcMar>
            <w:vAlign w:val="center"/>
          </w:tcPr>
          <w:p w14:paraId="6DCD3F51" w14:textId="77777777" w:rsidR="00C002D2" w:rsidRPr="000D67C6" w:rsidRDefault="00EA69F9"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(47,028)</w:t>
            </w:r>
          </w:p>
        </w:tc>
      </w:tr>
      <w:tr w:rsidR="00C002D2" w:rsidRPr="000D67C6" w14:paraId="55ACA9B1" w14:textId="77777777" w:rsidTr="000E3907">
        <w:trPr>
          <w:trHeight w:val="284"/>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98A499E" w14:textId="77777777" w:rsidR="00C002D2" w:rsidRPr="000D67C6" w:rsidRDefault="00C002D2" w:rsidP="00C002D2">
            <w:pPr>
              <w:pStyle w:val="T1TableStyle"/>
              <w:jc w:val="right"/>
              <w:rPr>
                <w:rFonts w:ascii="Arial" w:eastAsia="Verdana" w:hAnsi="Arial" w:cs="Arial"/>
                <w:b/>
                <w:sz w:val="20"/>
                <w:szCs w:val="20"/>
                <w:lang w:val="en-GB"/>
              </w:rPr>
            </w:pPr>
          </w:p>
        </w:tc>
        <w:tc>
          <w:tcPr>
            <w:tcW w:w="103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9372137" w14:textId="77777777" w:rsidR="00C002D2" w:rsidRPr="000D67C6" w:rsidRDefault="00C002D2" w:rsidP="00C002D2">
            <w:pPr>
              <w:pStyle w:val="T1TableStyle"/>
              <w:jc w:val="right"/>
              <w:rPr>
                <w:rFonts w:ascii="Arial" w:eastAsia="Verdana" w:hAnsi="Arial" w:cs="Arial"/>
                <w:b/>
                <w:sz w:val="20"/>
                <w:szCs w:val="20"/>
                <w:lang w:val="en-GB"/>
              </w:rPr>
            </w:pP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3022D9F"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11,313</w:t>
            </w:r>
          </w:p>
        </w:tc>
        <w:tc>
          <w:tcPr>
            <w:tcW w:w="340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59D034F"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(Surplus) or Deficit on Provision </w:t>
            </w:r>
          </w:p>
          <w:p w14:paraId="4394994F"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of Services</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6CA3A99" w14:textId="77777777" w:rsidR="00C002D2" w:rsidRPr="000D67C6" w:rsidRDefault="00C002D2" w:rsidP="00C002D2">
            <w:pPr>
              <w:pStyle w:val="T1TableStyle"/>
              <w:jc w:val="right"/>
              <w:rPr>
                <w:rFonts w:ascii="Arial" w:eastAsia="Verdana" w:hAnsi="Arial" w:cs="Arial"/>
                <w:b/>
                <w:sz w:val="20"/>
                <w:szCs w:val="20"/>
                <w:lang w:val="en-GB"/>
              </w:rPr>
            </w:pPr>
          </w:p>
        </w:tc>
        <w:tc>
          <w:tcPr>
            <w:tcW w:w="84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736E3B1" w14:textId="77777777" w:rsidR="00C002D2" w:rsidRPr="000D67C6" w:rsidRDefault="00C002D2" w:rsidP="00C002D2">
            <w:pPr>
              <w:pStyle w:val="T1TableStyle"/>
              <w:jc w:val="right"/>
              <w:rPr>
                <w:rFonts w:ascii="Arial" w:eastAsia="Verdana" w:hAnsi="Arial" w:cs="Arial"/>
                <w:b/>
                <w:sz w:val="20"/>
                <w:szCs w:val="20"/>
                <w:lang w:val="en-GB"/>
              </w:rPr>
            </w:pPr>
          </w:p>
        </w:tc>
        <w:tc>
          <w:tcPr>
            <w:tcW w:w="99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FC9A430" w14:textId="10373D17" w:rsidR="00C002D2" w:rsidRPr="000D67C6" w:rsidRDefault="00CE0C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8378FA">
              <w:rPr>
                <w:rFonts w:ascii="Arial" w:eastAsia="Verdana" w:hAnsi="Arial" w:cs="Arial"/>
                <w:b/>
                <w:sz w:val="20"/>
                <w:szCs w:val="20"/>
                <w:lang w:val="en-GB"/>
              </w:rPr>
              <w:t>7</w:t>
            </w:r>
            <w:r w:rsidRPr="000D67C6">
              <w:rPr>
                <w:rFonts w:ascii="Arial" w:eastAsia="Verdana" w:hAnsi="Arial" w:cs="Arial"/>
                <w:b/>
                <w:sz w:val="20"/>
                <w:szCs w:val="20"/>
                <w:lang w:val="en-GB"/>
              </w:rPr>
              <w:t>,</w:t>
            </w:r>
            <w:r w:rsidR="00B959A9">
              <w:rPr>
                <w:rFonts w:ascii="Arial" w:eastAsia="Verdana" w:hAnsi="Arial" w:cs="Arial"/>
                <w:b/>
                <w:sz w:val="20"/>
                <w:szCs w:val="20"/>
                <w:lang w:val="en-GB"/>
              </w:rPr>
              <w:t>023</w:t>
            </w:r>
          </w:p>
        </w:tc>
      </w:tr>
      <w:tr w:rsidR="00C002D2" w:rsidRPr="000D67C6" w14:paraId="291E9E0D" w14:textId="77777777" w:rsidTr="000E3907">
        <w:trPr>
          <w:trHeight w:hRule="exact" w:val="98"/>
          <w:jc w:val="center"/>
        </w:trPr>
        <w:tc>
          <w:tcPr>
            <w:tcW w:w="1230" w:type="dxa"/>
            <w:shd w:val="clear" w:color="auto" w:fill="auto"/>
            <w:tcMar>
              <w:top w:w="20" w:type="dxa"/>
              <w:left w:w="20" w:type="dxa"/>
              <w:bottom w:w="20" w:type="dxa"/>
              <w:right w:w="20" w:type="dxa"/>
            </w:tcMar>
            <w:vAlign w:val="center"/>
          </w:tcPr>
          <w:p w14:paraId="5BF6C67D" w14:textId="77777777" w:rsidR="00C002D2" w:rsidRPr="000D67C6" w:rsidRDefault="00C002D2" w:rsidP="00C002D2">
            <w:pPr>
              <w:pStyle w:val="T1TableStyle"/>
              <w:jc w:val="center"/>
              <w:rPr>
                <w:rFonts w:ascii="Arial" w:eastAsia="Calibri" w:hAnsi="Arial" w:cs="Arial"/>
                <w:sz w:val="20"/>
                <w:szCs w:val="20"/>
                <w:lang w:val="en-GB"/>
              </w:rPr>
            </w:pPr>
          </w:p>
        </w:tc>
        <w:tc>
          <w:tcPr>
            <w:tcW w:w="1038" w:type="dxa"/>
            <w:shd w:val="clear" w:color="auto" w:fill="auto"/>
            <w:tcMar>
              <w:top w:w="20" w:type="dxa"/>
              <w:left w:w="20" w:type="dxa"/>
              <w:bottom w:w="20" w:type="dxa"/>
              <w:right w:w="20" w:type="dxa"/>
            </w:tcMar>
            <w:vAlign w:val="center"/>
          </w:tcPr>
          <w:p w14:paraId="2529856D" w14:textId="77777777" w:rsidR="00C002D2" w:rsidRPr="000D67C6" w:rsidRDefault="00C002D2" w:rsidP="00C002D2">
            <w:pPr>
              <w:pStyle w:val="T1TableStyle"/>
              <w:jc w:val="center"/>
              <w:rPr>
                <w:rFonts w:ascii="Arial" w:eastAsia="Calibri" w:hAnsi="Arial" w:cs="Arial"/>
                <w:sz w:val="20"/>
                <w:szCs w:val="20"/>
                <w:lang w:val="en-GB"/>
              </w:rPr>
            </w:pPr>
          </w:p>
        </w:tc>
        <w:tc>
          <w:tcPr>
            <w:tcW w:w="851" w:type="dxa"/>
            <w:shd w:val="clear" w:color="auto" w:fill="auto"/>
            <w:tcMar>
              <w:top w:w="20" w:type="dxa"/>
              <w:left w:w="20" w:type="dxa"/>
              <w:bottom w:w="20" w:type="dxa"/>
              <w:right w:w="20" w:type="dxa"/>
            </w:tcMar>
            <w:vAlign w:val="center"/>
          </w:tcPr>
          <w:p w14:paraId="44F05C2C" w14:textId="77777777" w:rsidR="00C002D2" w:rsidRPr="000D67C6" w:rsidRDefault="00C002D2" w:rsidP="00C002D2">
            <w:pPr>
              <w:pStyle w:val="T1TableStyle"/>
              <w:jc w:val="center"/>
              <w:rPr>
                <w:rFonts w:ascii="Arial" w:eastAsia="Calibri" w:hAnsi="Arial" w:cs="Arial"/>
                <w:sz w:val="20"/>
                <w:szCs w:val="20"/>
                <w:lang w:val="en-GB"/>
              </w:rPr>
            </w:pPr>
          </w:p>
        </w:tc>
        <w:tc>
          <w:tcPr>
            <w:tcW w:w="3402" w:type="dxa"/>
            <w:shd w:val="clear" w:color="auto" w:fill="auto"/>
            <w:tcMar>
              <w:top w:w="20" w:type="dxa"/>
              <w:left w:w="20" w:type="dxa"/>
              <w:bottom w:w="20" w:type="dxa"/>
              <w:right w:w="20" w:type="dxa"/>
            </w:tcMar>
            <w:vAlign w:val="center"/>
          </w:tcPr>
          <w:p w14:paraId="540CD8F4" w14:textId="77777777" w:rsidR="00C002D2" w:rsidRPr="000D67C6" w:rsidRDefault="00C002D2" w:rsidP="00C002D2">
            <w:pPr>
              <w:pStyle w:val="T1TableStyle"/>
              <w:jc w:val="center"/>
              <w:rPr>
                <w:rFonts w:ascii="Arial" w:eastAsia="Calibri" w:hAnsi="Arial" w:cs="Arial"/>
                <w:sz w:val="20"/>
                <w:szCs w:val="20"/>
                <w:lang w:val="en-GB"/>
              </w:rPr>
            </w:pPr>
            <w:r w:rsidRPr="000D67C6">
              <w:rPr>
                <w:rFonts w:ascii="Arial" w:eastAsia="Calibri" w:hAnsi="Arial" w:cs="Arial"/>
                <w:sz w:val="20"/>
                <w:szCs w:val="20"/>
                <w:lang w:val="en-GB"/>
              </w:rPr>
              <w:t xml:space="preserve"> </w:t>
            </w:r>
          </w:p>
        </w:tc>
        <w:tc>
          <w:tcPr>
            <w:tcW w:w="1276" w:type="dxa"/>
            <w:shd w:val="clear" w:color="auto" w:fill="auto"/>
            <w:tcMar>
              <w:top w:w="20" w:type="dxa"/>
              <w:left w:w="20" w:type="dxa"/>
              <w:bottom w:w="20" w:type="dxa"/>
              <w:right w:w="20" w:type="dxa"/>
            </w:tcMar>
            <w:vAlign w:val="center"/>
          </w:tcPr>
          <w:p w14:paraId="0BEBE1BC" w14:textId="77777777" w:rsidR="00C002D2" w:rsidRPr="000D67C6" w:rsidRDefault="00C002D2" w:rsidP="00C002D2">
            <w:pPr>
              <w:pStyle w:val="T1TableStyle"/>
              <w:jc w:val="center"/>
              <w:rPr>
                <w:rFonts w:ascii="Arial" w:eastAsia="Calibri" w:hAnsi="Arial" w:cs="Arial"/>
                <w:sz w:val="20"/>
                <w:szCs w:val="20"/>
                <w:lang w:val="en-GB"/>
              </w:rPr>
            </w:pPr>
          </w:p>
        </w:tc>
        <w:tc>
          <w:tcPr>
            <w:tcW w:w="843" w:type="dxa"/>
            <w:shd w:val="clear" w:color="auto" w:fill="auto"/>
            <w:tcMar>
              <w:top w:w="20" w:type="dxa"/>
              <w:left w:w="20" w:type="dxa"/>
              <w:bottom w:w="20" w:type="dxa"/>
              <w:right w:w="20" w:type="dxa"/>
            </w:tcMar>
            <w:vAlign w:val="center"/>
          </w:tcPr>
          <w:p w14:paraId="733F9BA5" w14:textId="77777777" w:rsidR="00C002D2" w:rsidRPr="000D67C6" w:rsidRDefault="00C002D2" w:rsidP="00C002D2">
            <w:pPr>
              <w:pStyle w:val="T1TableStyle"/>
              <w:jc w:val="center"/>
              <w:rPr>
                <w:rFonts w:ascii="Arial" w:eastAsia="Calibri" w:hAnsi="Arial" w:cs="Arial"/>
                <w:sz w:val="20"/>
                <w:szCs w:val="20"/>
                <w:lang w:val="en-GB"/>
              </w:rPr>
            </w:pPr>
          </w:p>
        </w:tc>
        <w:tc>
          <w:tcPr>
            <w:tcW w:w="999" w:type="dxa"/>
            <w:shd w:val="clear" w:color="auto" w:fill="auto"/>
            <w:tcMar>
              <w:top w:w="20" w:type="dxa"/>
              <w:left w:w="20" w:type="dxa"/>
              <w:bottom w:w="20" w:type="dxa"/>
              <w:right w:w="20" w:type="dxa"/>
            </w:tcMar>
            <w:vAlign w:val="center"/>
          </w:tcPr>
          <w:p w14:paraId="6A430B8A" w14:textId="77777777" w:rsidR="00C002D2" w:rsidRPr="000D67C6" w:rsidRDefault="00C002D2" w:rsidP="00C002D2">
            <w:pPr>
              <w:pStyle w:val="T1TableStyle"/>
              <w:jc w:val="center"/>
              <w:rPr>
                <w:rFonts w:ascii="Arial" w:eastAsia="Calibri" w:hAnsi="Arial" w:cs="Arial"/>
                <w:sz w:val="20"/>
                <w:szCs w:val="20"/>
                <w:lang w:val="en-GB"/>
              </w:rPr>
            </w:pPr>
          </w:p>
        </w:tc>
      </w:tr>
      <w:tr w:rsidR="00C002D2" w:rsidRPr="000D67C6" w14:paraId="6D558093" w14:textId="77777777" w:rsidTr="000E3907">
        <w:trPr>
          <w:trHeight w:val="440"/>
          <w:jc w:val="center"/>
        </w:trPr>
        <w:tc>
          <w:tcPr>
            <w:tcW w:w="1230" w:type="dxa"/>
            <w:shd w:val="clear" w:color="auto" w:fill="auto"/>
            <w:tcMar>
              <w:top w:w="20" w:type="dxa"/>
              <w:left w:w="20" w:type="dxa"/>
              <w:bottom w:w="20" w:type="dxa"/>
              <w:right w:w="20" w:type="dxa"/>
            </w:tcMar>
            <w:vAlign w:val="center"/>
          </w:tcPr>
          <w:p w14:paraId="16A2284D" w14:textId="77777777" w:rsidR="00C002D2" w:rsidRPr="000D67C6" w:rsidRDefault="00C002D2" w:rsidP="00C002D2">
            <w:pPr>
              <w:pStyle w:val="T1TableStyle"/>
              <w:jc w:val="center"/>
              <w:rPr>
                <w:rFonts w:ascii="Arial" w:eastAsia="Verdana" w:hAnsi="Arial" w:cs="Arial"/>
                <w:sz w:val="20"/>
                <w:szCs w:val="20"/>
                <w:lang w:val="en-GB"/>
              </w:rPr>
            </w:pPr>
          </w:p>
        </w:tc>
        <w:tc>
          <w:tcPr>
            <w:tcW w:w="1038" w:type="dxa"/>
            <w:shd w:val="clear" w:color="auto" w:fill="auto"/>
            <w:tcMar>
              <w:top w:w="20" w:type="dxa"/>
              <w:left w:w="20" w:type="dxa"/>
              <w:bottom w:w="20" w:type="dxa"/>
              <w:right w:w="20" w:type="dxa"/>
            </w:tcMar>
            <w:vAlign w:val="center"/>
          </w:tcPr>
          <w:p w14:paraId="65F0C1B3" w14:textId="77777777" w:rsidR="00C002D2" w:rsidRPr="000D67C6" w:rsidRDefault="00C002D2" w:rsidP="00C002D2">
            <w:pPr>
              <w:pStyle w:val="T1TableStyle"/>
              <w:jc w:val="center"/>
              <w:rPr>
                <w:rFonts w:ascii="Arial" w:eastAsia="Verdana" w:hAnsi="Arial" w:cs="Arial"/>
                <w:sz w:val="20"/>
                <w:szCs w:val="20"/>
                <w:lang w:val="en-GB"/>
              </w:rPr>
            </w:pPr>
          </w:p>
        </w:tc>
        <w:tc>
          <w:tcPr>
            <w:tcW w:w="851" w:type="dxa"/>
            <w:shd w:val="clear" w:color="auto" w:fill="auto"/>
            <w:tcMar>
              <w:top w:w="20" w:type="dxa"/>
              <w:left w:w="20" w:type="dxa"/>
              <w:bottom w:w="20" w:type="dxa"/>
              <w:right w:w="20" w:type="dxa"/>
            </w:tcMar>
            <w:vAlign w:val="center"/>
          </w:tcPr>
          <w:p w14:paraId="6043E4EA"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0</w:t>
            </w:r>
          </w:p>
        </w:tc>
        <w:tc>
          <w:tcPr>
            <w:tcW w:w="3402" w:type="dxa"/>
            <w:shd w:val="clear" w:color="auto" w:fill="auto"/>
            <w:tcMar>
              <w:top w:w="20" w:type="dxa"/>
              <w:left w:w="20" w:type="dxa"/>
              <w:bottom w:w="20" w:type="dxa"/>
              <w:right w:w="20" w:type="dxa"/>
            </w:tcMar>
            <w:vAlign w:val="center"/>
          </w:tcPr>
          <w:p w14:paraId="27B1CCA3"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Surplus or deficit on revaluation of </w:t>
            </w:r>
          </w:p>
          <w:p w14:paraId="6B0444B5"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Property, Plant and Equipment</w:t>
            </w:r>
          </w:p>
        </w:tc>
        <w:tc>
          <w:tcPr>
            <w:tcW w:w="1276" w:type="dxa"/>
            <w:shd w:val="clear" w:color="auto" w:fill="auto"/>
            <w:tcMar>
              <w:top w:w="20" w:type="dxa"/>
              <w:left w:w="20" w:type="dxa"/>
              <w:bottom w:w="20" w:type="dxa"/>
              <w:right w:w="20" w:type="dxa"/>
            </w:tcMar>
            <w:vAlign w:val="center"/>
          </w:tcPr>
          <w:p w14:paraId="1DCCB623" w14:textId="77777777" w:rsidR="00C002D2" w:rsidRPr="000D67C6" w:rsidRDefault="00C002D2" w:rsidP="00C002D2">
            <w:pPr>
              <w:pStyle w:val="T1TableStyle"/>
              <w:jc w:val="center"/>
              <w:rPr>
                <w:rFonts w:ascii="Arial" w:eastAsia="Verdana" w:hAnsi="Arial" w:cs="Arial"/>
                <w:sz w:val="20"/>
                <w:szCs w:val="20"/>
                <w:lang w:val="en-GB"/>
              </w:rPr>
            </w:pPr>
          </w:p>
        </w:tc>
        <w:tc>
          <w:tcPr>
            <w:tcW w:w="843" w:type="dxa"/>
            <w:shd w:val="clear" w:color="auto" w:fill="auto"/>
            <w:tcMar>
              <w:top w:w="20" w:type="dxa"/>
              <w:left w:w="20" w:type="dxa"/>
              <w:bottom w:w="20" w:type="dxa"/>
              <w:right w:w="20" w:type="dxa"/>
            </w:tcMar>
            <w:vAlign w:val="center"/>
          </w:tcPr>
          <w:p w14:paraId="51742339" w14:textId="77777777" w:rsidR="00C002D2" w:rsidRPr="000D67C6" w:rsidRDefault="00C002D2" w:rsidP="00C002D2">
            <w:pPr>
              <w:pStyle w:val="T1TableStyle"/>
              <w:jc w:val="center"/>
              <w:rPr>
                <w:rFonts w:ascii="Arial" w:eastAsia="Verdana" w:hAnsi="Arial" w:cs="Arial"/>
                <w:sz w:val="20"/>
                <w:szCs w:val="20"/>
                <w:lang w:val="en-GB"/>
              </w:rPr>
            </w:pPr>
          </w:p>
        </w:tc>
        <w:tc>
          <w:tcPr>
            <w:tcW w:w="999" w:type="dxa"/>
            <w:shd w:val="clear" w:color="auto" w:fill="auto"/>
            <w:tcMar>
              <w:top w:w="20" w:type="dxa"/>
              <w:left w:w="20" w:type="dxa"/>
              <w:bottom w:w="20" w:type="dxa"/>
              <w:right w:w="20" w:type="dxa"/>
            </w:tcMar>
            <w:vAlign w:val="center"/>
          </w:tcPr>
          <w:p w14:paraId="6F78189F" w14:textId="77777777" w:rsidR="00C002D2" w:rsidRPr="000D67C6" w:rsidRDefault="00EA69F9"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0</w:t>
            </w:r>
          </w:p>
        </w:tc>
      </w:tr>
      <w:tr w:rsidR="00C002D2" w:rsidRPr="000D67C6" w14:paraId="70C67ED0" w14:textId="77777777" w:rsidTr="000E3907">
        <w:trPr>
          <w:trHeight w:val="606"/>
          <w:jc w:val="center"/>
        </w:trPr>
        <w:tc>
          <w:tcPr>
            <w:tcW w:w="1230" w:type="dxa"/>
            <w:shd w:val="clear" w:color="auto" w:fill="auto"/>
            <w:tcMar>
              <w:top w:w="20" w:type="dxa"/>
              <w:left w:w="20" w:type="dxa"/>
              <w:bottom w:w="20" w:type="dxa"/>
              <w:right w:w="20" w:type="dxa"/>
            </w:tcMar>
            <w:vAlign w:val="center"/>
          </w:tcPr>
          <w:p w14:paraId="04326824" w14:textId="77777777" w:rsidR="00C002D2" w:rsidRPr="000D67C6" w:rsidRDefault="00C002D2" w:rsidP="00C002D2">
            <w:pPr>
              <w:pStyle w:val="T1TableStyle"/>
              <w:jc w:val="center"/>
              <w:rPr>
                <w:rFonts w:ascii="Arial" w:eastAsia="Calibri" w:hAnsi="Arial" w:cs="Arial"/>
                <w:sz w:val="20"/>
                <w:szCs w:val="20"/>
                <w:lang w:val="en-GB"/>
              </w:rPr>
            </w:pPr>
          </w:p>
        </w:tc>
        <w:tc>
          <w:tcPr>
            <w:tcW w:w="1038" w:type="dxa"/>
            <w:shd w:val="clear" w:color="auto" w:fill="auto"/>
            <w:tcMar>
              <w:top w:w="20" w:type="dxa"/>
              <w:left w:w="20" w:type="dxa"/>
              <w:bottom w:w="20" w:type="dxa"/>
              <w:right w:w="20" w:type="dxa"/>
            </w:tcMar>
            <w:vAlign w:val="center"/>
          </w:tcPr>
          <w:p w14:paraId="1CD1CD60" w14:textId="77777777" w:rsidR="00C002D2" w:rsidRPr="000D67C6" w:rsidRDefault="00C002D2" w:rsidP="00C002D2">
            <w:pPr>
              <w:pStyle w:val="T1TableStyle"/>
              <w:jc w:val="center"/>
              <w:rPr>
                <w:rFonts w:ascii="Arial" w:eastAsia="Calibri" w:hAnsi="Arial" w:cs="Arial"/>
                <w:sz w:val="20"/>
                <w:szCs w:val="20"/>
                <w:lang w:val="en-GB"/>
              </w:rPr>
            </w:pPr>
          </w:p>
        </w:tc>
        <w:tc>
          <w:tcPr>
            <w:tcW w:w="851" w:type="dxa"/>
            <w:shd w:val="clear" w:color="auto" w:fill="auto"/>
            <w:tcMar>
              <w:top w:w="20" w:type="dxa"/>
              <w:left w:w="20" w:type="dxa"/>
              <w:bottom w:w="20" w:type="dxa"/>
              <w:right w:w="20" w:type="dxa"/>
            </w:tcMar>
            <w:vAlign w:val="center"/>
          </w:tcPr>
          <w:p w14:paraId="37C09A5E" w14:textId="77777777" w:rsidR="00C002D2" w:rsidRPr="000D67C6" w:rsidRDefault="00C002D2" w:rsidP="00C002D2">
            <w:pPr>
              <w:pStyle w:val="T1TableStyle"/>
              <w:jc w:val="right"/>
              <w:rPr>
                <w:rFonts w:ascii="Arial" w:eastAsia="Verdana" w:hAnsi="Arial" w:cs="Arial"/>
                <w:color w:val="000000"/>
                <w:sz w:val="20"/>
                <w:szCs w:val="20"/>
                <w:lang w:val="en-GB"/>
              </w:rPr>
            </w:pPr>
            <w:r w:rsidRPr="000D67C6">
              <w:rPr>
                <w:rFonts w:ascii="Arial" w:eastAsia="Verdana" w:hAnsi="Arial" w:cs="Arial"/>
                <w:sz w:val="20"/>
                <w:szCs w:val="22"/>
                <w:lang w:val="en-GB"/>
              </w:rPr>
              <w:t>18,555</w:t>
            </w:r>
          </w:p>
        </w:tc>
        <w:tc>
          <w:tcPr>
            <w:tcW w:w="3402" w:type="dxa"/>
            <w:shd w:val="clear" w:color="auto" w:fill="auto"/>
            <w:tcMar>
              <w:top w:w="20" w:type="dxa"/>
              <w:left w:w="20" w:type="dxa"/>
              <w:bottom w:w="20" w:type="dxa"/>
              <w:right w:w="20" w:type="dxa"/>
            </w:tcMar>
            <w:vAlign w:val="center"/>
          </w:tcPr>
          <w:p w14:paraId="72EECE5A"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Remeasurement of the net defined </w:t>
            </w:r>
          </w:p>
          <w:p w14:paraId="4E6F5A77" w14:textId="5180BF84"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 xml:space="preserve">  benefit liability / (asset) (Note 18</w:t>
            </w:r>
            <w:r w:rsidR="00DD022C" w:rsidRPr="000D67C6">
              <w:rPr>
                <w:rFonts w:ascii="Arial" w:eastAsia="Verdana" w:hAnsi="Arial" w:cs="Arial"/>
                <w:sz w:val="20"/>
                <w:szCs w:val="20"/>
                <w:lang w:val="en-GB"/>
              </w:rPr>
              <w:t>c</w:t>
            </w:r>
            <w:r w:rsidRPr="000D67C6">
              <w:rPr>
                <w:rFonts w:ascii="Arial" w:eastAsia="Verdana" w:hAnsi="Arial" w:cs="Arial"/>
                <w:sz w:val="20"/>
                <w:szCs w:val="20"/>
                <w:lang w:val="en-GB"/>
              </w:rPr>
              <w:t>)</w:t>
            </w:r>
          </w:p>
        </w:tc>
        <w:tc>
          <w:tcPr>
            <w:tcW w:w="1276" w:type="dxa"/>
            <w:shd w:val="clear" w:color="auto" w:fill="auto"/>
            <w:tcMar>
              <w:top w:w="20" w:type="dxa"/>
              <w:left w:w="20" w:type="dxa"/>
              <w:bottom w:w="20" w:type="dxa"/>
              <w:right w:w="20" w:type="dxa"/>
            </w:tcMar>
            <w:vAlign w:val="center"/>
          </w:tcPr>
          <w:p w14:paraId="20EE662B" w14:textId="77777777" w:rsidR="00C002D2" w:rsidRPr="000D67C6" w:rsidRDefault="00C002D2" w:rsidP="00C002D2">
            <w:pPr>
              <w:pStyle w:val="T1TableStyle"/>
              <w:jc w:val="center"/>
              <w:rPr>
                <w:rFonts w:ascii="Arial" w:eastAsia="Verdana" w:hAnsi="Arial" w:cs="Arial"/>
                <w:sz w:val="20"/>
                <w:szCs w:val="20"/>
                <w:lang w:val="en-GB"/>
              </w:rPr>
            </w:pPr>
          </w:p>
        </w:tc>
        <w:tc>
          <w:tcPr>
            <w:tcW w:w="843" w:type="dxa"/>
            <w:shd w:val="clear" w:color="auto" w:fill="auto"/>
            <w:tcMar>
              <w:top w:w="20" w:type="dxa"/>
              <w:left w:w="20" w:type="dxa"/>
              <w:bottom w:w="20" w:type="dxa"/>
              <w:right w:w="20" w:type="dxa"/>
            </w:tcMar>
            <w:vAlign w:val="center"/>
          </w:tcPr>
          <w:p w14:paraId="74D2386A" w14:textId="77777777" w:rsidR="00C002D2" w:rsidRPr="000D67C6" w:rsidRDefault="00C002D2" w:rsidP="00C002D2">
            <w:pPr>
              <w:pStyle w:val="T1TableStyle"/>
              <w:jc w:val="center"/>
              <w:rPr>
                <w:rFonts w:ascii="Arial" w:eastAsia="Verdana" w:hAnsi="Arial" w:cs="Arial"/>
                <w:sz w:val="20"/>
                <w:szCs w:val="20"/>
                <w:lang w:val="en-GB"/>
              </w:rPr>
            </w:pPr>
          </w:p>
        </w:tc>
        <w:tc>
          <w:tcPr>
            <w:tcW w:w="999" w:type="dxa"/>
            <w:shd w:val="clear" w:color="auto" w:fill="auto"/>
            <w:tcMar>
              <w:top w:w="20" w:type="dxa"/>
              <w:left w:w="20" w:type="dxa"/>
              <w:bottom w:w="20" w:type="dxa"/>
              <w:right w:w="20" w:type="dxa"/>
            </w:tcMar>
            <w:vAlign w:val="center"/>
          </w:tcPr>
          <w:p w14:paraId="3FCB2E92" w14:textId="4E0E0D9C" w:rsidR="00C002D2" w:rsidRPr="000D67C6" w:rsidRDefault="00EA69F9" w:rsidP="00C002D2">
            <w:pPr>
              <w:pStyle w:val="T1TableStyle"/>
              <w:jc w:val="right"/>
              <w:rPr>
                <w:rFonts w:ascii="Arial" w:eastAsia="Verdana" w:hAnsi="Arial" w:cs="Arial"/>
                <w:color w:val="000000"/>
                <w:sz w:val="20"/>
                <w:szCs w:val="20"/>
                <w:lang w:val="en-GB"/>
              </w:rPr>
            </w:pPr>
            <w:r w:rsidRPr="000D67C6">
              <w:rPr>
                <w:rFonts w:ascii="Arial" w:eastAsia="Verdana" w:hAnsi="Arial" w:cs="Arial"/>
                <w:color w:val="000000"/>
                <w:sz w:val="20"/>
                <w:szCs w:val="20"/>
                <w:lang w:val="en-GB"/>
              </w:rPr>
              <w:t>(</w:t>
            </w:r>
            <w:r w:rsidR="00C21514" w:rsidRPr="000D67C6">
              <w:rPr>
                <w:rFonts w:ascii="Arial" w:eastAsia="Verdana" w:hAnsi="Arial" w:cs="Arial"/>
                <w:color w:val="000000"/>
                <w:sz w:val="20"/>
                <w:szCs w:val="20"/>
                <w:lang w:val="en-GB"/>
              </w:rPr>
              <w:t>1,837</w:t>
            </w:r>
            <w:r w:rsidRPr="000D67C6">
              <w:rPr>
                <w:rFonts w:ascii="Arial" w:eastAsia="Verdana" w:hAnsi="Arial" w:cs="Arial"/>
                <w:color w:val="000000"/>
                <w:sz w:val="20"/>
                <w:szCs w:val="20"/>
                <w:lang w:val="en-GB"/>
              </w:rPr>
              <w:t>)</w:t>
            </w:r>
          </w:p>
        </w:tc>
      </w:tr>
      <w:tr w:rsidR="00C002D2" w:rsidRPr="000D67C6" w14:paraId="296D04DC" w14:textId="77777777" w:rsidTr="000E3907">
        <w:trPr>
          <w:trHeight w:val="420"/>
          <w:jc w:val="center"/>
        </w:trPr>
        <w:tc>
          <w:tcPr>
            <w:tcW w:w="1230" w:type="dxa"/>
            <w:shd w:val="clear" w:color="auto" w:fill="auto"/>
            <w:tcMar>
              <w:top w:w="20" w:type="dxa"/>
              <w:left w:w="20" w:type="dxa"/>
              <w:bottom w:w="20" w:type="dxa"/>
              <w:right w:w="20" w:type="dxa"/>
            </w:tcMar>
            <w:vAlign w:val="center"/>
          </w:tcPr>
          <w:p w14:paraId="09FBE15C" w14:textId="77777777" w:rsidR="00C002D2" w:rsidRPr="000D67C6" w:rsidRDefault="00C002D2" w:rsidP="00C002D2">
            <w:pPr>
              <w:pStyle w:val="T1TableStyle"/>
              <w:jc w:val="center"/>
              <w:rPr>
                <w:rFonts w:ascii="Arial" w:eastAsia="Calibri" w:hAnsi="Arial" w:cs="Arial"/>
                <w:sz w:val="20"/>
                <w:szCs w:val="20"/>
                <w:lang w:val="en-GB"/>
              </w:rPr>
            </w:pPr>
          </w:p>
        </w:tc>
        <w:tc>
          <w:tcPr>
            <w:tcW w:w="1038" w:type="dxa"/>
            <w:shd w:val="clear" w:color="auto" w:fill="auto"/>
            <w:tcMar>
              <w:top w:w="20" w:type="dxa"/>
              <w:left w:w="20" w:type="dxa"/>
              <w:bottom w:w="20" w:type="dxa"/>
              <w:right w:w="20" w:type="dxa"/>
            </w:tcMar>
            <w:vAlign w:val="center"/>
          </w:tcPr>
          <w:p w14:paraId="1F013A33" w14:textId="77777777" w:rsidR="00C002D2" w:rsidRPr="000D67C6" w:rsidRDefault="00C002D2" w:rsidP="00C002D2">
            <w:pPr>
              <w:pStyle w:val="T1TableStyle"/>
              <w:jc w:val="center"/>
              <w:rPr>
                <w:rFonts w:ascii="Arial" w:eastAsia="Calibri" w:hAnsi="Arial" w:cs="Arial"/>
                <w:sz w:val="20"/>
                <w:szCs w:val="20"/>
                <w:lang w:val="en-GB"/>
              </w:rPr>
            </w:pP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D227DB6"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18,555</w:t>
            </w:r>
          </w:p>
        </w:tc>
        <w:tc>
          <w:tcPr>
            <w:tcW w:w="340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F3D7805"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Other Comprehensive Income   </w:t>
            </w:r>
          </w:p>
          <w:p w14:paraId="74324DE7"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and Expenditure</w:t>
            </w:r>
          </w:p>
        </w:tc>
        <w:tc>
          <w:tcPr>
            <w:tcW w:w="1276" w:type="dxa"/>
            <w:shd w:val="clear" w:color="auto" w:fill="auto"/>
            <w:tcMar>
              <w:top w:w="20" w:type="dxa"/>
              <w:left w:w="20" w:type="dxa"/>
              <w:bottom w:w="20" w:type="dxa"/>
              <w:right w:w="20" w:type="dxa"/>
            </w:tcMar>
            <w:vAlign w:val="center"/>
          </w:tcPr>
          <w:p w14:paraId="48E37AF2" w14:textId="77777777" w:rsidR="00C002D2" w:rsidRPr="000D67C6" w:rsidRDefault="00C002D2" w:rsidP="00C002D2">
            <w:pPr>
              <w:pStyle w:val="T1TableStyle"/>
              <w:jc w:val="center"/>
              <w:rPr>
                <w:rFonts w:ascii="Arial" w:eastAsia="Calibri" w:hAnsi="Arial" w:cs="Arial"/>
                <w:sz w:val="20"/>
                <w:szCs w:val="20"/>
                <w:lang w:val="en-GB"/>
              </w:rPr>
            </w:pPr>
          </w:p>
        </w:tc>
        <w:tc>
          <w:tcPr>
            <w:tcW w:w="843" w:type="dxa"/>
            <w:shd w:val="clear" w:color="auto" w:fill="auto"/>
            <w:tcMar>
              <w:top w:w="20" w:type="dxa"/>
              <w:left w:w="20" w:type="dxa"/>
              <w:bottom w:w="20" w:type="dxa"/>
              <w:right w:w="20" w:type="dxa"/>
            </w:tcMar>
            <w:vAlign w:val="center"/>
          </w:tcPr>
          <w:p w14:paraId="59F082A2" w14:textId="77777777" w:rsidR="00C002D2" w:rsidRPr="000D67C6" w:rsidRDefault="00C002D2" w:rsidP="00C002D2">
            <w:pPr>
              <w:pStyle w:val="T1TableStyle"/>
              <w:jc w:val="center"/>
              <w:rPr>
                <w:rFonts w:ascii="Arial" w:eastAsia="Calibri" w:hAnsi="Arial" w:cs="Arial"/>
                <w:sz w:val="20"/>
                <w:szCs w:val="20"/>
                <w:lang w:val="en-GB"/>
              </w:rPr>
            </w:pPr>
          </w:p>
        </w:tc>
        <w:tc>
          <w:tcPr>
            <w:tcW w:w="99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D07031" w14:textId="562099A3" w:rsidR="00C002D2" w:rsidRPr="000D67C6" w:rsidRDefault="00EA69F9"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w:t>
            </w:r>
            <w:r w:rsidR="00923989" w:rsidRPr="000D67C6">
              <w:rPr>
                <w:rFonts w:ascii="Arial" w:eastAsia="Verdana" w:hAnsi="Arial" w:cs="Arial"/>
                <w:b/>
                <w:sz w:val="20"/>
                <w:szCs w:val="20"/>
                <w:lang w:val="en-GB"/>
              </w:rPr>
              <w:t>1,837</w:t>
            </w:r>
            <w:r w:rsidRPr="000D67C6">
              <w:rPr>
                <w:rFonts w:ascii="Arial" w:eastAsia="Verdana" w:hAnsi="Arial" w:cs="Arial"/>
                <w:b/>
                <w:sz w:val="20"/>
                <w:szCs w:val="20"/>
                <w:lang w:val="en-GB"/>
              </w:rPr>
              <w:t>)</w:t>
            </w:r>
          </w:p>
        </w:tc>
      </w:tr>
      <w:tr w:rsidR="00C002D2" w:rsidRPr="000D67C6" w14:paraId="6D342EFE" w14:textId="77777777" w:rsidTr="000E3907">
        <w:trPr>
          <w:trHeight w:val="420"/>
          <w:jc w:val="center"/>
        </w:trPr>
        <w:tc>
          <w:tcPr>
            <w:tcW w:w="1230" w:type="dxa"/>
            <w:shd w:val="clear" w:color="auto" w:fill="auto"/>
            <w:tcMar>
              <w:top w:w="20" w:type="dxa"/>
              <w:left w:w="20" w:type="dxa"/>
              <w:bottom w:w="20" w:type="dxa"/>
              <w:right w:w="20" w:type="dxa"/>
            </w:tcMar>
            <w:vAlign w:val="center"/>
          </w:tcPr>
          <w:p w14:paraId="5660258A" w14:textId="77777777" w:rsidR="00C002D2" w:rsidRPr="000D67C6" w:rsidRDefault="00C002D2" w:rsidP="00C002D2">
            <w:pPr>
              <w:pStyle w:val="T1TableStyle"/>
              <w:jc w:val="center"/>
              <w:rPr>
                <w:rFonts w:ascii="Arial" w:eastAsia="Calibri" w:hAnsi="Arial" w:cs="Arial"/>
                <w:sz w:val="20"/>
                <w:szCs w:val="20"/>
                <w:lang w:val="en-GB"/>
              </w:rPr>
            </w:pPr>
          </w:p>
        </w:tc>
        <w:tc>
          <w:tcPr>
            <w:tcW w:w="1038" w:type="dxa"/>
            <w:shd w:val="clear" w:color="auto" w:fill="auto"/>
            <w:tcMar>
              <w:top w:w="20" w:type="dxa"/>
              <w:left w:w="20" w:type="dxa"/>
              <w:bottom w:w="20" w:type="dxa"/>
              <w:right w:w="20" w:type="dxa"/>
            </w:tcMar>
            <w:vAlign w:val="center"/>
          </w:tcPr>
          <w:p w14:paraId="418D131F" w14:textId="77777777" w:rsidR="00C002D2" w:rsidRPr="000D67C6" w:rsidRDefault="00C002D2" w:rsidP="00C002D2">
            <w:pPr>
              <w:pStyle w:val="T1TableStyle"/>
              <w:jc w:val="center"/>
              <w:rPr>
                <w:rFonts w:ascii="Arial" w:eastAsia="Calibri" w:hAnsi="Arial" w:cs="Arial"/>
                <w:sz w:val="20"/>
                <w:szCs w:val="20"/>
                <w:lang w:val="en-GB"/>
              </w:rPr>
            </w:pP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C236CFE"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29,868</w:t>
            </w:r>
          </w:p>
        </w:tc>
        <w:tc>
          <w:tcPr>
            <w:tcW w:w="340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6193938"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Total Comprehensive Income and  </w:t>
            </w:r>
          </w:p>
          <w:p w14:paraId="20B4F73B"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 xml:space="preserve">  Expenditure</w:t>
            </w:r>
          </w:p>
        </w:tc>
        <w:tc>
          <w:tcPr>
            <w:tcW w:w="1276" w:type="dxa"/>
            <w:shd w:val="clear" w:color="auto" w:fill="auto"/>
            <w:tcMar>
              <w:top w:w="20" w:type="dxa"/>
              <w:left w:w="20" w:type="dxa"/>
              <w:bottom w:w="20" w:type="dxa"/>
              <w:right w:w="20" w:type="dxa"/>
            </w:tcMar>
            <w:vAlign w:val="center"/>
          </w:tcPr>
          <w:p w14:paraId="597D5CC3" w14:textId="77777777" w:rsidR="00C002D2" w:rsidRPr="000D67C6" w:rsidRDefault="00C002D2" w:rsidP="00C002D2">
            <w:pPr>
              <w:pStyle w:val="T1TableStyle"/>
              <w:jc w:val="center"/>
              <w:rPr>
                <w:rFonts w:ascii="Arial" w:eastAsia="Calibri" w:hAnsi="Arial" w:cs="Arial"/>
                <w:sz w:val="20"/>
                <w:szCs w:val="20"/>
                <w:lang w:val="en-GB"/>
              </w:rPr>
            </w:pPr>
          </w:p>
        </w:tc>
        <w:tc>
          <w:tcPr>
            <w:tcW w:w="843" w:type="dxa"/>
            <w:shd w:val="clear" w:color="auto" w:fill="auto"/>
            <w:tcMar>
              <w:top w:w="20" w:type="dxa"/>
              <w:left w:w="20" w:type="dxa"/>
              <w:bottom w:w="20" w:type="dxa"/>
              <w:right w:w="20" w:type="dxa"/>
            </w:tcMar>
            <w:vAlign w:val="center"/>
          </w:tcPr>
          <w:p w14:paraId="395C85DF" w14:textId="77777777" w:rsidR="00C002D2" w:rsidRPr="000D67C6" w:rsidRDefault="00C002D2" w:rsidP="00C002D2">
            <w:pPr>
              <w:pStyle w:val="T1TableStyle"/>
              <w:jc w:val="center"/>
              <w:rPr>
                <w:rFonts w:ascii="Arial" w:eastAsia="Calibri" w:hAnsi="Arial" w:cs="Arial"/>
                <w:sz w:val="20"/>
                <w:szCs w:val="20"/>
                <w:lang w:val="en-GB"/>
              </w:rPr>
            </w:pPr>
          </w:p>
        </w:tc>
        <w:tc>
          <w:tcPr>
            <w:tcW w:w="99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D889E78" w14:textId="70F04A31" w:rsidR="00C002D2" w:rsidRPr="000D67C6" w:rsidRDefault="00923989"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B00391">
              <w:rPr>
                <w:rFonts w:ascii="Arial" w:eastAsia="Verdana" w:hAnsi="Arial" w:cs="Arial"/>
                <w:b/>
                <w:sz w:val="20"/>
                <w:szCs w:val="20"/>
                <w:lang w:val="en-GB"/>
              </w:rPr>
              <w:t>5</w:t>
            </w:r>
            <w:r w:rsidRPr="000D67C6">
              <w:rPr>
                <w:rFonts w:ascii="Arial" w:eastAsia="Verdana" w:hAnsi="Arial" w:cs="Arial"/>
                <w:b/>
                <w:sz w:val="20"/>
                <w:szCs w:val="20"/>
                <w:lang w:val="en-GB"/>
              </w:rPr>
              <w:t>,</w:t>
            </w:r>
            <w:r w:rsidR="00B00391">
              <w:rPr>
                <w:rFonts w:ascii="Arial" w:eastAsia="Verdana" w:hAnsi="Arial" w:cs="Arial"/>
                <w:b/>
                <w:sz w:val="20"/>
                <w:szCs w:val="20"/>
                <w:lang w:val="en-GB"/>
              </w:rPr>
              <w:t>1</w:t>
            </w:r>
            <w:r w:rsidRPr="000D67C6">
              <w:rPr>
                <w:rFonts w:ascii="Arial" w:eastAsia="Verdana" w:hAnsi="Arial" w:cs="Arial"/>
                <w:b/>
                <w:sz w:val="20"/>
                <w:szCs w:val="20"/>
                <w:lang w:val="en-GB"/>
              </w:rPr>
              <w:t>86</w:t>
            </w:r>
          </w:p>
        </w:tc>
      </w:tr>
    </w:tbl>
    <w:p w14:paraId="05FBB878" w14:textId="77777777" w:rsidR="008F013B" w:rsidRPr="000D67C6" w:rsidRDefault="008F013B">
      <w:pPr>
        <w:pStyle w:val="T1TableStyle"/>
        <w:rPr>
          <w:rFonts w:ascii="Arial" w:hAnsi="Arial" w:cs="Arial"/>
          <w:sz w:val="20"/>
          <w:szCs w:val="20"/>
          <w:lang w:val="en-GB"/>
        </w:rPr>
      </w:pPr>
    </w:p>
    <w:p w14:paraId="24E0802E" w14:textId="77777777" w:rsidR="0046591D" w:rsidRPr="000D67C6" w:rsidRDefault="0046591D" w:rsidP="0046591D">
      <w:pPr>
        <w:pStyle w:val="Normal0"/>
        <w:spacing w:line="259" w:lineRule="auto"/>
        <w:jc w:val="both"/>
        <w:rPr>
          <w:rFonts w:ascii="Arial" w:hAnsi="Arial" w:cs="Arial"/>
          <w:sz w:val="20"/>
          <w:szCs w:val="20"/>
          <w:lang w:val="en-GB"/>
        </w:rPr>
      </w:pPr>
    </w:p>
    <w:p w14:paraId="53A21B1C" w14:textId="77777777" w:rsidR="00886D40" w:rsidRPr="000D67C6" w:rsidRDefault="00886D40" w:rsidP="00886D40">
      <w:pPr>
        <w:pStyle w:val="T1TableStyle"/>
        <w:rPr>
          <w:rFonts w:ascii="Arial" w:hAnsi="Arial" w:cs="Arial"/>
          <w:sz w:val="20"/>
          <w:szCs w:val="20"/>
          <w:lang w:val="en-GB"/>
        </w:rPr>
      </w:pPr>
    </w:p>
    <w:p w14:paraId="0CF6D612" w14:textId="77777777" w:rsidR="00064B39" w:rsidRPr="000D67C6" w:rsidRDefault="00064B39" w:rsidP="00064B39">
      <w:pPr>
        <w:pStyle w:val="Heading1"/>
        <w:spacing w:before="0" w:line="259" w:lineRule="auto"/>
        <w:rPr>
          <w:rFonts w:ascii="Arial" w:hAnsi="Arial" w:cs="Arial"/>
          <w:sz w:val="20"/>
          <w:szCs w:val="20"/>
          <w:lang w:val="pt-BR"/>
        </w:rPr>
      </w:pPr>
    </w:p>
    <w:p w14:paraId="747F1C4B" w14:textId="77777777" w:rsidR="003D6C00" w:rsidRPr="000D67C6" w:rsidRDefault="003D6C00">
      <w:pPr>
        <w:rPr>
          <w:rFonts w:ascii="Arial" w:hAnsi="Arial" w:cs="Arial"/>
          <w:sz w:val="20"/>
          <w:szCs w:val="20"/>
          <w:lang w:val="pt-BR"/>
        </w:rPr>
      </w:pPr>
    </w:p>
    <w:p w14:paraId="4B6D6C72" w14:textId="77777777" w:rsidR="00886D40" w:rsidRPr="000D67C6" w:rsidRDefault="00886D40" w:rsidP="00886D40">
      <w:pPr>
        <w:jc w:val="both"/>
        <w:rPr>
          <w:rFonts w:ascii="Arial" w:hAnsi="Arial" w:cs="Arial"/>
          <w:sz w:val="20"/>
          <w:szCs w:val="20"/>
          <w:lang w:val="pt-BR"/>
        </w:rPr>
      </w:pPr>
      <w:r w:rsidRPr="000D67C6">
        <w:rPr>
          <w:rFonts w:ascii="Arial" w:hAnsi="Arial" w:cs="Arial"/>
          <w:sz w:val="20"/>
          <w:szCs w:val="20"/>
          <w:lang w:val="pt-BR"/>
        </w:rPr>
        <w:br w:type="page"/>
      </w:r>
    </w:p>
    <w:p w14:paraId="3FE62D5A" w14:textId="77777777" w:rsidR="00652C10" w:rsidRPr="000D67C6" w:rsidRDefault="008F013B" w:rsidP="002D39B0">
      <w:pPr>
        <w:pStyle w:val="Heading1"/>
        <w:spacing w:before="0" w:line="259" w:lineRule="auto"/>
        <w:ind w:hanging="284"/>
        <w:rPr>
          <w:rFonts w:ascii="Arial" w:hAnsi="Arial" w:cs="Arial"/>
          <w:sz w:val="28"/>
          <w:szCs w:val="28"/>
          <w:lang w:val="pt-BR"/>
        </w:rPr>
      </w:pPr>
      <w:r w:rsidRPr="000D67C6">
        <w:rPr>
          <w:rFonts w:ascii="Arial" w:hAnsi="Arial" w:cs="Arial"/>
          <w:sz w:val="28"/>
          <w:szCs w:val="28"/>
          <w:lang w:val="pt-BR"/>
        </w:rPr>
        <w:t>Movement in Reserves Statement</w:t>
      </w:r>
      <w:r w:rsidR="003D6C00" w:rsidRPr="000D67C6">
        <w:rPr>
          <w:rFonts w:ascii="Arial" w:hAnsi="Arial" w:cs="Arial"/>
          <w:sz w:val="28"/>
          <w:szCs w:val="28"/>
          <w:lang w:val="pt-BR"/>
        </w:rPr>
        <w:t xml:space="preserve"> (MiRS)</w:t>
      </w:r>
    </w:p>
    <w:p w14:paraId="7C66AAA9" w14:textId="77777777" w:rsidR="002D39B0" w:rsidRPr="000D67C6" w:rsidRDefault="002D39B0" w:rsidP="002D39B0">
      <w:pPr>
        <w:rPr>
          <w:lang w:val="pt-BR"/>
        </w:rPr>
      </w:pPr>
    </w:p>
    <w:tbl>
      <w:tblPr>
        <w:tblW w:w="9549"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0"/>
        <w:gridCol w:w="984"/>
        <w:gridCol w:w="1106"/>
        <w:gridCol w:w="1050"/>
        <w:gridCol w:w="1106"/>
        <w:gridCol w:w="1117"/>
        <w:gridCol w:w="1106"/>
      </w:tblGrid>
      <w:tr w:rsidR="00645D28" w:rsidRPr="000D67C6" w14:paraId="37DA28E2" w14:textId="77777777" w:rsidTr="00E32EB0">
        <w:trPr>
          <w:trHeight w:val="864"/>
        </w:trPr>
        <w:tc>
          <w:tcPr>
            <w:tcW w:w="3080" w:type="dxa"/>
            <w:tcBorders>
              <w:top w:val="single" w:sz="4" w:space="0" w:color="auto"/>
              <w:bottom w:val="single" w:sz="4" w:space="0" w:color="auto"/>
              <w:right w:val="single" w:sz="4" w:space="0" w:color="auto"/>
            </w:tcBorders>
            <w:shd w:val="clear" w:color="auto" w:fill="auto"/>
            <w:vAlign w:val="bottom"/>
            <w:hideMark/>
          </w:tcPr>
          <w:p w14:paraId="09AE14DA" w14:textId="77777777" w:rsidR="005F2756" w:rsidRPr="000D67C6" w:rsidRDefault="005F2756" w:rsidP="005F2756">
            <w:pPr>
              <w:spacing w:after="240"/>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Mo</w:t>
            </w:r>
            <w:r w:rsidR="00371CDA" w:rsidRPr="000D67C6">
              <w:rPr>
                <w:rFonts w:ascii="Arial" w:eastAsia="Times New Roman" w:hAnsi="Arial" w:cs="Arial"/>
                <w:b/>
                <w:bCs/>
                <w:sz w:val="20"/>
                <w:szCs w:val="20"/>
                <w:lang w:val="en-GB" w:eastAsia="en-GB"/>
              </w:rPr>
              <w:t>vement in Reserve Statement 201</w:t>
            </w:r>
            <w:r w:rsidR="00C002D2" w:rsidRPr="000D67C6">
              <w:rPr>
                <w:rFonts w:ascii="Arial" w:eastAsia="Times New Roman" w:hAnsi="Arial" w:cs="Arial"/>
                <w:b/>
                <w:bCs/>
                <w:sz w:val="20"/>
                <w:szCs w:val="20"/>
                <w:lang w:val="en-GB" w:eastAsia="en-GB"/>
              </w:rPr>
              <w:t>8</w:t>
            </w:r>
            <w:r w:rsidR="00371CDA" w:rsidRPr="000D67C6">
              <w:rPr>
                <w:rFonts w:ascii="Arial" w:eastAsia="Times New Roman" w:hAnsi="Arial" w:cs="Arial"/>
                <w:b/>
                <w:bCs/>
                <w:sz w:val="20"/>
                <w:szCs w:val="20"/>
                <w:lang w:val="en-GB" w:eastAsia="en-GB"/>
              </w:rPr>
              <w:t>/1</w:t>
            </w:r>
            <w:r w:rsidR="00C002D2" w:rsidRPr="000D67C6">
              <w:rPr>
                <w:rFonts w:ascii="Arial" w:eastAsia="Times New Roman" w:hAnsi="Arial" w:cs="Arial"/>
                <w:b/>
                <w:bCs/>
                <w:sz w:val="20"/>
                <w:szCs w:val="20"/>
                <w:lang w:val="en-GB" w:eastAsia="en-GB"/>
              </w:rPr>
              <w:t>9</w:t>
            </w:r>
          </w:p>
        </w:tc>
        <w:tc>
          <w:tcPr>
            <w:tcW w:w="984" w:type="dxa"/>
            <w:tcBorders>
              <w:top w:val="single" w:sz="4" w:space="0" w:color="auto"/>
              <w:left w:val="single" w:sz="4" w:space="0" w:color="auto"/>
              <w:bottom w:val="single" w:sz="4" w:space="0" w:color="auto"/>
            </w:tcBorders>
            <w:shd w:val="clear" w:color="auto" w:fill="auto"/>
            <w:vAlign w:val="bottom"/>
            <w:hideMark/>
          </w:tcPr>
          <w:p w14:paraId="7662A19E"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General Fund Balance</w:t>
            </w:r>
          </w:p>
        </w:tc>
        <w:tc>
          <w:tcPr>
            <w:tcW w:w="1106" w:type="dxa"/>
            <w:tcBorders>
              <w:top w:val="single" w:sz="4" w:space="0" w:color="auto"/>
              <w:bottom w:val="single" w:sz="4" w:space="0" w:color="auto"/>
            </w:tcBorders>
            <w:shd w:val="clear" w:color="auto" w:fill="auto"/>
            <w:vAlign w:val="bottom"/>
            <w:hideMark/>
          </w:tcPr>
          <w:p w14:paraId="40DF33F8"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General Fund Reserves</w:t>
            </w:r>
          </w:p>
        </w:tc>
        <w:tc>
          <w:tcPr>
            <w:tcW w:w="1050" w:type="dxa"/>
            <w:tcBorders>
              <w:top w:val="single" w:sz="4" w:space="0" w:color="auto"/>
              <w:bottom w:val="single" w:sz="4" w:space="0" w:color="auto"/>
              <w:right w:val="single" w:sz="4" w:space="0" w:color="auto"/>
            </w:tcBorders>
            <w:shd w:val="clear" w:color="auto" w:fill="auto"/>
            <w:vAlign w:val="bottom"/>
            <w:hideMark/>
          </w:tcPr>
          <w:p w14:paraId="4DD97773"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Capital Receipts Reserve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8661F"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Usable Reserves</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289F4"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Unusable Reserves</w:t>
            </w:r>
          </w:p>
        </w:tc>
        <w:tc>
          <w:tcPr>
            <w:tcW w:w="1106" w:type="dxa"/>
            <w:tcBorders>
              <w:top w:val="single" w:sz="4" w:space="0" w:color="auto"/>
              <w:left w:val="single" w:sz="4" w:space="0" w:color="auto"/>
              <w:bottom w:val="single" w:sz="4" w:space="0" w:color="auto"/>
            </w:tcBorders>
            <w:shd w:val="clear" w:color="auto" w:fill="auto"/>
            <w:vAlign w:val="bottom"/>
            <w:hideMark/>
          </w:tcPr>
          <w:p w14:paraId="2D73358D" w14:textId="77777777" w:rsidR="005F2756" w:rsidRPr="000D67C6" w:rsidRDefault="005F275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Fire Authority Reserves</w:t>
            </w:r>
          </w:p>
        </w:tc>
      </w:tr>
      <w:tr w:rsidR="00645D28" w:rsidRPr="000D67C6" w14:paraId="022F1207" w14:textId="77777777" w:rsidTr="002D39B0">
        <w:trPr>
          <w:trHeight w:val="288"/>
        </w:trPr>
        <w:tc>
          <w:tcPr>
            <w:tcW w:w="3080" w:type="dxa"/>
            <w:tcBorders>
              <w:right w:val="single" w:sz="4" w:space="0" w:color="auto"/>
            </w:tcBorders>
            <w:shd w:val="clear" w:color="auto" w:fill="auto"/>
            <w:vAlign w:val="center"/>
            <w:hideMark/>
          </w:tcPr>
          <w:p w14:paraId="475F2497" w14:textId="77777777" w:rsidR="00EE302D" w:rsidRPr="000D67C6" w:rsidRDefault="00EE302D" w:rsidP="00EE302D">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Bal</w:t>
            </w:r>
            <w:r w:rsidR="00DC4A28" w:rsidRPr="000D67C6">
              <w:rPr>
                <w:rFonts w:ascii="Arial" w:eastAsia="Times New Roman" w:hAnsi="Arial" w:cs="Arial"/>
                <w:b/>
                <w:bCs/>
                <w:sz w:val="20"/>
                <w:szCs w:val="20"/>
                <w:lang w:val="en-GB" w:eastAsia="en-GB"/>
              </w:rPr>
              <w:t>ance</w:t>
            </w:r>
            <w:r w:rsidRPr="000D67C6">
              <w:rPr>
                <w:rFonts w:ascii="Arial" w:eastAsia="Times New Roman" w:hAnsi="Arial" w:cs="Arial"/>
                <w:b/>
                <w:bCs/>
                <w:sz w:val="20"/>
                <w:szCs w:val="20"/>
                <w:lang w:val="en-GB" w:eastAsia="en-GB"/>
              </w:rPr>
              <w:t xml:space="preserve"> 31 March 20</w:t>
            </w:r>
            <w:r w:rsidR="00AB1F6D" w:rsidRPr="000D67C6">
              <w:rPr>
                <w:rFonts w:ascii="Arial" w:eastAsia="Times New Roman" w:hAnsi="Arial" w:cs="Arial"/>
                <w:b/>
                <w:bCs/>
                <w:sz w:val="20"/>
                <w:szCs w:val="20"/>
                <w:lang w:val="en-GB" w:eastAsia="en-GB"/>
              </w:rPr>
              <w:t>1</w:t>
            </w:r>
            <w:r w:rsidR="00C002D2" w:rsidRPr="000D67C6">
              <w:rPr>
                <w:rFonts w:ascii="Arial" w:eastAsia="Times New Roman" w:hAnsi="Arial" w:cs="Arial"/>
                <w:b/>
                <w:bCs/>
                <w:sz w:val="20"/>
                <w:szCs w:val="20"/>
                <w:lang w:val="en-GB" w:eastAsia="en-GB"/>
              </w:rPr>
              <w:t>8</w:t>
            </w:r>
          </w:p>
        </w:tc>
        <w:tc>
          <w:tcPr>
            <w:tcW w:w="984" w:type="dxa"/>
            <w:tcBorders>
              <w:left w:val="single" w:sz="4" w:space="0" w:color="auto"/>
            </w:tcBorders>
            <w:shd w:val="clear" w:color="auto" w:fill="auto"/>
            <w:vAlign w:val="center"/>
          </w:tcPr>
          <w:p w14:paraId="280BA16E"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(707)</w:t>
            </w:r>
          </w:p>
        </w:tc>
        <w:tc>
          <w:tcPr>
            <w:tcW w:w="1106" w:type="dxa"/>
            <w:shd w:val="clear" w:color="auto" w:fill="auto"/>
            <w:vAlign w:val="center"/>
          </w:tcPr>
          <w:p w14:paraId="613CB401"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(7,328)</w:t>
            </w:r>
          </w:p>
        </w:tc>
        <w:tc>
          <w:tcPr>
            <w:tcW w:w="1050" w:type="dxa"/>
            <w:tcBorders>
              <w:right w:val="single" w:sz="4" w:space="0" w:color="auto"/>
            </w:tcBorders>
            <w:shd w:val="clear" w:color="auto" w:fill="auto"/>
            <w:vAlign w:val="center"/>
          </w:tcPr>
          <w:p w14:paraId="70D2694B"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531E67C4"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(8,035)</w:t>
            </w:r>
          </w:p>
        </w:tc>
        <w:tc>
          <w:tcPr>
            <w:tcW w:w="1117" w:type="dxa"/>
            <w:tcBorders>
              <w:left w:val="single" w:sz="4" w:space="0" w:color="auto"/>
              <w:right w:val="single" w:sz="4" w:space="0" w:color="auto"/>
            </w:tcBorders>
            <w:shd w:val="clear" w:color="auto" w:fill="auto"/>
            <w:vAlign w:val="center"/>
          </w:tcPr>
          <w:p w14:paraId="507FBE6B"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468,316</w:t>
            </w:r>
          </w:p>
        </w:tc>
        <w:tc>
          <w:tcPr>
            <w:tcW w:w="1106" w:type="dxa"/>
            <w:tcBorders>
              <w:left w:val="single" w:sz="4" w:space="0" w:color="auto"/>
            </w:tcBorders>
            <w:shd w:val="clear" w:color="auto" w:fill="auto"/>
            <w:vAlign w:val="center"/>
          </w:tcPr>
          <w:p w14:paraId="4FB8DE25" w14:textId="77777777" w:rsidR="00EE302D" w:rsidRPr="000D67C6" w:rsidRDefault="00DC4A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460,281</w:t>
            </w:r>
          </w:p>
        </w:tc>
      </w:tr>
      <w:tr w:rsidR="00645D28" w:rsidRPr="000D67C6" w14:paraId="74BF0CAD" w14:textId="77777777" w:rsidTr="002D39B0">
        <w:trPr>
          <w:trHeight w:val="288"/>
        </w:trPr>
        <w:tc>
          <w:tcPr>
            <w:tcW w:w="3080" w:type="dxa"/>
            <w:tcBorders>
              <w:right w:val="single" w:sz="4" w:space="0" w:color="auto"/>
            </w:tcBorders>
            <w:shd w:val="clear" w:color="auto" w:fill="auto"/>
            <w:vAlign w:val="center"/>
            <w:hideMark/>
          </w:tcPr>
          <w:p w14:paraId="62D34F30" w14:textId="77777777" w:rsidR="00EE302D" w:rsidRPr="000D67C6" w:rsidRDefault="00EE302D" w:rsidP="00EE302D">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Movements:</w:t>
            </w:r>
          </w:p>
        </w:tc>
        <w:tc>
          <w:tcPr>
            <w:tcW w:w="984" w:type="dxa"/>
            <w:tcBorders>
              <w:left w:val="single" w:sz="4" w:space="0" w:color="auto"/>
            </w:tcBorders>
            <w:shd w:val="clear" w:color="auto" w:fill="auto"/>
            <w:vAlign w:val="center"/>
          </w:tcPr>
          <w:p w14:paraId="5F91CA91" w14:textId="77777777" w:rsidR="00EE302D" w:rsidRPr="000D67C6" w:rsidRDefault="00EE302D" w:rsidP="002D39B0">
            <w:pPr>
              <w:jc w:val="right"/>
              <w:rPr>
                <w:rFonts w:ascii="Arial" w:eastAsia="Times New Roman" w:hAnsi="Arial" w:cs="Arial"/>
                <w:sz w:val="20"/>
                <w:szCs w:val="20"/>
                <w:lang w:val="en-GB" w:eastAsia="en-GB"/>
              </w:rPr>
            </w:pPr>
          </w:p>
        </w:tc>
        <w:tc>
          <w:tcPr>
            <w:tcW w:w="1106" w:type="dxa"/>
            <w:shd w:val="clear" w:color="auto" w:fill="auto"/>
            <w:vAlign w:val="center"/>
          </w:tcPr>
          <w:p w14:paraId="7714FD41" w14:textId="77777777" w:rsidR="00EE302D" w:rsidRPr="000D67C6" w:rsidRDefault="00EE302D" w:rsidP="002D39B0">
            <w:pPr>
              <w:jc w:val="right"/>
              <w:rPr>
                <w:rFonts w:ascii="Arial" w:eastAsia="Times New Roman" w:hAnsi="Arial" w:cs="Arial"/>
                <w:sz w:val="20"/>
                <w:szCs w:val="20"/>
                <w:lang w:val="en-GB" w:eastAsia="en-GB"/>
              </w:rPr>
            </w:pPr>
          </w:p>
        </w:tc>
        <w:tc>
          <w:tcPr>
            <w:tcW w:w="1050" w:type="dxa"/>
            <w:tcBorders>
              <w:right w:val="single" w:sz="4" w:space="0" w:color="auto"/>
            </w:tcBorders>
            <w:shd w:val="clear" w:color="auto" w:fill="auto"/>
            <w:vAlign w:val="center"/>
          </w:tcPr>
          <w:p w14:paraId="7B44ABFB" w14:textId="77777777" w:rsidR="00EE302D" w:rsidRPr="000D67C6" w:rsidRDefault="00EE302D" w:rsidP="002D39B0">
            <w:pPr>
              <w:jc w:val="right"/>
              <w:rPr>
                <w:rFonts w:ascii="Arial" w:eastAsia="Times New Roman" w:hAnsi="Arial" w:cs="Arial"/>
                <w:sz w:val="20"/>
                <w:szCs w:val="20"/>
                <w:lang w:val="en-GB" w:eastAsia="en-GB"/>
              </w:rPr>
            </w:pPr>
          </w:p>
        </w:tc>
        <w:tc>
          <w:tcPr>
            <w:tcW w:w="1106" w:type="dxa"/>
            <w:tcBorders>
              <w:left w:val="single" w:sz="4" w:space="0" w:color="auto"/>
              <w:right w:val="single" w:sz="4" w:space="0" w:color="auto"/>
            </w:tcBorders>
            <w:shd w:val="clear" w:color="auto" w:fill="auto"/>
            <w:vAlign w:val="center"/>
          </w:tcPr>
          <w:p w14:paraId="1486C8AD" w14:textId="77777777" w:rsidR="00EE302D" w:rsidRPr="000D67C6" w:rsidRDefault="00EE302D" w:rsidP="002D39B0">
            <w:pPr>
              <w:jc w:val="right"/>
              <w:rPr>
                <w:rFonts w:ascii="Arial" w:eastAsia="Times New Roman" w:hAnsi="Arial" w:cs="Arial"/>
                <w:sz w:val="20"/>
                <w:szCs w:val="20"/>
                <w:lang w:val="en-GB" w:eastAsia="en-GB"/>
              </w:rPr>
            </w:pPr>
          </w:p>
        </w:tc>
        <w:tc>
          <w:tcPr>
            <w:tcW w:w="1117" w:type="dxa"/>
            <w:tcBorders>
              <w:left w:val="single" w:sz="4" w:space="0" w:color="auto"/>
              <w:right w:val="single" w:sz="4" w:space="0" w:color="auto"/>
            </w:tcBorders>
            <w:shd w:val="clear" w:color="auto" w:fill="auto"/>
            <w:vAlign w:val="center"/>
          </w:tcPr>
          <w:p w14:paraId="11CD5E81" w14:textId="77777777" w:rsidR="00EE302D" w:rsidRPr="000D67C6" w:rsidRDefault="00EE302D" w:rsidP="002D39B0">
            <w:pPr>
              <w:jc w:val="right"/>
              <w:rPr>
                <w:rFonts w:ascii="Arial" w:eastAsia="Times New Roman" w:hAnsi="Arial" w:cs="Arial"/>
                <w:sz w:val="20"/>
                <w:szCs w:val="20"/>
                <w:lang w:val="en-GB" w:eastAsia="en-GB"/>
              </w:rPr>
            </w:pPr>
          </w:p>
        </w:tc>
        <w:tc>
          <w:tcPr>
            <w:tcW w:w="1106" w:type="dxa"/>
            <w:tcBorders>
              <w:left w:val="single" w:sz="4" w:space="0" w:color="auto"/>
            </w:tcBorders>
            <w:shd w:val="clear" w:color="auto" w:fill="auto"/>
            <w:vAlign w:val="center"/>
          </w:tcPr>
          <w:p w14:paraId="0EAF438C" w14:textId="77777777" w:rsidR="00EE302D" w:rsidRPr="000D67C6" w:rsidRDefault="00EE302D" w:rsidP="002D39B0">
            <w:pPr>
              <w:jc w:val="right"/>
              <w:rPr>
                <w:rFonts w:ascii="Arial" w:eastAsia="Times New Roman" w:hAnsi="Arial" w:cs="Arial"/>
                <w:sz w:val="20"/>
                <w:szCs w:val="20"/>
                <w:lang w:val="en-GB" w:eastAsia="en-GB"/>
              </w:rPr>
            </w:pPr>
          </w:p>
        </w:tc>
      </w:tr>
      <w:tr w:rsidR="00645D28" w:rsidRPr="000D67C6" w14:paraId="1F23A7B3" w14:textId="77777777" w:rsidTr="002D39B0">
        <w:trPr>
          <w:trHeight w:val="690"/>
        </w:trPr>
        <w:tc>
          <w:tcPr>
            <w:tcW w:w="3080" w:type="dxa"/>
            <w:tcBorders>
              <w:right w:val="single" w:sz="4" w:space="0" w:color="auto"/>
            </w:tcBorders>
            <w:shd w:val="clear" w:color="auto" w:fill="auto"/>
            <w:vAlign w:val="center"/>
            <w:hideMark/>
          </w:tcPr>
          <w:p w14:paraId="6056393D" w14:textId="77777777" w:rsidR="00EE302D" w:rsidRPr="000D67C6" w:rsidRDefault="00EE302D" w:rsidP="00EE302D">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(Surplus) / Deficit on provision of services</w:t>
            </w:r>
          </w:p>
        </w:tc>
        <w:tc>
          <w:tcPr>
            <w:tcW w:w="984" w:type="dxa"/>
            <w:tcBorders>
              <w:left w:val="single" w:sz="4" w:space="0" w:color="auto"/>
            </w:tcBorders>
            <w:shd w:val="clear" w:color="auto" w:fill="auto"/>
            <w:vAlign w:val="center"/>
          </w:tcPr>
          <w:p w14:paraId="66DEC4AE" w14:textId="5C8AB291" w:rsidR="00EE302D" w:rsidRPr="000D67C6" w:rsidRDefault="00EC1362"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w:t>
            </w:r>
            <w:r w:rsidR="005908C8">
              <w:rPr>
                <w:rFonts w:ascii="Arial" w:eastAsia="Times New Roman" w:hAnsi="Arial" w:cs="Arial"/>
                <w:sz w:val="20"/>
                <w:szCs w:val="20"/>
                <w:lang w:val="en-GB" w:eastAsia="en-GB"/>
              </w:rPr>
              <w:t>7</w:t>
            </w:r>
            <w:r w:rsidRPr="000D67C6">
              <w:rPr>
                <w:rFonts w:ascii="Arial" w:eastAsia="Times New Roman" w:hAnsi="Arial" w:cs="Arial"/>
                <w:sz w:val="20"/>
                <w:szCs w:val="20"/>
                <w:lang w:val="en-GB" w:eastAsia="en-GB"/>
              </w:rPr>
              <w:t>,</w:t>
            </w:r>
            <w:r w:rsidR="00C154DD">
              <w:rPr>
                <w:rFonts w:ascii="Arial" w:eastAsia="Times New Roman" w:hAnsi="Arial" w:cs="Arial"/>
                <w:sz w:val="20"/>
                <w:szCs w:val="20"/>
                <w:lang w:val="en-GB" w:eastAsia="en-GB"/>
              </w:rPr>
              <w:t>0</w:t>
            </w:r>
            <w:r w:rsidRPr="000D67C6">
              <w:rPr>
                <w:rFonts w:ascii="Arial" w:eastAsia="Times New Roman" w:hAnsi="Arial" w:cs="Arial"/>
                <w:sz w:val="20"/>
                <w:szCs w:val="20"/>
                <w:lang w:val="en-GB" w:eastAsia="en-GB"/>
              </w:rPr>
              <w:t>23</w:t>
            </w:r>
          </w:p>
        </w:tc>
        <w:tc>
          <w:tcPr>
            <w:tcW w:w="1106" w:type="dxa"/>
            <w:shd w:val="clear" w:color="auto" w:fill="auto"/>
            <w:vAlign w:val="center"/>
          </w:tcPr>
          <w:p w14:paraId="0B2C3A28"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tcPr>
          <w:p w14:paraId="3ABFB612"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67B8AA73" w14:textId="46BF0732" w:rsidR="00EE302D" w:rsidRPr="000D67C6" w:rsidRDefault="00EC1362"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w:t>
            </w:r>
            <w:r w:rsidR="00BB3C95">
              <w:rPr>
                <w:rFonts w:ascii="Arial" w:eastAsia="Times New Roman" w:hAnsi="Arial" w:cs="Arial"/>
                <w:sz w:val="20"/>
                <w:szCs w:val="20"/>
                <w:lang w:val="en-GB" w:eastAsia="en-GB"/>
              </w:rPr>
              <w:t>7</w:t>
            </w:r>
            <w:r w:rsidRPr="000D67C6">
              <w:rPr>
                <w:rFonts w:ascii="Arial" w:eastAsia="Times New Roman" w:hAnsi="Arial" w:cs="Arial"/>
                <w:sz w:val="20"/>
                <w:szCs w:val="20"/>
                <w:lang w:val="en-GB" w:eastAsia="en-GB"/>
              </w:rPr>
              <w:t>,</w:t>
            </w:r>
            <w:r w:rsidR="00BB3C95">
              <w:rPr>
                <w:rFonts w:ascii="Arial" w:eastAsia="Times New Roman" w:hAnsi="Arial" w:cs="Arial"/>
                <w:sz w:val="20"/>
                <w:szCs w:val="20"/>
                <w:lang w:val="en-GB" w:eastAsia="en-GB"/>
              </w:rPr>
              <w:t>0</w:t>
            </w:r>
            <w:r w:rsidRPr="000D67C6">
              <w:rPr>
                <w:rFonts w:ascii="Arial" w:eastAsia="Times New Roman" w:hAnsi="Arial" w:cs="Arial"/>
                <w:sz w:val="20"/>
                <w:szCs w:val="20"/>
                <w:lang w:val="en-GB" w:eastAsia="en-GB"/>
              </w:rPr>
              <w:t>23</w:t>
            </w:r>
          </w:p>
        </w:tc>
        <w:tc>
          <w:tcPr>
            <w:tcW w:w="1117" w:type="dxa"/>
            <w:tcBorders>
              <w:left w:val="single" w:sz="4" w:space="0" w:color="auto"/>
              <w:right w:val="single" w:sz="4" w:space="0" w:color="auto"/>
            </w:tcBorders>
            <w:shd w:val="clear" w:color="auto" w:fill="auto"/>
            <w:vAlign w:val="center"/>
          </w:tcPr>
          <w:p w14:paraId="326FFCC8"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tcBorders>
            <w:shd w:val="clear" w:color="auto" w:fill="auto"/>
            <w:vAlign w:val="center"/>
          </w:tcPr>
          <w:p w14:paraId="0D4159EE" w14:textId="783A5245" w:rsidR="00EE302D" w:rsidRPr="000D67C6" w:rsidRDefault="00EC1362"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w:t>
            </w:r>
            <w:r w:rsidR="00AE153A">
              <w:rPr>
                <w:rFonts w:ascii="Arial" w:eastAsia="Times New Roman" w:hAnsi="Arial" w:cs="Arial"/>
                <w:sz w:val="20"/>
                <w:szCs w:val="20"/>
                <w:lang w:val="en-GB" w:eastAsia="en-GB"/>
              </w:rPr>
              <w:t>7</w:t>
            </w:r>
            <w:r w:rsidRPr="000D67C6">
              <w:rPr>
                <w:rFonts w:ascii="Arial" w:eastAsia="Times New Roman" w:hAnsi="Arial" w:cs="Arial"/>
                <w:sz w:val="20"/>
                <w:szCs w:val="20"/>
                <w:lang w:val="en-GB" w:eastAsia="en-GB"/>
              </w:rPr>
              <w:t>,</w:t>
            </w:r>
            <w:r w:rsidR="00AE153A">
              <w:rPr>
                <w:rFonts w:ascii="Arial" w:eastAsia="Times New Roman" w:hAnsi="Arial" w:cs="Arial"/>
                <w:sz w:val="20"/>
                <w:szCs w:val="20"/>
                <w:lang w:val="en-GB" w:eastAsia="en-GB"/>
              </w:rPr>
              <w:t>0</w:t>
            </w:r>
            <w:r w:rsidRPr="000D67C6">
              <w:rPr>
                <w:rFonts w:ascii="Arial" w:eastAsia="Times New Roman" w:hAnsi="Arial" w:cs="Arial"/>
                <w:sz w:val="20"/>
                <w:szCs w:val="20"/>
                <w:lang w:val="en-GB" w:eastAsia="en-GB"/>
              </w:rPr>
              <w:t>23</w:t>
            </w:r>
          </w:p>
        </w:tc>
      </w:tr>
      <w:tr w:rsidR="00645D28" w:rsidRPr="000D67C6" w14:paraId="217A27B1" w14:textId="77777777" w:rsidTr="002D39B0">
        <w:trPr>
          <w:trHeight w:val="416"/>
        </w:trPr>
        <w:tc>
          <w:tcPr>
            <w:tcW w:w="3080" w:type="dxa"/>
            <w:tcBorders>
              <w:right w:val="single" w:sz="4" w:space="0" w:color="auto"/>
            </w:tcBorders>
            <w:shd w:val="clear" w:color="auto" w:fill="auto"/>
            <w:vAlign w:val="center"/>
            <w:hideMark/>
          </w:tcPr>
          <w:p w14:paraId="35E54642" w14:textId="77777777" w:rsidR="00EE302D" w:rsidRPr="000D67C6" w:rsidRDefault="00EE302D" w:rsidP="00EE302D">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Other CIES</w:t>
            </w:r>
          </w:p>
        </w:tc>
        <w:tc>
          <w:tcPr>
            <w:tcW w:w="984" w:type="dxa"/>
            <w:tcBorders>
              <w:left w:val="single" w:sz="4" w:space="0" w:color="auto"/>
            </w:tcBorders>
            <w:shd w:val="clear" w:color="auto" w:fill="auto"/>
            <w:vAlign w:val="center"/>
          </w:tcPr>
          <w:p w14:paraId="37C52FB6"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shd w:val="clear" w:color="auto" w:fill="auto"/>
            <w:vAlign w:val="center"/>
          </w:tcPr>
          <w:p w14:paraId="22C43BE0"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tcPr>
          <w:p w14:paraId="5D39C349"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0C05A93B" w14:textId="77777777"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17" w:type="dxa"/>
            <w:tcBorders>
              <w:left w:val="single" w:sz="4" w:space="0" w:color="auto"/>
              <w:right w:val="single" w:sz="4" w:space="0" w:color="auto"/>
            </w:tcBorders>
            <w:shd w:val="clear" w:color="auto" w:fill="auto"/>
            <w:vAlign w:val="center"/>
          </w:tcPr>
          <w:p w14:paraId="5039EA84" w14:textId="6F7C9CE0"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w:t>
            </w:r>
            <w:r w:rsidR="00E645BE" w:rsidRPr="000D67C6">
              <w:rPr>
                <w:rFonts w:ascii="Arial" w:eastAsia="Times New Roman" w:hAnsi="Arial" w:cs="Arial"/>
                <w:sz w:val="20"/>
                <w:szCs w:val="20"/>
                <w:lang w:val="en-GB" w:eastAsia="en-GB"/>
              </w:rPr>
              <w:t>1,837</w:t>
            </w:r>
            <w:r w:rsidRPr="000D67C6">
              <w:rPr>
                <w:rFonts w:ascii="Arial" w:eastAsia="Times New Roman" w:hAnsi="Arial" w:cs="Arial"/>
                <w:sz w:val="20"/>
                <w:szCs w:val="20"/>
                <w:lang w:val="en-GB" w:eastAsia="en-GB"/>
              </w:rPr>
              <w:t>)</w:t>
            </w:r>
          </w:p>
        </w:tc>
        <w:tc>
          <w:tcPr>
            <w:tcW w:w="1106" w:type="dxa"/>
            <w:tcBorders>
              <w:left w:val="single" w:sz="4" w:space="0" w:color="auto"/>
            </w:tcBorders>
            <w:shd w:val="clear" w:color="auto" w:fill="auto"/>
            <w:vAlign w:val="center"/>
          </w:tcPr>
          <w:p w14:paraId="58E698A0" w14:textId="50A31161" w:rsidR="00EE302D" w:rsidRPr="000D67C6" w:rsidRDefault="009B6746"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w:t>
            </w:r>
            <w:r w:rsidR="00E645BE" w:rsidRPr="000D67C6">
              <w:rPr>
                <w:rFonts w:ascii="Arial" w:eastAsia="Times New Roman" w:hAnsi="Arial" w:cs="Arial"/>
                <w:sz w:val="20"/>
                <w:szCs w:val="20"/>
                <w:lang w:val="en-GB" w:eastAsia="en-GB"/>
              </w:rPr>
              <w:t>1,837</w:t>
            </w:r>
            <w:r w:rsidRPr="000D67C6">
              <w:rPr>
                <w:rFonts w:ascii="Arial" w:eastAsia="Times New Roman" w:hAnsi="Arial" w:cs="Arial"/>
                <w:sz w:val="20"/>
                <w:szCs w:val="20"/>
                <w:lang w:val="en-GB" w:eastAsia="en-GB"/>
              </w:rPr>
              <w:t>)</w:t>
            </w:r>
          </w:p>
        </w:tc>
      </w:tr>
      <w:tr w:rsidR="00645D28" w:rsidRPr="000D67C6" w14:paraId="3E0AB3D5" w14:textId="77777777" w:rsidTr="002D39B0">
        <w:trPr>
          <w:trHeight w:val="578"/>
        </w:trPr>
        <w:tc>
          <w:tcPr>
            <w:tcW w:w="3080" w:type="dxa"/>
            <w:tcBorders>
              <w:right w:val="single" w:sz="4" w:space="0" w:color="auto"/>
            </w:tcBorders>
            <w:shd w:val="clear" w:color="auto" w:fill="auto"/>
            <w:vAlign w:val="center"/>
            <w:hideMark/>
          </w:tcPr>
          <w:p w14:paraId="6651648D" w14:textId="77777777" w:rsidR="00EE302D" w:rsidRPr="000D67C6" w:rsidRDefault="00EE302D" w:rsidP="00EE302D">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CIES</w:t>
            </w:r>
          </w:p>
        </w:tc>
        <w:tc>
          <w:tcPr>
            <w:tcW w:w="984" w:type="dxa"/>
            <w:tcBorders>
              <w:left w:val="single" w:sz="4" w:space="0" w:color="auto"/>
            </w:tcBorders>
            <w:shd w:val="clear" w:color="auto" w:fill="auto"/>
            <w:vAlign w:val="center"/>
          </w:tcPr>
          <w:p w14:paraId="5B8B585A" w14:textId="5AB6824A" w:rsidR="00EE302D" w:rsidRPr="000D67C6" w:rsidRDefault="00E645BE"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786CBB">
              <w:rPr>
                <w:rFonts w:ascii="Arial" w:eastAsia="Times New Roman" w:hAnsi="Arial" w:cs="Arial"/>
                <w:b/>
                <w:bCs/>
                <w:sz w:val="20"/>
                <w:szCs w:val="20"/>
                <w:lang w:val="en-GB" w:eastAsia="en-GB"/>
              </w:rPr>
              <w:t>7</w:t>
            </w:r>
            <w:r w:rsidRPr="000D67C6">
              <w:rPr>
                <w:rFonts w:ascii="Arial" w:eastAsia="Times New Roman" w:hAnsi="Arial" w:cs="Arial"/>
                <w:b/>
                <w:bCs/>
                <w:sz w:val="20"/>
                <w:szCs w:val="20"/>
                <w:lang w:val="en-GB" w:eastAsia="en-GB"/>
              </w:rPr>
              <w:t>,</w:t>
            </w:r>
            <w:r w:rsidR="00786CBB">
              <w:rPr>
                <w:rFonts w:ascii="Arial" w:eastAsia="Times New Roman" w:hAnsi="Arial" w:cs="Arial"/>
                <w:b/>
                <w:bCs/>
                <w:sz w:val="20"/>
                <w:szCs w:val="20"/>
                <w:lang w:val="en-GB" w:eastAsia="en-GB"/>
              </w:rPr>
              <w:t>0</w:t>
            </w:r>
            <w:r w:rsidRPr="000D67C6">
              <w:rPr>
                <w:rFonts w:ascii="Arial" w:eastAsia="Times New Roman" w:hAnsi="Arial" w:cs="Arial"/>
                <w:b/>
                <w:bCs/>
                <w:sz w:val="20"/>
                <w:szCs w:val="20"/>
                <w:lang w:val="en-GB" w:eastAsia="en-GB"/>
              </w:rPr>
              <w:t>23</w:t>
            </w:r>
          </w:p>
        </w:tc>
        <w:tc>
          <w:tcPr>
            <w:tcW w:w="1106" w:type="dxa"/>
            <w:shd w:val="clear" w:color="auto" w:fill="auto"/>
            <w:vAlign w:val="center"/>
          </w:tcPr>
          <w:p w14:paraId="0BC95A74" w14:textId="77777777" w:rsidR="00EE302D" w:rsidRPr="000D67C6" w:rsidRDefault="009B674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050" w:type="dxa"/>
            <w:tcBorders>
              <w:right w:val="single" w:sz="4" w:space="0" w:color="auto"/>
            </w:tcBorders>
            <w:shd w:val="clear" w:color="auto" w:fill="auto"/>
            <w:vAlign w:val="center"/>
          </w:tcPr>
          <w:p w14:paraId="469FBAE1" w14:textId="77777777" w:rsidR="00EE302D" w:rsidRPr="000D67C6" w:rsidRDefault="009B674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78D1200D" w14:textId="286ABC4C" w:rsidR="00EE302D" w:rsidRPr="000D67C6" w:rsidRDefault="00E645BE"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786CBB">
              <w:rPr>
                <w:rFonts w:ascii="Arial" w:eastAsia="Times New Roman" w:hAnsi="Arial" w:cs="Arial"/>
                <w:b/>
                <w:bCs/>
                <w:sz w:val="20"/>
                <w:szCs w:val="20"/>
                <w:lang w:val="en-GB" w:eastAsia="en-GB"/>
              </w:rPr>
              <w:t>7</w:t>
            </w:r>
            <w:r w:rsidRPr="000D67C6">
              <w:rPr>
                <w:rFonts w:ascii="Arial" w:eastAsia="Times New Roman" w:hAnsi="Arial" w:cs="Arial"/>
                <w:b/>
                <w:bCs/>
                <w:sz w:val="20"/>
                <w:szCs w:val="20"/>
                <w:lang w:val="en-GB" w:eastAsia="en-GB"/>
              </w:rPr>
              <w:t>,</w:t>
            </w:r>
            <w:r w:rsidR="00786CBB">
              <w:rPr>
                <w:rFonts w:ascii="Arial" w:eastAsia="Times New Roman" w:hAnsi="Arial" w:cs="Arial"/>
                <w:b/>
                <w:bCs/>
                <w:sz w:val="20"/>
                <w:szCs w:val="20"/>
                <w:lang w:val="en-GB" w:eastAsia="en-GB"/>
              </w:rPr>
              <w:t>0</w:t>
            </w:r>
            <w:r w:rsidRPr="000D67C6">
              <w:rPr>
                <w:rFonts w:ascii="Arial" w:eastAsia="Times New Roman" w:hAnsi="Arial" w:cs="Arial"/>
                <w:b/>
                <w:bCs/>
                <w:sz w:val="20"/>
                <w:szCs w:val="20"/>
                <w:lang w:val="en-GB" w:eastAsia="en-GB"/>
              </w:rPr>
              <w:t>23</w:t>
            </w:r>
          </w:p>
        </w:tc>
        <w:tc>
          <w:tcPr>
            <w:tcW w:w="1117" w:type="dxa"/>
            <w:tcBorders>
              <w:left w:val="single" w:sz="4" w:space="0" w:color="auto"/>
              <w:right w:val="single" w:sz="4" w:space="0" w:color="auto"/>
            </w:tcBorders>
            <w:shd w:val="clear" w:color="auto" w:fill="auto"/>
            <w:vAlign w:val="center"/>
          </w:tcPr>
          <w:p w14:paraId="09C79C85" w14:textId="02FB353A" w:rsidR="00EE302D" w:rsidRPr="000D67C6" w:rsidRDefault="009B6746"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w:t>
            </w:r>
            <w:r w:rsidR="0090300B" w:rsidRPr="000D67C6">
              <w:rPr>
                <w:rFonts w:ascii="Arial" w:eastAsia="Times New Roman" w:hAnsi="Arial" w:cs="Arial"/>
                <w:b/>
                <w:bCs/>
                <w:sz w:val="20"/>
                <w:szCs w:val="20"/>
                <w:lang w:val="en-GB" w:eastAsia="en-GB"/>
              </w:rPr>
              <w:t>1,837</w:t>
            </w:r>
            <w:r w:rsidRPr="000D67C6">
              <w:rPr>
                <w:rFonts w:ascii="Arial" w:eastAsia="Times New Roman" w:hAnsi="Arial" w:cs="Arial"/>
                <w:b/>
                <w:bCs/>
                <w:sz w:val="20"/>
                <w:szCs w:val="20"/>
                <w:lang w:val="en-GB" w:eastAsia="en-GB"/>
              </w:rPr>
              <w:t>)</w:t>
            </w:r>
          </w:p>
        </w:tc>
        <w:tc>
          <w:tcPr>
            <w:tcW w:w="1106" w:type="dxa"/>
            <w:tcBorders>
              <w:left w:val="single" w:sz="4" w:space="0" w:color="auto"/>
            </w:tcBorders>
            <w:shd w:val="clear" w:color="auto" w:fill="auto"/>
            <w:vAlign w:val="center"/>
          </w:tcPr>
          <w:p w14:paraId="49CC4F4A" w14:textId="7C694CD9" w:rsidR="00EE302D" w:rsidRPr="000D67C6" w:rsidRDefault="0090300B"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754AF9">
              <w:rPr>
                <w:rFonts w:ascii="Arial" w:eastAsia="Times New Roman" w:hAnsi="Arial" w:cs="Arial"/>
                <w:b/>
                <w:bCs/>
                <w:sz w:val="20"/>
                <w:szCs w:val="20"/>
                <w:lang w:val="en-GB" w:eastAsia="en-GB"/>
              </w:rPr>
              <w:t>5</w:t>
            </w:r>
            <w:r w:rsidRPr="000D67C6">
              <w:rPr>
                <w:rFonts w:ascii="Arial" w:eastAsia="Times New Roman" w:hAnsi="Arial" w:cs="Arial"/>
                <w:b/>
                <w:bCs/>
                <w:sz w:val="20"/>
                <w:szCs w:val="20"/>
                <w:lang w:val="en-GB" w:eastAsia="en-GB"/>
              </w:rPr>
              <w:t>,</w:t>
            </w:r>
            <w:r w:rsidR="00754AF9">
              <w:rPr>
                <w:rFonts w:ascii="Arial" w:eastAsia="Times New Roman" w:hAnsi="Arial" w:cs="Arial"/>
                <w:b/>
                <w:bCs/>
                <w:sz w:val="20"/>
                <w:szCs w:val="20"/>
                <w:lang w:val="en-GB" w:eastAsia="en-GB"/>
              </w:rPr>
              <w:t>1</w:t>
            </w:r>
            <w:r w:rsidRPr="000D67C6">
              <w:rPr>
                <w:rFonts w:ascii="Arial" w:eastAsia="Times New Roman" w:hAnsi="Arial" w:cs="Arial"/>
                <w:b/>
                <w:bCs/>
                <w:sz w:val="20"/>
                <w:szCs w:val="20"/>
                <w:lang w:val="en-GB" w:eastAsia="en-GB"/>
              </w:rPr>
              <w:t>86</w:t>
            </w:r>
          </w:p>
        </w:tc>
      </w:tr>
      <w:tr w:rsidR="00645D28" w:rsidRPr="000D67C6" w14:paraId="3535D24E" w14:textId="77777777" w:rsidTr="002D39B0">
        <w:trPr>
          <w:trHeight w:val="700"/>
        </w:trPr>
        <w:tc>
          <w:tcPr>
            <w:tcW w:w="3080" w:type="dxa"/>
            <w:tcBorders>
              <w:right w:val="single" w:sz="4" w:space="0" w:color="auto"/>
            </w:tcBorders>
            <w:shd w:val="clear" w:color="auto" w:fill="auto"/>
            <w:vAlign w:val="center"/>
            <w:hideMark/>
          </w:tcPr>
          <w:p w14:paraId="3BA1C613" w14:textId="77777777" w:rsidR="00EE302D" w:rsidRPr="000D67C6" w:rsidRDefault="00EE302D" w:rsidP="00EE302D">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Adjustments accounting &amp; funding (Note 8)</w:t>
            </w:r>
          </w:p>
        </w:tc>
        <w:tc>
          <w:tcPr>
            <w:tcW w:w="984" w:type="dxa"/>
            <w:tcBorders>
              <w:left w:val="single" w:sz="4" w:space="0" w:color="auto"/>
            </w:tcBorders>
            <w:shd w:val="clear" w:color="auto" w:fill="auto"/>
            <w:vAlign w:val="center"/>
          </w:tcPr>
          <w:p w14:paraId="48389C9F" w14:textId="1A4BFE49"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w:t>
            </w:r>
            <w:r w:rsidR="0090300B" w:rsidRPr="000D67C6">
              <w:rPr>
                <w:rFonts w:ascii="Arial" w:eastAsia="Times New Roman" w:hAnsi="Arial" w:cs="Arial"/>
                <w:sz w:val="20"/>
                <w:szCs w:val="20"/>
                <w:lang w:val="en-GB" w:eastAsia="en-GB"/>
              </w:rPr>
              <w:t>3</w:t>
            </w:r>
            <w:r w:rsidR="00330DBA">
              <w:rPr>
                <w:rFonts w:ascii="Arial" w:eastAsia="Times New Roman" w:hAnsi="Arial" w:cs="Arial"/>
                <w:sz w:val="20"/>
                <w:szCs w:val="20"/>
                <w:lang w:val="en-GB" w:eastAsia="en-GB"/>
              </w:rPr>
              <w:t>7</w:t>
            </w:r>
            <w:r w:rsidR="0090300B" w:rsidRPr="000D67C6">
              <w:rPr>
                <w:rFonts w:ascii="Arial" w:eastAsia="Times New Roman" w:hAnsi="Arial" w:cs="Arial"/>
                <w:sz w:val="20"/>
                <w:szCs w:val="20"/>
                <w:lang w:val="en-GB" w:eastAsia="en-GB"/>
              </w:rPr>
              <w:t>,</w:t>
            </w:r>
            <w:r w:rsidR="00330DBA">
              <w:rPr>
                <w:rFonts w:ascii="Arial" w:eastAsia="Times New Roman" w:hAnsi="Arial" w:cs="Arial"/>
                <w:sz w:val="20"/>
                <w:szCs w:val="20"/>
                <w:lang w:val="en-GB" w:eastAsia="en-GB"/>
              </w:rPr>
              <w:t>5</w:t>
            </w:r>
            <w:r w:rsidR="0090300B" w:rsidRPr="000D67C6">
              <w:rPr>
                <w:rFonts w:ascii="Arial" w:eastAsia="Times New Roman" w:hAnsi="Arial" w:cs="Arial"/>
                <w:sz w:val="20"/>
                <w:szCs w:val="20"/>
                <w:lang w:val="en-GB" w:eastAsia="en-GB"/>
              </w:rPr>
              <w:t>93)</w:t>
            </w:r>
          </w:p>
        </w:tc>
        <w:tc>
          <w:tcPr>
            <w:tcW w:w="1106" w:type="dxa"/>
            <w:shd w:val="clear" w:color="auto" w:fill="auto"/>
            <w:vAlign w:val="center"/>
          </w:tcPr>
          <w:p w14:paraId="3EDD51CF"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tcPr>
          <w:p w14:paraId="4B984811"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2C119429" w14:textId="76C3CF43"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w:t>
            </w:r>
            <w:r w:rsidR="000A5DDB" w:rsidRPr="000D67C6">
              <w:rPr>
                <w:rFonts w:ascii="Arial" w:eastAsia="Times New Roman" w:hAnsi="Arial" w:cs="Arial"/>
                <w:sz w:val="20"/>
                <w:szCs w:val="20"/>
                <w:lang w:val="en-GB" w:eastAsia="en-GB"/>
              </w:rPr>
              <w:t>3</w:t>
            </w:r>
            <w:r w:rsidR="00654C0F">
              <w:rPr>
                <w:rFonts w:ascii="Arial" w:eastAsia="Times New Roman" w:hAnsi="Arial" w:cs="Arial"/>
                <w:sz w:val="20"/>
                <w:szCs w:val="20"/>
                <w:lang w:val="en-GB" w:eastAsia="en-GB"/>
              </w:rPr>
              <w:t>7</w:t>
            </w:r>
            <w:r w:rsidR="000A5DDB" w:rsidRPr="000D67C6">
              <w:rPr>
                <w:rFonts w:ascii="Arial" w:eastAsia="Times New Roman" w:hAnsi="Arial" w:cs="Arial"/>
                <w:sz w:val="20"/>
                <w:szCs w:val="20"/>
                <w:lang w:val="en-GB" w:eastAsia="en-GB"/>
              </w:rPr>
              <w:t>,</w:t>
            </w:r>
            <w:r w:rsidR="00654C0F">
              <w:rPr>
                <w:rFonts w:ascii="Arial" w:eastAsia="Times New Roman" w:hAnsi="Arial" w:cs="Arial"/>
                <w:sz w:val="20"/>
                <w:szCs w:val="20"/>
                <w:lang w:val="en-GB" w:eastAsia="en-GB"/>
              </w:rPr>
              <w:t>5</w:t>
            </w:r>
            <w:r w:rsidR="000A5DDB" w:rsidRPr="000D67C6">
              <w:rPr>
                <w:rFonts w:ascii="Arial" w:eastAsia="Times New Roman" w:hAnsi="Arial" w:cs="Arial"/>
                <w:sz w:val="20"/>
                <w:szCs w:val="20"/>
                <w:lang w:val="en-GB" w:eastAsia="en-GB"/>
              </w:rPr>
              <w:t>93</w:t>
            </w:r>
            <w:r w:rsidRPr="000D67C6">
              <w:rPr>
                <w:rFonts w:ascii="Arial" w:eastAsia="Times New Roman" w:hAnsi="Arial" w:cs="Arial"/>
                <w:sz w:val="20"/>
                <w:szCs w:val="20"/>
                <w:lang w:val="en-GB" w:eastAsia="en-GB"/>
              </w:rPr>
              <w:t>)</w:t>
            </w:r>
          </w:p>
        </w:tc>
        <w:tc>
          <w:tcPr>
            <w:tcW w:w="1117" w:type="dxa"/>
            <w:tcBorders>
              <w:left w:val="single" w:sz="4" w:space="0" w:color="auto"/>
              <w:right w:val="single" w:sz="4" w:space="0" w:color="auto"/>
            </w:tcBorders>
            <w:shd w:val="clear" w:color="auto" w:fill="auto"/>
            <w:vAlign w:val="center"/>
          </w:tcPr>
          <w:p w14:paraId="396DB685" w14:textId="7745AEC5" w:rsidR="00EE302D" w:rsidRPr="000D67C6" w:rsidRDefault="000A5DDB"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w:t>
            </w:r>
            <w:r w:rsidR="00654C0F">
              <w:rPr>
                <w:rFonts w:ascii="Arial" w:eastAsia="Times New Roman" w:hAnsi="Arial" w:cs="Arial"/>
                <w:sz w:val="20"/>
                <w:szCs w:val="20"/>
                <w:lang w:val="en-GB" w:eastAsia="en-GB"/>
              </w:rPr>
              <w:t>7</w:t>
            </w:r>
            <w:r w:rsidRPr="000D67C6">
              <w:rPr>
                <w:rFonts w:ascii="Arial" w:eastAsia="Times New Roman" w:hAnsi="Arial" w:cs="Arial"/>
                <w:sz w:val="20"/>
                <w:szCs w:val="20"/>
                <w:lang w:val="en-GB" w:eastAsia="en-GB"/>
              </w:rPr>
              <w:t>,</w:t>
            </w:r>
            <w:r w:rsidR="00654C0F">
              <w:rPr>
                <w:rFonts w:ascii="Arial" w:eastAsia="Times New Roman" w:hAnsi="Arial" w:cs="Arial"/>
                <w:sz w:val="20"/>
                <w:szCs w:val="20"/>
                <w:lang w:val="en-GB" w:eastAsia="en-GB"/>
              </w:rPr>
              <w:t>5</w:t>
            </w:r>
            <w:r w:rsidRPr="000D67C6">
              <w:rPr>
                <w:rFonts w:ascii="Arial" w:eastAsia="Times New Roman" w:hAnsi="Arial" w:cs="Arial"/>
                <w:sz w:val="20"/>
                <w:szCs w:val="20"/>
                <w:lang w:val="en-GB" w:eastAsia="en-GB"/>
              </w:rPr>
              <w:t>93</w:t>
            </w:r>
          </w:p>
        </w:tc>
        <w:tc>
          <w:tcPr>
            <w:tcW w:w="1106" w:type="dxa"/>
            <w:tcBorders>
              <w:left w:val="single" w:sz="4" w:space="0" w:color="auto"/>
            </w:tcBorders>
            <w:shd w:val="clear" w:color="auto" w:fill="auto"/>
            <w:vAlign w:val="center"/>
          </w:tcPr>
          <w:p w14:paraId="40FFED0D"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r>
      <w:tr w:rsidR="00645D28" w:rsidRPr="000D67C6" w14:paraId="286EF1F2" w14:textId="77777777" w:rsidTr="002D39B0">
        <w:trPr>
          <w:trHeight w:val="568"/>
        </w:trPr>
        <w:tc>
          <w:tcPr>
            <w:tcW w:w="3080" w:type="dxa"/>
            <w:tcBorders>
              <w:right w:val="single" w:sz="4" w:space="0" w:color="auto"/>
            </w:tcBorders>
            <w:shd w:val="clear" w:color="auto" w:fill="auto"/>
            <w:vAlign w:val="center"/>
            <w:hideMark/>
          </w:tcPr>
          <w:p w14:paraId="6CD1D838" w14:textId="77777777" w:rsidR="00EE302D" w:rsidRPr="000D67C6" w:rsidRDefault="00EE302D" w:rsidP="00EE302D">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Net (Increase) / Decrease before transfer</w:t>
            </w:r>
          </w:p>
        </w:tc>
        <w:tc>
          <w:tcPr>
            <w:tcW w:w="984" w:type="dxa"/>
            <w:tcBorders>
              <w:left w:val="single" w:sz="4" w:space="0" w:color="auto"/>
            </w:tcBorders>
            <w:shd w:val="clear" w:color="auto" w:fill="auto"/>
            <w:vAlign w:val="center"/>
          </w:tcPr>
          <w:p w14:paraId="4960CD09" w14:textId="77777777" w:rsidR="00EE302D" w:rsidRPr="000D67C6" w:rsidRDefault="002F4C07"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w:t>
            </w:r>
            <w:r w:rsidR="00811648" w:rsidRPr="000D67C6">
              <w:rPr>
                <w:rFonts w:ascii="Arial" w:eastAsia="Times New Roman" w:hAnsi="Arial" w:cs="Arial"/>
                <w:b/>
                <w:bCs/>
                <w:sz w:val="20"/>
                <w:szCs w:val="20"/>
                <w:lang w:val="en-GB" w:eastAsia="en-GB"/>
              </w:rPr>
              <w:t>570</w:t>
            </w:r>
            <w:r w:rsidRPr="000D67C6">
              <w:rPr>
                <w:rFonts w:ascii="Arial" w:eastAsia="Times New Roman" w:hAnsi="Arial" w:cs="Arial"/>
                <w:b/>
                <w:bCs/>
                <w:sz w:val="20"/>
                <w:szCs w:val="20"/>
                <w:lang w:val="en-GB" w:eastAsia="en-GB"/>
              </w:rPr>
              <w:t>)</w:t>
            </w:r>
          </w:p>
        </w:tc>
        <w:tc>
          <w:tcPr>
            <w:tcW w:w="1106" w:type="dxa"/>
            <w:shd w:val="clear" w:color="auto" w:fill="auto"/>
            <w:vAlign w:val="center"/>
          </w:tcPr>
          <w:p w14:paraId="21A6B34E" w14:textId="77777777" w:rsidR="00EE302D" w:rsidRPr="000D67C6" w:rsidRDefault="002F4C07"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050" w:type="dxa"/>
            <w:tcBorders>
              <w:right w:val="single" w:sz="4" w:space="0" w:color="auto"/>
            </w:tcBorders>
            <w:shd w:val="clear" w:color="auto" w:fill="auto"/>
            <w:vAlign w:val="center"/>
          </w:tcPr>
          <w:p w14:paraId="1339736E" w14:textId="77777777" w:rsidR="00EE302D" w:rsidRPr="000D67C6" w:rsidRDefault="002F4C07"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1E0E105D" w14:textId="77777777" w:rsidR="00EE302D" w:rsidRPr="000D67C6" w:rsidRDefault="002F4C07"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w:t>
            </w:r>
            <w:r w:rsidR="00811648" w:rsidRPr="000D67C6">
              <w:rPr>
                <w:rFonts w:ascii="Arial" w:eastAsia="Times New Roman" w:hAnsi="Arial" w:cs="Arial"/>
                <w:b/>
                <w:bCs/>
                <w:sz w:val="20"/>
                <w:szCs w:val="20"/>
                <w:lang w:val="en-GB" w:eastAsia="en-GB"/>
              </w:rPr>
              <w:t>570</w:t>
            </w:r>
            <w:r w:rsidRPr="000D67C6">
              <w:rPr>
                <w:rFonts w:ascii="Arial" w:eastAsia="Times New Roman" w:hAnsi="Arial" w:cs="Arial"/>
                <w:b/>
                <w:bCs/>
                <w:sz w:val="20"/>
                <w:szCs w:val="20"/>
                <w:lang w:val="en-GB" w:eastAsia="en-GB"/>
              </w:rPr>
              <w:t>)</w:t>
            </w:r>
          </w:p>
        </w:tc>
        <w:tc>
          <w:tcPr>
            <w:tcW w:w="1117" w:type="dxa"/>
            <w:tcBorders>
              <w:left w:val="single" w:sz="4" w:space="0" w:color="auto"/>
              <w:right w:val="single" w:sz="4" w:space="0" w:color="auto"/>
            </w:tcBorders>
            <w:shd w:val="clear" w:color="auto" w:fill="auto"/>
            <w:vAlign w:val="center"/>
          </w:tcPr>
          <w:p w14:paraId="1C968B9D" w14:textId="7CBB3F34" w:rsidR="00EE302D" w:rsidRPr="000D67C6" w:rsidRDefault="00E217E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A37AEF">
              <w:rPr>
                <w:rFonts w:ascii="Arial" w:eastAsia="Times New Roman" w:hAnsi="Arial" w:cs="Arial"/>
                <w:b/>
                <w:bCs/>
                <w:sz w:val="20"/>
                <w:szCs w:val="20"/>
                <w:lang w:val="en-GB" w:eastAsia="en-GB"/>
              </w:rPr>
              <w:t>5</w:t>
            </w:r>
            <w:r w:rsidRPr="000D67C6">
              <w:rPr>
                <w:rFonts w:ascii="Arial" w:eastAsia="Times New Roman" w:hAnsi="Arial" w:cs="Arial"/>
                <w:b/>
                <w:bCs/>
                <w:sz w:val="20"/>
                <w:szCs w:val="20"/>
                <w:lang w:val="en-GB" w:eastAsia="en-GB"/>
              </w:rPr>
              <w:t>,</w:t>
            </w:r>
            <w:r w:rsidR="00A37AEF">
              <w:rPr>
                <w:rFonts w:ascii="Arial" w:eastAsia="Times New Roman" w:hAnsi="Arial" w:cs="Arial"/>
                <w:b/>
                <w:bCs/>
                <w:sz w:val="20"/>
                <w:szCs w:val="20"/>
                <w:lang w:val="en-GB" w:eastAsia="en-GB"/>
              </w:rPr>
              <w:t>756</w:t>
            </w:r>
          </w:p>
        </w:tc>
        <w:tc>
          <w:tcPr>
            <w:tcW w:w="1106" w:type="dxa"/>
            <w:tcBorders>
              <w:left w:val="single" w:sz="4" w:space="0" w:color="auto"/>
            </w:tcBorders>
            <w:shd w:val="clear" w:color="auto" w:fill="auto"/>
            <w:vAlign w:val="center"/>
          </w:tcPr>
          <w:p w14:paraId="5676D8FB" w14:textId="34D20B54" w:rsidR="00EE302D" w:rsidRPr="000D67C6" w:rsidRDefault="00E217E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6F5719">
              <w:rPr>
                <w:rFonts w:ascii="Arial" w:eastAsia="Times New Roman" w:hAnsi="Arial" w:cs="Arial"/>
                <w:b/>
                <w:bCs/>
                <w:sz w:val="20"/>
                <w:szCs w:val="20"/>
                <w:lang w:val="en-GB" w:eastAsia="en-GB"/>
              </w:rPr>
              <w:t>5</w:t>
            </w:r>
            <w:r w:rsidRPr="000D67C6">
              <w:rPr>
                <w:rFonts w:ascii="Arial" w:eastAsia="Times New Roman" w:hAnsi="Arial" w:cs="Arial"/>
                <w:b/>
                <w:bCs/>
                <w:sz w:val="20"/>
                <w:szCs w:val="20"/>
                <w:lang w:val="en-GB" w:eastAsia="en-GB"/>
              </w:rPr>
              <w:t>,</w:t>
            </w:r>
            <w:r w:rsidR="006F5719">
              <w:rPr>
                <w:rFonts w:ascii="Arial" w:eastAsia="Times New Roman" w:hAnsi="Arial" w:cs="Arial"/>
                <w:b/>
                <w:bCs/>
                <w:sz w:val="20"/>
                <w:szCs w:val="20"/>
                <w:lang w:val="en-GB" w:eastAsia="en-GB"/>
              </w:rPr>
              <w:t>1</w:t>
            </w:r>
            <w:r w:rsidRPr="000D67C6">
              <w:rPr>
                <w:rFonts w:ascii="Arial" w:eastAsia="Times New Roman" w:hAnsi="Arial" w:cs="Arial"/>
                <w:b/>
                <w:bCs/>
                <w:sz w:val="20"/>
                <w:szCs w:val="20"/>
                <w:lang w:val="en-GB" w:eastAsia="en-GB"/>
              </w:rPr>
              <w:t>86</w:t>
            </w:r>
          </w:p>
        </w:tc>
      </w:tr>
      <w:tr w:rsidR="00645D28" w:rsidRPr="000D67C6" w14:paraId="7EB92962" w14:textId="77777777" w:rsidTr="008C7603">
        <w:trPr>
          <w:trHeight w:val="708"/>
        </w:trPr>
        <w:tc>
          <w:tcPr>
            <w:tcW w:w="3080" w:type="dxa"/>
            <w:tcBorders>
              <w:right w:val="single" w:sz="4" w:space="0" w:color="auto"/>
            </w:tcBorders>
            <w:shd w:val="clear" w:color="auto" w:fill="auto"/>
            <w:vAlign w:val="center"/>
            <w:hideMark/>
          </w:tcPr>
          <w:p w14:paraId="4344A5CF" w14:textId="77777777" w:rsidR="00EE302D" w:rsidRPr="000D67C6" w:rsidRDefault="00EE302D" w:rsidP="00EE302D">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Transfers To / (From) Reserves (Note 9)</w:t>
            </w:r>
          </w:p>
        </w:tc>
        <w:tc>
          <w:tcPr>
            <w:tcW w:w="984" w:type="dxa"/>
            <w:tcBorders>
              <w:left w:val="single" w:sz="4" w:space="0" w:color="auto"/>
            </w:tcBorders>
            <w:shd w:val="clear" w:color="auto" w:fill="auto"/>
            <w:vAlign w:val="center"/>
          </w:tcPr>
          <w:p w14:paraId="3B99C852" w14:textId="5414E373" w:rsidR="00EE302D" w:rsidRPr="000D67C6" w:rsidRDefault="005C57C0"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397</w:t>
            </w:r>
          </w:p>
        </w:tc>
        <w:tc>
          <w:tcPr>
            <w:tcW w:w="1106" w:type="dxa"/>
            <w:shd w:val="clear" w:color="auto" w:fill="auto"/>
            <w:vAlign w:val="center"/>
          </w:tcPr>
          <w:p w14:paraId="15A6CEA1" w14:textId="1150B9CA" w:rsidR="00EE302D" w:rsidRPr="000D67C6" w:rsidRDefault="005C57C0"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(397)</w:t>
            </w:r>
          </w:p>
        </w:tc>
        <w:tc>
          <w:tcPr>
            <w:tcW w:w="1050" w:type="dxa"/>
            <w:tcBorders>
              <w:right w:val="single" w:sz="4" w:space="0" w:color="auto"/>
            </w:tcBorders>
            <w:shd w:val="clear" w:color="auto" w:fill="auto"/>
            <w:vAlign w:val="center"/>
          </w:tcPr>
          <w:p w14:paraId="3B51ABFD"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473FD6E9"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17" w:type="dxa"/>
            <w:tcBorders>
              <w:left w:val="single" w:sz="4" w:space="0" w:color="auto"/>
              <w:right w:val="single" w:sz="4" w:space="0" w:color="auto"/>
            </w:tcBorders>
            <w:shd w:val="clear" w:color="auto" w:fill="auto"/>
            <w:vAlign w:val="center"/>
          </w:tcPr>
          <w:p w14:paraId="772485DA"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tcBorders>
            <w:shd w:val="clear" w:color="auto" w:fill="auto"/>
            <w:vAlign w:val="center"/>
          </w:tcPr>
          <w:p w14:paraId="4F2FFAE6" w14:textId="77777777" w:rsidR="00EE302D" w:rsidRPr="000D67C6" w:rsidRDefault="002F4C07" w:rsidP="002D39B0">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r>
      <w:tr w:rsidR="00645D28" w:rsidRPr="000D67C6" w14:paraId="72A86EF2" w14:textId="77777777" w:rsidTr="008C7603">
        <w:trPr>
          <w:trHeight w:val="408"/>
        </w:trPr>
        <w:tc>
          <w:tcPr>
            <w:tcW w:w="3080" w:type="dxa"/>
            <w:tcBorders>
              <w:right w:val="single" w:sz="4" w:space="0" w:color="auto"/>
            </w:tcBorders>
            <w:shd w:val="clear" w:color="auto" w:fill="auto"/>
            <w:vAlign w:val="center"/>
          </w:tcPr>
          <w:p w14:paraId="2075A105" w14:textId="77777777" w:rsidR="008C7603" w:rsidRPr="000D67C6" w:rsidRDefault="00A215C6" w:rsidP="00EE302D">
            <w:pPr>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w:t>
            </w:r>
            <w:r w:rsidR="008C7603" w:rsidRPr="000D67C6">
              <w:rPr>
                <w:rFonts w:ascii="Arial" w:eastAsia="Times New Roman" w:hAnsi="Arial" w:cs="Arial"/>
                <w:b/>
                <w:sz w:val="20"/>
                <w:szCs w:val="20"/>
                <w:lang w:val="en-GB" w:eastAsia="en-GB"/>
              </w:rPr>
              <w:t>Increa</w:t>
            </w:r>
            <w:r w:rsidR="0037036E" w:rsidRPr="000D67C6">
              <w:rPr>
                <w:rFonts w:ascii="Arial" w:eastAsia="Times New Roman" w:hAnsi="Arial" w:cs="Arial"/>
                <w:b/>
                <w:sz w:val="20"/>
                <w:szCs w:val="20"/>
                <w:lang w:val="en-GB" w:eastAsia="en-GB"/>
              </w:rPr>
              <w:t>se</w:t>
            </w:r>
            <w:r w:rsidRPr="000D67C6">
              <w:rPr>
                <w:rFonts w:ascii="Arial" w:eastAsia="Times New Roman" w:hAnsi="Arial" w:cs="Arial"/>
                <w:b/>
                <w:sz w:val="20"/>
                <w:szCs w:val="20"/>
                <w:lang w:val="en-GB" w:eastAsia="en-GB"/>
              </w:rPr>
              <w:t>)</w:t>
            </w:r>
            <w:r w:rsidR="0037036E" w:rsidRPr="000D67C6">
              <w:rPr>
                <w:rFonts w:ascii="Arial" w:eastAsia="Times New Roman" w:hAnsi="Arial" w:cs="Arial"/>
                <w:b/>
                <w:sz w:val="20"/>
                <w:szCs w:val="20"/>
                <w:lang w:val="en-GB" w:eastAsia="en-GB"/>
              </w:rPr>
              <w:t xml:space="preserve"> / Decrease</w:t>
            </w:r>
            <w:r w:rsidR="00C87848" w:rsidRPr="000D67C6">
              <w:rPr>
                <w:rFonts w:ascii="Arial" w:eastAsia="Times New Roman" w:hAnsi="Arial" w:cs="Arial"/>
                <w:b/>
                <w:sz w:val="20"/>
                <w:szCs w:val="20"/>
                <w:lang w:val="en-GB" w:eastAsia="en-GB"/>
              </w:rPr>
              <w:t xml:space="preserve"> in 201</w:t>
            </w:r>
            <w:r w:rsidR="00C002D2" w:rsidRPr="000D67C6">
              <w:rPr>
                <w:rFonts w:ascii="Arial" w:eastAsia="Times New Roman" w:hAnsi="Arial" w:cs="Arial"/>
                <w:b/>
                <w:sz w:val="20"/>
                <w:szCs w:val="20"/>
                <w:lang w:val="en-GB" w:eastAsia="en-GB"/>
              </w:rPr>
              <w:t>8</w:t>
            </w:r>
            <w:r w:rsidR="00C87848" w:rsidRPr="000D67C6">
              <w:rPr>
                <w:rFonts w:ascii="Arial" w:eastAsia="Times New Roman" w:hAnsi="Arial" w:cs="Arial"/>
                <w:b/>
                <w:sz w:val="20"/>
                <w:szCs w:val="20"/>
                <w:lang w:val="en-GB" w:eastAsia="en-GB"/>
              </w:rPr>
              <w:t>/1</w:t>
            </w:r>
            <w:r w:rsidR="00C002D2" w:rsidRPr="000D67C6">
              <w:rPr>
                <w:rFonts w:ascii="Arial" w:eastAsia="Times New Roman" w:hAnsi="Arial" w:cs="Arial"/>
                <w:b/>
                <w:sz w:val="20"/>
                <w:szCs w:val="20"/>
                <w:lang w:val="en-GB" w:eastAsia="en-GB"/>
              </w:rPr>
              <w:t>9</w:t>
            </w:r>
          </w:p>
        </w:tc>
        <w:tc>
          <w:tcPr>
            <w:tcW w:w="984" w:type="dxa"/>
            <w:tcBorders>
              <w:left w:val="single" w:sz="4" w:space="0" w:color="auto"/>
            </w:tcBorders>
            <w:shd w:val="clear" w:color="auto" w:fill="auto"/>
            <w:vAlign w:val="center"/>
          </w:tcPr>
          <w:p w14:paraId="5BAEFF93" w14:textId="4D98202B" w:rsidR="008C7603" w:rsidRPr="000D67C6" w:rsidRDefault="00293166"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(173)</w:t>
            </w:r>
          </w:p>
        </w:tc>
        <w:tc>
          <w:tcPr>
            <w:tcW w:w="1106" w:type="dxa"/>
            <w:shd w:val="clear" w:color="auto" w:fill="auto"/>
            <w:vAlign w:val="center"/>
          </w:tcPr>
          <w:p w14:paraId="638FA489" w14:textId="3BD210EE" w:rsidR="008C7603" w:rsidRPr="000D67C6" w:rsidRDefault="00CC2355"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w:t>
            </w:r>
            <w:r w:rsidR="005C57C0" w:rsidRPr="000D67C6">
              <w:rPr>
                <w:rFonts w:ascii="Arial" w:eastAsia="Times New Roman" w:hAnsi="Arial" w:cs="Arial"/>
                <w:b/>
                <w:sz w:val="20"/>
                <w:szCs w:val="20"/>
                <w:lang w:val="en-GB" w:eastAsia="en-GB"/>
              </w:rPr>
              <w:t>397</w:t>
            </w:r>
            <w:r w:rsidRPr="000D67C6">
              <w:rPr>
                <w:rFonts w:ascii="Arial" w:eastAsia="Times New Roman" w:hAnsi="Arial" w:cs="Arial"/>
                <w:b/>
                <w:sz w:val="20"/>
                <w:szCs w:val="20"/>
                <w:lang w:val="en-GB" w:eastAsia="en-GB"/>
              </w:rPr>
              <w:t>)</w:t>
            </w:r>
          </w:p>
        </w:tc>
        <w:tc>
          <w:tcPr>
            <w:tcW w:w="1050" w:type="dxa"/>
            <w:tcBorders>
              <w:right w:val="single" w:sz="4" w:space="0" w:color="auto"/>
            </w:tcBorders>
            <w:shd w:val="clear" w:color="auto" w:fill="auto"/>
            <w:vAlign w:val="center"/>
          </w:tcPr>
          <w:p w14:paraId="18A7F875" w14:textId="77777777" w:rsidR="008C7603" w:rsidRPr="000D67C6" w:rsidRDefault="00CC2355"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7EF36E6D" w14:textId="77777777" w:rsidR="008C7603" w:rsidRPr="000D67C6" w:rsidRDefault="00CC2355"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w:t>
            </w:r>
            <w:r w:rsidR="0006251C" w:rsidRPr="000D67C6">
              <w:rPr>
                <w:rFonts w:ascii="Arial" w:eastAsia="Times New Roman" w:hAnsi="Arial" w:cs="Arial"/>
                <w:b/>
                <w:sz w:val="20"/>
                <w:szCs w:val="20"/>
                <w:lang w:val="en-GB" w:eastAsia="en-GB"/>
              </w:rPr>
              <w:t>570</w:t>
            </w:r>
            <w:r w:rsidRPr="000D67C6">
              <w:rPr>
                <w:rFonts w:ascii="Arial" w:eastAsia="Times New Roman" w:hAnsi="Arial" w:cs="Arial"/>
                <w:b/>
                <w:sz w:val="20"/>
                <w:szCs w:val="20"/>
                <w:lang w:val="en-GB" w:eastAsia="en-GB"/>
              </w:rPr>
              <w:t>)</w:t>
            </w:r>
          </w:p>
        </w:tc>
        <w:tc>
          <w:tcPr>
            <w:tcW w:w="1117" w:type="dxa"/>
            <w:tcBorders>
              <w:left w:val="single" w:sz="4" w:space="0" w:color="auto"/>
              <w:right w:val="single" w:sz="4" w:space="0" w:color="auto"/>
            </w:tcBorders>
            <w:shd w:val="clear" w:color="auto" w:fill="auto"/>
            <w:vAlign w:val="center"/>
          </w:tcPr>
          <w:p w14:paraId="5BE04834" w14:textId="4BD89984" w:rsidR="008C7603" w:rsidRPr="000D67C6" w:rsidRDefault="003631CF"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3</w:t>
            </w:r>
            <w:r w:rsidR="00DF746D">
              <w:rPr>
                <w:rFonts w:ascii="Arial" w:eastAsia="Times New Roman" w:hAnsi="Arial" w:cs="Arial"/>
                <w:b/>
                <w:sz w:val="20"/>
                <w:szCs w:val="20"/>
                <w:lang w:val="en-GB" w:eastAsia="en-GB"/>
              </w:rPr>
              <w:t>5</w:t>
            </w:r>
            <w:r w:rsidRPr="000D67C6">
              <w:rPr>
                <w:rFonts w:ascii="Arial" w:eastAsia="Times New Roman" w:hAnsi="Arial" w:cs="Arial"/>
                <w:b/>
                <w:sz w:val="20"/>
                <w:szCs w:val="20"/>
                <w:lang w:val="en-GB" w:eastAsia="en-GB"/>
              </w:rPr>
              <w:t>,</w:t>
            </w:r>
            <w:r w:rsidR="00DF746D">
              <w:rPr>
                <w:rFonts w:ascii="Arial" w:eastAsia="Times New Roman" w:hAnsi="Arial" w:cs="Arial"/>
                <w:b/>
                <w:sz w:val="20"/>
                <w:szCs w:val="20"/>
                <w:lang w:val="en-GB" w:eastAsia="en-GB"/>
              </w:rPr>
              <w:t>7</w:t>
            </w:r>
            <w:r w:rsidRPr="000D67C6">
              <w:rPr>
                <w:rFonts w:ascii="Arial" w:eastAsia="Times New Roman" w:hAnsi="Arial" w:cs="Arial"/>
                <w:b/>
                <w:sz w:val="20"/>
                <w:szCs w:val="20"/>
                <w:lang w:val="en-GB" w:eastAsia="en-GB"/>
              </w:rPr>
              <w:t>56</w:t>
            </w:r>
          </w:p>
        </w:tc>
        <w:tc>
          <w:tcPr>
            <w:tcW w:w="1106" w:type="dxa"/>
            <w:tcBorders>
              <w:left w:val="single" w:sz="4" w:space="0" w:color="auto"/>
            </w:tcBorders>
            <w:shd w:val="clear" w:color="auto" w:fill="auto"/>
            <w:vAlign w:val="center"/>
          </w:tcPr>
          <w:p w14:paraId="463ECF6D" w14:textId="49727D45" w:rsidR="008C7603" w:rsidRPr="000D67C6" w:rsidRDefault="00645D28" w:rsidP="002D39B0">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3</w:t>
            </w:r>
            <w:r w:rsidR="000F6150">
              <w:rPr>
                <w:rFonts w:ascii="Arial" w:eastAsia="Times New Roman" w:hAnsi="Arial" w:cs="Arial"/>
                <w:b/>
                <w:sz w:val="20"/>
                <w:szCs w:val="20"/>
                <w:lang w:val="en-GB" w:eastAsia="en-GB"/>
              </w:rPr>
              <w:t>5</w:t>
            </w:r>
            <w:r w:rsidRPr="000D67C6">
              <w:rPr>
                <w:rFonts w:ascii="Arial" w:eastAsia="Times New Roman" w:hAnsi="Arial" w:cs="Arial"/>
                <w:b/>
                <w:sz w:val="20"/>
                <w:szCs w:val="20"/>
                <w:lang w:val="en-GB" w:eastAsia="en-GB"/>
              </w:rPr>
              <w:t>,</w:t>
            </w:r>
            <w:r w:rsidR="000F6150">
              <w:rPr>
                <w:rFonts w:ascii="Arial" w:eastAsia="Times New Roman" w:hAnsi="Arial" w:cs="Arial"/>
                <w:b/>
                <w:sz w:val="20"/>
                <w:szCs w:val="20"/>
                <w:lang w:val="en-GB" w:eastAsia="en-GB"/>
              </w:rPr>
              <w:t>1</w:t>
            </w:r>
            <w:r w:rsidRPr="000D67C6">
              <w:rPr>
                <w:rFonts w:ascii="Arial" w:eastAsia="Times New Roman" w:hAnsi="Arial" w:cs="Arial"/>
                <w:b/>
                <w:sz w:val="20"/>
                <w:szCs w:val="20"/>
                <w:lang w:val="en-GB" w:eastAsia="en-GB"/>
              </w:rPr>
              <w:t>86</w:t>
            </w:r>
          </w:p>
        </w:tc>
      </w:tr>
      <w:tr w:rsidR="00645D28" w:rsidRPr="000D67C6" w14:paraId="459DD541" w14:textId="77777777" w:rsidTr="002D39B0">
        <w:trPr>
          <w:trHeight w:val="419"/>
        </w:trPr>
        <w:tc>
          <w:tcPr>
            <w:tcW w:w="3080" w:type="dxa"/>
            <w:tcBorders>
              <w:right w:val="single" w:sz="4" w:space="0" w:color="auto"/>
            </w:tcBorders>
            <w:shd w:val="clear" w:color="auto" w:fill="auto"/>
            <w:vAlign w:val="center"/>
            <w:hideMark/>
          </w:tcPr>
          <w:p w14:paraId="42B53EC3" w14:textId="77777777" w:rsidR="00EE302D" w:rsidRPr="000D67C6" w:rsidRDefault="00EE302D" w:rsidP="00EE302D">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Bal</w:t>
            </w:r>
            <w:r w:rsidR="00EC2A3C" w:rsidRPr="000D67C6">
              <w:rPr>
                <w:rFonts w:ascii="Arial" w:eastAsia="Times New Roman" w:hAnsi="Arial" w:cs="Arial"/>
                <w:b/>
                <w:bCs/>
                <w:sz w:val="20"/>
                <w:szCs w:val="20"/>
                <w:lang w:val="en-GB" w:eastAsia="en-GB"/>
              </w:rPr>
              <w:t>ance</w:t>
            </w:r>
            <w:r w:rsidRPr="000D67C6">
              <w:rPr>
                <w:rFonts w:ascii="Arial" w:eastAsia="Times New Roman" w:hAnsi="Arial" w:cs="Arial"/>
                <w:b/>
                <w:bCs/>
                <w:sz w:val="20"/>
                <w:szCs w:val="20"/>
                <w:lang w:val="en-GB" w:eastAsia="en-GB"/>
              </w:rPr>
              <w:t xml:space="preserve"> 31 March 201</w:t>
            </w:r>
            <w:r w:rsidR="00C002D2" w:rsidRPr="000D67C6">
              <w:rPr>
                <w:rFonts w:ascii="Arial" w:eastAsia="Times New Roman" w:hAnsi="Arial" w:cs="Arial"/>
                <w:b/>
                <w:bCs/>
                <w:sz w:val="20"/>
                <w:szCs w:val="20"/>
                <w:lang w:val="en-GB" w:eastAsia="en-GB"/>
              </w:rPr>
              <w:t>9</w:t>
            </w:r>
          </w:p>
        </w:tc>
        <w:tc>
          <w:tcPr>
            <w:tcW w:w="984" w:type="dxa"/>
            <w:tcBorders>
              <w:left w:val="single" w:sz="4" w:space="0" w:color="auto"/>
            </w:tcBorders>
            <w:shd w:val="clear" w:color="auto" w:fill="auto"/>
            <w:vAlign w:val="center"/>
          </w:tcPr>
          <w:p w14:paraId="3E359AA1" w14:textId="23AE7071" w:rsidR="00EE302D" w:rsidRPr="000D67C6" w:rsidRDefault="00CC2355"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w:t>
            </w:r>
            <w:r w:rsidR="00293166" w:rsidRPr="000D67C6">
              <w:rPr>
                <w:rFonts w:ascii="Arial" w:eastAsia="Times New Roman" w:hAnsi="Arial" w:cs="Arial"/>
                <w:b/>
                <w:bCs/>
                <w:sz w:val="20"/>
                <w:szCs w:val="20"/>
                <w:lang w:val="en-GB" w:eastAsia="en-GB"/>
              </w:rPr>
              <w:t>880</w:t>
            </w:r>
            <w:r w:rsidRPr="000D67C6">
              <w:rPr>
                <w:rFonts w:ascii="Arial" w:eastAsia="Times New Roman" w:hAnsi="Arial" w:cs="Arial"/>
                <w:b/>
                <w:bCs/>
                <w:sz w:val="20"/>
                <w:szCs w:val="20"/>
                <w:lang w:val="en-GB" w:eastAsia="en-GB"/>
              </w:rPr>
              <w:t>)</w:t>
            </w:r>
          </w:p>
        </w:tc>
        <w:tc>
          <w:tcPr>
            <w:tcW w:w="1106" w:type="dxa"/>
            <w:shd w:val="clear" w:color="auto" w:fill="auto"/>
            <w:vAlign w:val="center"/>
          </w:tcPr>
          <w:p w14:paraId="2979D986" w14:textId="513392C3" w:rsidR="00EE302D" w:rsidRPr="000D67C6" w:rsidRDefault="00CC2355"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(7</w:t>
            </w:r>
            <w:r w:rsidR="0006251C" w:rsidRPr="000D67C6">
              <w:rPr>
                <w:rFonts w:ascii="Arial" w:eastAsia="Times New Roman" w:hAnsi="Arial" w:cs="Arial"/>
                <w:b/>
                <w:bCs/>
                <w:sz w:val="20"/>
                <w:szCs w:val="20"/>
                <w:lang w:val="en-GB" w:eastAsia="en-GB"/>
              </w:rPr>
              <w:t>,</w:t>
            </w:r>
            <w:r w:rsidR="005C57C0" w:rsidRPr="000D67C6">
              <w:rPr>
                <w:rFonts w:ascii="Arial" w:eastAsia="Times New Roman" w:hAnsi="Arial" w:cs="Arial"/>
                <w:b/>
                <w:bCs/>
                <w:sz w:val="20"/>
                <w:szCs w:val="20"/>
                <w:lang w:val="en-GB" w:eastAsia="en-GB"/>
              </w:rPr>
              <w:t>725</w:t>
            </w:r>
            <w:r w:rsidRPr="000D67C6">
              <w:rPr>
                <w:rFonts w:ascii="Arial" w:eastAsia="Times New Roman" w:hAnsi="Arial" w:cs="Arial"/>
                <w:b/>
                <w:bCs/>
                <w:sz w:val="20"/>
                <w:szCs w:val="20"/>
                <w:lang w:val="en-GB" w:eastAsia="en-GB"/>
              </w:rPr>
              <w:t>)</w:t>
            </w:r>
          </w:p>
        </w:tc>
        <w:tc>
          <w:tcPr>
            <w:tcW w:w="1050" w:type="dxa"/>
            <w:tcBorders>
              <w:right w:val="single" w:sz="4" w:space="0" w:color="auto"/>
            </w:tcBorders>
            <w:shd w:val="clear" w:color="auto" w:fill="auto"/>
            <w:vAlign w:val="center"/>
          </w:tcPr>
          <w:p w14:paraId="429AA4A6" w14:textId="77777777" w:rsidR="00EE302D" w:rsidRPr="000D67C6" w:rsidRDefault="00CC2355"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tcPr>
          <w:p w14:paraId="41AB4C45" w14:textId="77777777" w:rsidR="00EE302D" w:rsidRPr="000D67C6" w:rsidRDefault="00CC2355"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w:t>
            </w:r>
            <w:r w:rsidR="00B3733F" w:rsidRPr="000D67C6">
              <w:rPr>
                <w:rFonts w:ascii="Arial" w:eastAsia="Times New Roman" w:hAnsi="Arial" w:cs="Arial"/>
                <w:b/>
                <w:bCs/>
                <w:sz w:val="20"/>
                <w:szCs w:val="20"/>
                <w:lang w:val="en-GB" w:eastAsia="en-GB"/>
              </w:rPr>
              <w:t>605</w:t>
            </w:r>
            <w:r w:rsidRPr="000D67C6">
              <w:rPr>
                <w:rFonts w:ascii="Arial" w:eastAsia="Times New Roman" w:hAnsi="Arial" w:cs="Arial"/>
                <w:b/>
                <w:bCs/>
                <w:sz w:val="20"/>
                <w:szCs w:val="20"/>
                <w:lang w:val="en-GB" w:eastAsia="en-GB"/>
              </w:rPr>
              <w:t>)</w:t>
            </w:r>
          </w:p>
        </w:tc>
        <w:tc>
          <w:tcPr>
            <w:tcW w:w="1117" w:type="dxa"/>
            <w:tcBorders>
              <w:left w:val="single" w:sz="4" w:space="0" w:color="auto"/>
              <w:right w:val="single" w:sz="4" w:space="0" w:color="auto"/>
            </w:tcBorders>
            <w:shd w:val="clear" w:color="auto" w:fill="auto"/>
            <w:vAlign w:val="center"/>
          </w:tcPr>
          <w:p w14:paraId="6399D658" w14:textId="70F5E981" w:rsidR="00EE302D" w:rsidRPr="000D67C6" w:rsidRDefault="00645D28"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50</w:t>
            </w:r>
            <w:r w:rsidR="00511968">
              <w:rPr>
                <w:rFonts w:ascii="Arial" w:eastAsia="Times New Roman" w:hAnsi="Arial" w:cs="Arial"/>
                <w:b/>
                <w:bCs/>
                <w:sz w:val="20"/>
                <w:szCs w:val="20"/>
                <w:lang w:val="en-GB" w:eastAsia="en-GB"/>
              </w:rPr>
              <w:t>4</w:t>
            </w:r>
            <w:r w:rsidRPr="000D67C6">
              <w:rPr>
                <w:rFonts w:ascii="Arial" w:eastAsia="Times New Roman" w:hAnsi="Arial" w:cs="Arial"/>
                <w:b/>
                <w:bCs/>
                <w:sz w:val="20"/>
                <w:szCs w:val="20"/>
                <w:lang w:val="en-GB" w:eastAsia="en-GB"/>
              </w:rPr>
              <w:t>,</w:t>
            </w:r>
            <w:r w:rsidR="00511968">
              <w:rPr>
                <w:rFonts w:ascii="Arial" w:eastAsia="Times New Roman" w:hAnsi="Arial" w:cs="Arial"/>
                <w:b/>
                <w:bCs/>
                <w:sz w:val="20"/>
                <w:szCs w:val="20"/>
                <w:lang w:val="en-GB" w:eastAsia="en-GB"/>
              </w:rPr>
              <w:t>0</w:t>
            </w:r>
            <w:r w:rsidRPr="000D67C6">
              <w:rPr>
                <w:rFonts w:ascii="Arial" w:eastAsia="Times New Roman" w:hAnsi="Arial" w:cs="Arial"/>
                <w:b/>
                <w:bCs/>
                <w:sz w:val="20"/>
                <w:szCs w:val="20"/>
                <w:lang w:val="en-GB" w:eastAsia="en-GB"/>
              </w:rPr>
              <w:t>72</w:t>
            </w:r>
          </w:p>
        </w:tc>
        <w:tc>
          <w:tcPr>
            <w:tcW w:w="1106" w:type="dxa"/>
            <w:tcBorders>
              <w:left w:val="single" w:sz="4" w:space="0" w:color="auto"/>
            </w:tcBorders>
            <w:shd w:val="clear" w:color="auto" w:fill="auto"/>
            <w:vAlign w:val="center"/>
          </w:tcPr>
          <w:p w14:paraId="1FC0E1A9" w14:textId="350E5493" w:rsidR="00EE302D" w:rsidRPr="000D67C6" w:rsidRDefault="00945822" w:rsidP="002D39B0">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49</w:t>
            </w:r>
            <w:r w:rsidR="00244852">
              <w:rPr>
                <w:rFonts w:ascii="Arial" w:eastAsia="Times New Roman" w:hAnsi="Arial" w:cs="Arial"/>
                <w:b/>
                <w:bCs/>
                <w:sz w:val="20"/>
                <w:szCs w:val="20"/>
                <w:lang w:val="en-GB" w:eastAsia="en-GB"/>
              </w:rPr>
              <w:t>5</w:t>
            </w:r>
            <w:r w:rsidRPr="000D67C6">
              <w:rPr>
                <w:rFonts w:ascii="Arial" w:eastAsia="Times New Roman" w:hAnsi="Arial" w:cs="Arial"/>
                <w:b/>
                <w:bCs/>
                <w:sz w:val="20"/>
                <w:szCs w:val="20"/>
                <w:lang w:val="en-GB" w:eastAsia="en-GB"/>
              </w:rPr>
              <w:t>,</w:t>
            </w:r>
            <w:r w:rsidR="00244852">
              <w:rPr>
                <w:rFonts w:ascii="Arial" w:eastAsia="Times New Roman" w:hAnsi="Arial" w:cs="Arial"/>
                <w:b/>
                <w:bCs/>
                <w:sz w:val="20"/>
                <w:szCs w:val="20"/>
                <w:lang w:val="en-GB" w:eastAsia="en-GB"/>
              </w:rPr>
              <w:t>4</w:t>
            </w:r>
            <w:r w:rsidRPr="000D67C6">
              <w:rPr>
                <w:rFonts w:ascii="Arial" w:eastAsia="Times New Roman" w:hAnsi="Arial" w:cs="Arial"/>
                <w:b/>
                <w:bCs/>
                <w:sz w:val="20"/>
                <w:szCs w:val="20"/>
                <w:lang w:val="en-GB" w:eastAsia="en-GB"/>
              </w:rPr>
              <w:t>67</w:t>
            </w:r>
          </w:p>
        </w:tc>
      </w:tr>
      <w:tr w:rsidR="00645D28" w:rsidRPr="000D67C6" w14:paraId="013E5CC5" w14:textId="77777777" w:rsidTr="00371CDA">
        <w:trPr>
          <w:trHeight w:val="203"/>
        </w:trPr>
        <w:tc>
          <w:tcPr>
            <w:tcW w:w="3080" w:type="dxa"/>
            <w:tcBorders>
              <w:top w:val="single" w:sz="4" w:space="0" w:color="auto"/>
              <w:left w:val="nil"/>
              <w:bottom w:val="single" w:sz="4" w:space="0" w:color="auto"/>
              <w:right w:val="nil"/>
            </w:tcBorders>
            <w:shd w:val="clear" w:color="auto" w:fill="auto"/>
            <w:vAlign w:val="bottom"/>
          </w:tcPr>
          <w:p w14:paraId="530AF5AE" w14:textId="77777777" w:rsidR="00EE302D" w:rsidRPr="000D67C6" w:rsidRDefault="00EE302D" w:rsidP="00EE302D">
            <w:pPr>
              <w:jc w:val="right"/>
              <w:rPr>
                <w:rFonts w:ascii="Arial" w:eastAsia="Times New Roman" w:hAnsi="Arial" w:cs="Arial"/>
                <w:b/>
                <w:bCs/>
                <w:sz w:val="20"/>
                <w:szCs w:val="20"/>
                <w:lang w:val="en-GB" w:eastAsia="en-GB"/>
              </w:rPr>
            </w:pPr>
          </w:p>
        </w:tc>
        <w:tc>
          <w:tcPr>
            <w:tcW w:w="984" w:type="dxa"/>
            <w:tcBorders>
              <w:top w:val="single" w:sz="4" w:space="0" w:color="auto"/>
              <w:left w:val="nil"/>
              <w:bottom w:val="single" w:sz="4" w:space="0" w:color="auto"/>
              <w:right w:val="nil"/>
            </w:tcBorders>
            <w:shd w:val="clear" w:color="auto" w:fill="auto"/>
            <w:vAlign w:val="bottom"/>
          </w:tcPr>
          <w:p w14:paraId="667FF098" w14:textId="77777777" w:rsidR="00EE302D" w:rsidRPr="000D67C6" w:rsidRDefault="00EE302D" w:rsidP="00EE302D">
            <w:pPr>
              <w:rPr>
                <w:rFonts w:ascii="Arial" w:eastAsia="Times New Roman" w:hAnsi="Arial" w:cs="Arial"/>
                <w:sz w:val="20"/>
                <w:szCs w:val="20"/>
                <w:lang w:val="en-GB" w:eastAsia="en-GB"/>
              </w:rPr>
            </w:pPr>
          </w:p>
        </w:tc>
        <w:tc>
          <w:tcPr>
            <w:tcW w:w="1106" w:type="dxa"/>
            <w:tcBorders>
              <w:top w:val="single" w:sz="4" w:space="0" w:color="auto"/>
              <w:left w:val="nil"/>
              <w:bottom w:val="single" w:sz="4" w:space="0" w:color="auto"/>
              <w:right w:val="nil"/>
            </w:tcBorders>
            <w:shd w:val="clear" w:color="auto" w:fill="auto"/>
            <w:vAlign w:val="bottom"/>
          </w:tcPr>
          <w:p w14:paraId="553DF5FF" w14:textId="77777777" w:rsidR="00EE302D" w:rsidRPr="000D67C6" w:rsidRDefault="00EE302D" w:rsidP="00EE302D">
            <w:pPr>
              <w:jc w:val="right"/>
              <w:rPr>
                <w:rFonts w:ascii="Arial" w:eastAsia="Times New Roman" w:hAnsi="Arial" w:cs="Arial"/>
                <w:sz w:val="20"/>
                <w:szCs w:val="20"/>
                <w:lang w:val="en-GB" w:eastAsia="en-GB"/>
              </w:rPr>
            </w:pPr>
          </w:p>
        </w:tc>
        <w:tc>
          <w:tcPr>
            <w:tcW w:w="1050" w:type="dxa"/>
            <w:tcBorders>
              <w:top w:val="single" w:sz="4" w:space="0" w:color="auto"/>
              <w:left w:val="nil"/>
              <w:bottom w:val="single" w:sz="4" w:space="0" w:color="auto"/>
              <w:right w:val="nil"/>
            </w:tcBorders>
            <w:shd w:val="clear" w:color="auto" w:fill="auto"/>
            <w:vAlign w:val="bottom"/>
          </w:tcPr>
          <w:p w14:paraId="45131E5D" w14:textId="77777777" w:rsidR="00EE302D" w:rsidRPr="000D67C6" w:rsidRDefault="00EE302D" w:rsidP="00EE302D">
            <w:pPr>
              <w:jc w:val="right"/>
              <w:rPr>
                <w:rFonts w:ascii="Arial" w:eastAsia="Times New Roman" w:hAnsi="Arial" w:cs="Arial"/>
                <w:sz w:val="20"/>
                <w:szCs w:val="20"/>
                <w:lang w:val="en-GB" w:eastAsia="en-GB"/>
              </w:rPr>
            </w:pPr>
          </w:p>
        </w:tc>
        <w:tc>
          <w:tcPr>
            <w:tcW w:w="1106" w:type="dxa"/>
            <w:tcBorders>
              <w:top w:val="single" w:sz="4" w:space="0" w:color="auto"/>
              <w:left w:val="nil"/>
              <w:bottom w:val="single" w:sz="4" w:space="0" w:color="auto"/>
              <w:right w:val="nil"/>
            </w:tcBorders>
            <w:shd w:val="clear" w:color="auto" w:fill="auto"/>
            <w:vAlign w:val="bottom"/>
          </w:tcPr>
          <w:p w14:paraId="0980B0C0" w14:textId="77777777" w:rsidR="00EE302D" w:rsidRPr="000D67C6" w:rsidRDefault="00EE302D" w:rsidP="00EE302D">
            <w:pPr>
              <w:jc w:val="right"/>
              <w:rPr>
                <w:rFonts w:ascii="Arial" w:eastAsia="Times New Roman" w:hAnsi="Arial" w:cs="Arial"/>
                <w:sz w:val="20"/>
                <w:szCs w:val="20"/>
                <w:lang w:val="en-GB" w:eastAsia="en-GB"/>
              </w:rPr>
            </w:pPr>
          </w:p>
        </w:tc>
        <w:tc>
          <w:tcPr>
            <w:tcW w:w="1117" w:type="dxa"/>
            <w:tcBorders>
              <w:top w:val="single" w:sz="4" w:space="0" w:color="auto"/>
              <w:left w:val="nil"/>
              <w:bottom w:val="single" w:sz="4" w:space="0" w:color="auto"/>
              <w:right w:val="nil"/>
            </w:tcBorders>
            <w:shd w:val="clear" w:color="auto" w:fill="auto"/>
            <w:vAlign w:val="bottom"/>
          </w:tcPr>
          <w:p w14:paraId="29097CDC" w14:textId="77777777" w:rsidR="00EE302D" w:rsidRPr="000D67C6" w:rsidRDefault="00EE302D" w:rsidP="00EE302D">
            <w:pPr>
              <w:jc w:val="right"/>
              <w:rPr>
                <w:rFonts w:ascii="Arial" w:eastAsia="Times New Roman" w:hAnsi="Arial" w:cs="Arial"/>
                <w:sz w:val="20"/>
                <w:szCs w:val="20"/>
                <w:lang w:val="en-GB" w:eastAsia="en-GB"/>
              </w:rPr>
            </w:pPr>
          </w:p>
        </w:tc>
        <w:tc>
          <w:tcPr>
            <w:tcW w:w="1106" w:type="dxa"/>
            <w:tcBorders>
              <w:top w:val="single" w:sz="4" w:space="0" w:color="auto"/>
              <w:left w:val="nil"/>
              <w:bottom w:val="single" w:sz="4" w:space="0" w:color="auto"/>
              <w:right w:val="nil"/>
            </w:tcBorders>
            <w:shd w:val="clear" w:color="auto" w:fill="auto"/>
            <w:vAlign w:val="bottom"/>
          </w:tcPr>
          <w:p w14:paraId="6C07C5DB" w14:textId="77777777" w:rsidR="00EE302D" w:rsidRPr="000D67C6" w:rsidRDefault="00EE302D" w:rsidP="00EE302D">
            <w:pPr>
              <w:jc w:val="right"/>
              <w:rPr>
                <w:rFonts w:ascii="Arial" w:eastAsia="Times New Roman" w:hAnsi="Arial" w:cs="Arial"/>
                <w:sz w:val="20"/>
                <w:szCs w:val="20"/>
                <w:lang w:val="en-GB" w:eastAsia="en-GB"/>
              </w:rPr>
            </w:pPr>
          </w:p>
        </w:tc>
      </w:tr>
      <w:tr w:rsidR="00645D28" w:rsidRPr="000D67C6" w14:paraId="3F8C42FE" w14:textId="77777777" w:rsidTr="00340C0D">
        <w:trPr>
          <w:trHeight w:val="864"/>
        </w:trPr>
        <w:tc>
          <w:tcPr>
            <w:tcW w:w="3080" w:type="dxa"/>
            <w:tcBorders>
              <w:top w:val="single" w:sz="4" w:space="0" w:color="auto"/>
              <w:bottom w:val="single" w:sz="4" w:space="0" w:color="auto"/>
              <w:right w:val="single" w:sz="4" w:space="0" w:color="auto"/>
            </w:tcBorders>
            <w:shd w:val="clear" w:color="auto" w:fill="auto"/>
            <w:vAlign w:val="bottom"/>
            <w:hideMark/>
          </w:tcPr>
          <w:p w14:paraId="5079AEEF" w14:textId="77777777" w:rsidR="00EE302D" w:rsidRPr="000D67C6" w:rsidRDefault="00EE302D" w:rsidP="00EE302D">
            <w:pPr>
              <w:spacing w:after="240"/>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Movement in Reserves Statement 201</w:t>
            </w:r>
            <w:r w:rsidR="00C002D2" w:rsidRPr="000D67C6">
              <w:rPr>
                <w:rFonts w:ascii="Arial" w:eastAsia="Times New Roman" w:hAnsi="Arial" w:cs="Arial"/>
                <w:b/>
                <w:bCs/>
                <w:sz w:val="20"/>
                <w:szCs w:val="20"/>
                <w:lang w:val="en-GB" w:eastAsia="en-GB"/>
              </w:rPr>
              <w:t>7</w:t>
            </w:r>
            <w:r w:rsidRPr="000D67C6">
              <w:rPr>
                <w:rFonts w:ascii="Arial" w:eastAsia="Times New Roman" w:hAnsi="Arial" w:cs="Arial"/>
                <w:b/>
                <w:bCs/>
                <w:sz w:val="20"/>
                <w:szCs w:val="20"/>
                <w:lang w:val="en-GB" w:eastAsia="en-GB"/>
              </w:rPr>
              <w:t>/1</w:t>
            </w:r>
            <w:r w:rsidR="00C002D2" w:rsidRPr="000D67C6">
              <w:rPr>
                <w:rFonts w:ascii="Arial" w:eastAsia="Times New Roman" w:hAnsi="Arial" w:cs="Arial"/>
                <w:b/>
                <w:bCs/>
                <w:sz w:val="20"/>
                <w:szCs w:val="20"/>
                <w:lang w:val="en-GB" w:eastAsia="en-GB"/>
              </w:rPr>
              <w:t>8</w:t>
            </w:r>
          </w:p>
        </w:tc>
        <w:tc>
          <w:tcPr>
            <w:tcW w:w="984" w:type="dxa"/>
            <w:tcBorders>
              <w:top w:val="single" w:sz="4" w:space="0" w:color="auto"/>
              <w:left w:val="single" w:sz="4" w:space="0" w:color="auto"/>
              <w:bottom w:val="single" w:sz="4" w:space="0" w:color="auto"/>
            </w:tcBorders>
            <w:shd w:val="clear" w:color="auto" w:fill="auto"/>
            <w:vAlign w:val="bottom"/>
            <w:hideMark/>
          </w:tcPr>
          <w:p w14:paraId="6738D799"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General Fund Balance</w:t>
            </w:r>
          </w:p>
        </w:tc>
        <w:tc>
          <w:tcPr>
            <w:tcW w:w="1106" w:type="dxa"/>
            <w:tcBorders>
              <w:top w:val="single" w:sz="4" w:space="0" w:color="auto"/>
              <w:bottom w:val="single" w:sz="4" w:space="0" w:color="auto"/>
            </w:tcBorders>
            <w:shd w:val="clear" w:color="auto" w:fill="auto"/>
            <w:vAlign w:val="bottom"/>
            <w:hideMark/>
          </w:tcPr>
          <w:p w14:paraId="0AB3E68C"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General Fund Reserves</w:t>
            </w:r>
          </w:p>
        </w:tc>
        <w:tc>
          <w:tcPr>
            <w:tcW w:w="1050" w:type="dxa"/>
            <w:tcBorders>
              <w:top w:val="single" w:sz="4" w:space="0" w:color="auto"/>
              <w:bottom w:val="single" w:sz="4" w:space="0" w:color="auto"/>
              <w:right w:val="single" w:sz="4" w:space="0" w:color="auto"/>
            </w:tcBorders>
            <w:shd w:val="clear" w:color="auto" w:fill="auto"/>
            <w:vAlign w:val="bottom"/>
            <w:hideMark/>
          </w:tcPr>
          <w:p w14:paraId="32A033CB"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Capital Receipts Reserve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FCFA8"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Usable Reserves</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E42DC"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Unusable Reserves</w:t>
            </w:r>
          </w:p>
        </w:tc>
        <w:tc>
          <w:tcPr>
            <w:tcW w:w="1106" w:type="dxa"/>
            <w:tcBorders>
              <w:top w:val="single" w:sz="4" w:space="0" w:color="auto"/>
              <w:left w:val="single" w:sz="4" w:space="0" w:color="auto"/>
              <w:bottom w:val="single" w:sz="4" w:space="0" w:color="auto"/>
            </w:tcBorders>
            <w:shd w:val="clear" w:color="auto" w:fill="auto"/>
            <w:vAlign w:val="bottom"/>
            <w:hideMark/>
          </w:tcPr>
          <w:p w14:paraId="4D57E22A" w14:textId="77777777" w:rsidR="00EE302D" w:rsidRPr="000D67C6" w:rsidRDefault="00EE302D" w:rsidP="00EE302D">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Fire Authority Reserves</w:t>
            </w:r>
          </w:p>
        </w:tc>
      </w:tr>
      <w:tr w:rsidR="00645D28" w:rsidRPr="000D67C6" w14:paraId="1D861F53" w14:textId="77777777" w:rsidTr="00C002D2">
        <w:trPr>
          <w:trHeight w:val="288"/>
        </w:trPr>
        <w:tc>
          <w:tcPr>
            <w:tcW w:w="3080" w:type="dxa"/>
            <w:tcBorders>
              <w:right w:val="single" w:sz="4" w:space="0" w:color="auto"/>
            </w:tcBorders>
            <w:shd w:val="clear" w:color="auto" w:fill="auto"/>
            <w:vAlign w:val="center"/>
            <w:hideMark/>
          </w:tcPr>
          <w:p w14:paraId="02F2ED08"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Bal</w:t>
            </w:r>
            <w:r w:rsidR="00DC4A28" w:rsidRPr="000D67C6">
              <w:rPr>
                <w:rFonts w:ascii="Arial" w:eastAsia="Times New Roman" w:hAnsi="Arial" w:cs="Arial"/>
                <w:b/>
                <w:bCs/>
                <w:sz w:val="20"/>
                <w:szCs w:val="20"/>
                <w:lang w:val="en-GB" w:eastAsia="en-GB"/>
              </w:rPr>
              <w:t>ance</w:t>
            </w:r>
            <w:r w:rsidRPr="000D67C6">
              <w:rPr>
                <w:rFonts w:ascii="Arial" w:eastAsia="Times New Roman" w:hAnsi="Arial" w:cs="Arial"/>
                <w:b/>
                <w:bCs/>
                <w:sz w:val="20"/>
                <w:szCs w:val="20"/>
                <w:lang w:val="en-GB" w:eastAsia="en-GB"/>
              </w:rPr>
              <w:t xml:space="preserve"> 31 March 2017</w:t>
            </w:r>
          </w:p>
        </w:tc>
        <w:tc>
          <w:tcPr>
            <w:tcW w:w="984" w:type="dxa"/>
            <w:tcBorders>
              <w:left w:val="single" w:sz="4" w:space="0" w:color="auto"/>
            </w:tcBorders>
            <w:shd w:val="clear" w:color="auto" w:fill="auto"/>
            <w:vAlign w:val="center"/>
            <w:hideMark/>
          </w:tcPr>
          <w:p w14:paraId="3C7C0ED1"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 xml:space="preserve">(361) </w:t>
            </w:r>
          </w:p>
        </w:tc>
        <w:tc>
          <w:tcPr>
            <w:tcW w:w="1106" w:type="dxa"/>
            <w:shd w:val="clear" w:color="auto" w:fill="auto"/>
            <w:vAlign w:val="center"/>
            <w:hideMark/>
          </w:tcPr>
          <w:p w14:paraId="7E5149A2"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(8,634)</w:t>
            </w:r>
          </w:p>
        </w:tc>
        <w:tc>
          <w:tcPr>
            <w:tcW w:w="1050" w:type="dxa"/>
            <w:tcBorders>
              <w:right w:val="single" w:sz="4" w:space="0" w:color="auto"/>
            </w:tcBorders>
            <w:shd w:val="clear" w:color="auto" w:fill="auto"/>
            <w:vAlign w:val="center"/>
            <w:hideMark/>
          </w:tcPr>
          <w:p w14:paraId="0F82B74D"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 xml:space="preserve">0 </w:t>
            </w:r>
          </w:p>
        </w:tc>
        <w:tc>
          <w:tcPr>
            <w:tcW w:w="1106" w:type="dxa"/>
            <w:tcBorders>
              <w:left w:val="single" w:sz="4" w:space="0" w:color="auto"/>
              <w:right w:val="single" w:sz="4" w:space="0" w:color="auto"/>
            </w:tcBorders>
            <w:shd w:val="clear" w:color="auto" w:fill="auto"/>
            <w:vAlign w:val="center"/>
            <w:hideMark/>
          </w:tcPr>
          <w:p w14:paraId="24BECABC"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(8,995)</w:t>
            </w:r>
          </w:p>
        </w:tc>
        <w:tc>
          <w:tcPr>
            <w:tcW w:w="1117" w:type="dxa"/>
            <w:tcBorders>
              <w:left w:val="single" w:sz="4" w:space="0" w:color="auto"/>
              <w:right w:val="single" w:sz="4" w:space="0" w:color="auto"/>
            </w:tcBorders>
            <w:shd w:val="clear" w:color="auto" w:fill="auto"/>
            <w:vAlign w:val="center"/>
            <w:hideMark/>
          </w:tcPr>
          <w:p w14:paraId="467445E5"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 xml:space="preserve">439,408 </w:t>
            </w:r>
          </w:p>
        </w:tc>
        <w:tc>
          <w:tcPr>
            <w:tcW w:w="1106" w:type="dxa"/>
            <w:tcBorders>
              <w:left w:val="single" w:sz="4" w:space="0" w:color="auto"/>
            </w:tcBorders>
            <w:shd w:val="clear" w:color="auto" w:fill="auto"/>
            <w:vAlign w:val="center"/>
            <w:hideMark/>
          </w:tcPr>
          <w:p w14:paraId="75AA337C"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 xml:space="preserve">430,413 </w:t>
            </w:r>
          </w:p>
        </w:tc>
      </w:tr>
      <w:tr w:rsidR="00645D28" w:rsidRPr="000D67C6" w14:paraId="20595663" w14:textId="77777777" w:rsidTr="002D39B0">
        <w:trPr>
          <w:trHeight w:val="486"/>
        </w:trPr>
        <w:tc>
          <w:tcPr>
            <w:tcW w:w="3080" w:type="dxa"/>
            <w:tcBorders>
              <w:right w:val="single" w:sz="4" w:space="0" w:color="auto"/>
            </w:tcBorders>
            <w:shd w:val="clear" w:color="auto" w:fill="auto"/>
            <w:vAlign w:val="center"/>
            <w:hideMark/>
          </w:tcPr>
          <w:p w14:paraId="3D6C6F9F"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Movements:</w:t>
            </w:r>
          </w:p>
        </w:tc>
        <w:tc>
          <w:tcPr>
            <w:tcW w:w="984" w:type="dxa"/>
            <w:tcBorders>
              <w:left w:val="single" w:sz="4" w:space="0" w:color="auto"/>
            </w:tcBorders>
            <w:shd w:val="clear" w:color="auto" w:fill="auto"/>
            <w:vAlign w:val="center"/>
            <w:hideMark/>
          </w:tcPr>
          <w:p w14:paraId="0402F0A5" w14:textId="77777777" w:rsidR="00C002D2" w:rsidRPr="000D67C6" w:rsidRDefault="00C002D2" w:rsidP="00C002D2">
            <w:pPr>
              <w:jc w:val="right"/>
              <w:rPr>
                <w:rFonts w:ascii="Arial" w:eastAsia="Times New Roman" w:hAnsi="Arial" w:cs="Arial"/>
                <w:sz w:val="20"/>
                <w:szCs w:val="20"/>
                <w:lang w:val="en-GB" w:eastAsia="en-GB"/>
              </w:rPr>
            </w:pPr>
          </w:p>
        </w:tc>
        <w:tc>
          <w:tcPr>
            <w:tcW w:w="1106" w:type="dxa"/>
            <w:shd w:val="clear" w:color="auto" w:fill="auto"/>
            <w:vAlign w:val="center"/>
            <w:hideMark/>
          </w:tcPr>
          <w:p w14:paraId="7FD6A129" w14:textId="77777777" w:rsidR="00C002D2" w:rsidRPr="000D67C6" w:rsidRDefault="00C002D2" w:rsidP="00C002D2">
            <w:pPr>
              <w:jc w:val="right"/>
              <w:rPr>
                <w:rFonts w:ascii="Arial" w:eastAsia="Times New Roman" w:hAnsi="Arial" w:cs="Arial"/>
                <w:sz w:val="20"/>
                <w:szCs w:val="20"/>
                <w:lang w:val="en-GB" w:eastAsia="en-GB"/>
              </w:rPr>
            </w:pPr>
          </w:p>
        </w:tc>
        <w:tc>
          <w:tcPr>
            <w:tcW w:w="1050" w:type="dxa"/>
            <w:tcBorders>
              <w:right w:val="single" w:sz="4" w:space="0" w:color="auto"/>
            </w:tcBorders>
            <w:shd w:val="clear" w:color="auto" w:fill="auto"/>
            <w:vAlign w:val="center"/>
            <w:hideMark/>
          </w:tcPr>
          <w:p w14:paraId="67F19D13" w14:textId="77777777" w:rsidR="00C002D2" w:rsidRPr="000D67C6" w:rsidRDefault="00C002D2" w:rsidP="00C002D2">
            <w:pPr>
              <w:jc w:val="right"/>
              <w:rPr>
                <w:rFonts w:ascii="Arial" w:eastAsia="Times New Roman" w:hAnsi="Arial" w:cs="Arial"/>
                <w:sz w:val="20"/>
                <w:szCs w:val="20"/>
                <w:lang w:val="en-GB" w:eastAsia="en-GB"/>
              </w:rPr>
            </w:pPr>
          </w:p>
        </w:tc>
        <w:tc>
          <w:tcPr>
            <w:tcW w:w="1106" w:type="dxa"/>
            <w:tcBorders>
              <w:left w:val="single" w:sz="4" w:space="0" w:color="auto"/>
              <w:right w:val="single" w:sz="4" w:space="0" w:color="auto"/>
            </w:tcBorders>
            <w:shd w:val="clear" w:color="auto" w:fill="auto"/>
            <w:vAlign w:val="center"/>
            <w:hideMark/>
          </w:tcPr>
          <w:p w14:paraId="3B23D36B" w14:textId="77777777" w:rsidR="00C002D2" w:rsidRPr="000D67C6" w:rsidRDefault="00C002D2" w:rsidP="00C002D2">
            <w:pPr>
              <w:jc w:val="right"/>
              <w:rPr>
                <w:rFonts w:ascii="Arial" w:eastAsia="Times New Roman" w:hAnsi="Arial" w:cs="Arial"/>
                <w:sz w:val="20"/>
                <w:szCs w:val="20"/>
                <w:lang w:val="en-GB" w:eastAsia="en-GB"/>
              </w:rPr>
            </w:pPr>
          </w:p>
        </w:tc>
        <w:tc>
          <w:tcPr>
            <w:tcW w:w="1117" w:type="dxa"/>
            <w:tcBorders>
              <w:left w:val="single" w:sz="4" w:space="0" w:color="auto"/>
              <w:right w:val="single" w:sz="4" w:space="0" w:color="auto"/>
            </w:tcBorders>
            <w:shd w:val="clear" w:color="auto" w:fill="auto"/>
            <w:vAlign w:val="center"/>
            <w:hideMark/>
          </w:tcPr>
          <w:p w14:paraId="687290D3" w14:textId="77777777" w:rsidR="00C002D2" w:rsidRPr="000D67C6" w:rsidRDefault="00C002D2" w:rsidP="00C002D2">
            <w:pPr>
              <w:jc w:val="right"/>
              <w:rPr>
                <w:rFonts w:ascii="Arial" w:eastAsia="Times New Roman" w:hAnsi="Arial" w:cs="Arial"/>
                <w:sz w:val="20"/>
                <w:szCs w:val="20"/>
                <w:lang w:val="en-GB" w:eastAsia="en-GB"/>
              </w:rPr>
            </w:pPr>
          </w:p>
        </w:tc>
        <w:tc>
          <w:tcPr>
            <w:tcW w:w="1106" w:type="dxa"/>
            <w:tcBorders>
              <w:left w:val="single" w:sz="4" w:space="0" w:color="auto"/>
            </w:tcBorders>
            <w:shd w:val="clear" w:color="auto" w:fill="auto"/>
            <w:vAlign w:val="center"/>
            <w:hideMark/>
          </w:tcPr>
          <w:p w14:paraId="0E2AF082" w14:textId="77777777" w:rsidR="00C002D2" w:rsidRPr="000D67C6" w:rsidRDefault="00C002D2" w:rsidP="00C002D2">
            <w:pPr>
              <w:jc w:val="right"/>
              <w:rPr>
                <w:rFonts w:ascii="Arial" w:eastAsia="Times New Roman" w:hAnsi="Arial" w:cs="Arial"/>
                <w:sz w:val="20"/>
                <w:szCs w:val="20"/>
                <w:lang w:val="en-GB" w:eastAsia="en-GB"/>
              </w:rPr>
            </w:pPr>
          </w:p>
        </w:tc>
      </w:tr>
      <w:tr w:rsidR="00645D28" w:rsidRPr="000D67C6" w14:paraId="56739011" w14:textId="77777777" w:rsidTr="002D39B0">
        <w:trPr>
          <w:trHeight w:val="486"/>
        </w:trPr>
        <w:tc>
          <w:tcPr>
            <w:tcW w:w="3080" w:type="dxa"/>
            <w:tcBorders>
              <w:right w:val="single" w:sz="4" w:space="0" w:color="auto"/>
            </w:tcBorders>
            <w:shd w:val="clear" w:color="auto" w:fill="auto"/>
            <w:vAlign w:val="center"/>
            <w:hideMark/>
          </w:tcPr>
          <w:p w14:paraId="1E53DF6C"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(Surplus) / Deficit on provision of services</w:t>
            </w:r>
          </w:p>
        </w:tc>
        <w:tc>
          <w:tcPr>
            <w:tcW w:w="984" w:type="dxa"/>
            <w:tcBorders>
              <w:left w:val="single" w:sz="4" w:space="0" w:color="auto"/>
            </w:tcBorders>
            <w:shd w:val="clear" w:color="auto" w:fill="auto"/>
            <w:vAlign w:val="center"/>
            <w:hideMark/>
          </w:tcPr>
          <w:p w14:paraId="12AEE257"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11,313</w:t>
            </w:r>
          </w:p>
        </w:tc>
        <w:tc>
          <w:tcPr>
            <w:tcW w:w="1106" w:type="dxa"/>
            <w:shd w:val="clear" w:color="auto" w:fill="auto"/>
            <w:vAlign w:val="center"/>
            <w:hideMark/>
          </w:tcPr>
          <w:p w14:paraId="5A2DEE9B"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hideMark/>
          </w:tcPr>
          <w:p w14:paraId="2F27A9B2"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1FA5CF08"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11,313</w:t>
            </w:r>
          </w:p>
        </w:tc>
        <w:tc>
          <w:tcPr>
            <w:tcW w:w="1117" w:type="dxa"/>
            <w:tcBorders>
              <w:left w:val="single" w:sz="4" w:space="0" w:color="auto"/>
              <w:right w:val="single" w:sz="4" w:space="0" w:color="auto"/>
            </w:tcBorders>
            <w:shd w:val="clear" w:color="auto" w:fill="auto"/>
            <w:vAlign w:val="center"/>
            <w:hideMark/>
          </w:tcPr>
          <w:p w14:paraId="370436AE"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tcBorders>
            <w:shd w:val="clear" w:color="auto" w:fill="auto"/>
            <w:vAlign w:val="center"/>
            <w:hideMark/>
          </w:tcPr>
          <w:p w14:paraId="37B283B5"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sz w:val="20"/>
                <w:szCs w:val="20"/>
                <w:lang w:val="en-GB" w:eastAsia="en-GB"/>
              </w:rPr>
              <w:t>11,313</w:t>
            </w:r>
          </w:p>
        </w:tc>
      </w:tr>
      <w:tr w:rsidR="00645D28" w:rsidRPr="000D67C6" w14:paraId="5106AB6F" w14:textId="77777777" w:rsidTr="002D39B0">
        <w:trPr>
          <w:trHeight w:val="486"/>
        </w:trPr>
        <w:tc>
          <w:tcPr>
            <w:tcW w:w="3080" w:type="dxa"/>
            <w:tcBorders>
              <w:right w:val="single" w:sz="4" w:space="0" w:color="auto"/>
            </w:tcBorders>
            <w:shd w:val="clear" w:color="auto" w:fill="auto"/>
            <w:vAlign w:val="center"/>
            <w:hideMark/>
          </w:tcPr>
          <w:p w14:paraId="2A6AC9CC"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Other CIES</w:t>
            </w:r>
          </w:p>
        </w:tc>
        <w:tc>
          <w:tcPr>
            <w:tcW w:w="984" w:type="dxa"/>
            <w:tcBorders>
              <w:left w:val="single" w:sz="4" w:space="0" w:color="auto"/>
            </w:tcBorders>
            <w:shd w:val="clear" w:color="auto" w:fill="auto"/>
            <w:vAlign w:val="center"/>
            <w:hideMark/>
          </w:tcPr>
          <w:p w14:paraId="5DCC66FB"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shd w:val="clear" w:color="auto" w:fill="auto"/>
            <w:vAlign w:val="center"/>
            <w:hideMark/>
          </w:tcPr>
          <w:p w14:paraId="05979D2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hideMark/>
          </w:tcPr>
          <w:p w14:paraId="24749F36"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290C9D61"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17" w:type="dxa"/>
            <w:tcBorders>
              <w:left w:val="single" w:sz="4" w:space="0" w:color="auto"/>
              <w:right w:val="single" w:sz="4" w:space="0" w:color="auto"/>
            </w:tcBorders>
            <w:shd w:val="clear" w:color="auto" w:fill="auto"/>
            <w:vAlign w:val="center"/>
            <w:hideMark/>
          </w:tcPr>
          <w:p w14:paraId="63FE6602"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18,555</w:t>
            </w:r>
          </w:p>
        </w:tc>
        <w:tc>
          <w:tcPr>
            <w:tcW w:w="1106" w:type="dxa"/>
            <w:tcBorders>
              <w:left w:val="single" w:sz="4" w:space="0" w:color="auto"/>
            </w:tcBorders>
            <w:shd w:val="clear" w:color="auto" w:fill="auto"/>
            <w:vAlign w:val="center"/>
            <w:hideMark/>
          </w:tcPr>
          <w:p w14:paraId="319C376A"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18,555</w:t>
            </w:r>
          </w:p>
        </w:tc>
      </w:tr>
      <w:tr w:rsidR="00645D28" w:rsidRPr="000D67C6" w14:paraId="77D648E8" w14:textId="77777777" w:rsidTr="002D39B0">
        <w:trPr>
          <w:trHeight w:val="486"/>
        </w:trPr>
        <w:tc>
          <w:tcPr>
            <w:tcW w:w="3080" w:type="dxa"/>
            <w:tcBorders>
              <w:right w:val="single" w:sz="4" w:space="0" w:color="auto"/>
            </w:tcBorders>
            <w:shd w:val="clear" w:color="auto" w:fill="auto"/>
            <w:vAlign w:val="center"/>
            <w:hideMark/>
          </w:tcPr>
          <w:p w14:paraId="07EB9792"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Total CIES</w:t>
            </w:r>
          </w:p>
        </w:tc>
        <w:tc>
          <w:tcPr>
            <w:tcW w:w="984" w:type="dxa"/>
            <w:tcBorders>
              <w:left w:val="single" w:sz="4" w:space="0" w:color="auto"/>
            </w:tcBorders>
            <w:shd w:val="clear" w:color="auto" w:fill="auto"/>
            <w:vAlign w:val="center"/>
            <w:hideMark/>
          </w:tcPr>
          <w:p w14:paraId="74227222"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11,313</w:t>
            </w:r>
          </w:p>
        </w:tc>
        <w:tc>
          <w:tcPr>
            <w:tcW w:w="1106" w:type="dxa"/>
            <w:shd w:val="clear" w:color="auto" w:fill="auto"/>
            <w:vAlign w:val="center"/>
            <w:hideMark/>
          </w:tcPr>
          <w:p w14:paraId="68818819"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0</w:t>
            </w:r>
          </w:p>
        </w:tc>
        <w:tc>
          <w:tcPr>
            <w:tcW w:w="1050" w:type="dxa"/>
            <w:tcBorders>
              <w:right w:val="single" w:sz="4" w:space="0" w:color="auto"/>
            </w:tcBorders>
            <w:shd w:val="clear" w:color="auto" w:fill="auto"/>
            <w:vAlign w:val="center"/>
            <w:hideMark/>
          </w:tcPr>
          <w:p w14:paraId="4C4F09C3"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0F366026"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11,313</w:t>
            </w:r>
          </w:p>
        </w:tc>
        <w:tc>
          <w:tcPr>
            <w:tcW w:w="1117" w:type="dxa"/>
            <w:tcBorders>
              <w:left w:val="single" w:sz="4" w:space="0" w:color="auto"/>
              <w:right w:val="single" w:sz="4" w:space="0" w:color="auto"/>
            </w:tcBorders>
            <w:shd w:val="clear" w:color="auto" w:fill="auto"/>
            <w:vAlign w:val="center"/>
            <w:hideMark/>
          </w:tcPr>
          <w:p w14:paraId="34135145"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18,555</w:t>
            </w:r>
          </w:p>
        </w:tc>
        <w:tc>
          <w:tcPr>
            <w:tcW w:w="1106" w:type="dxa"/>
            <w:tcBorders>
              <w:left w:val="single" w:sz="4" w:space="0" w:color="auto"/>
            </w:tcBorders>
            <w:shd w:val="clear" w:color="auto" w:fill="auto"/>
            <w:vAlign w:val="center"/>
            <w:hideMark/>
          </w:tcPr>
          <w:p w14:paraId="64219822"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29,868</w:t>
            </w:r>
          </w:p>
        </w:tc>
      </w:tr>
      <w:tr w:rsidR="00645D28" w:rsidRPr="000D67C6" w14:paraId="668BF154" w14:textId="77777777" w:rsidTr="002D39B0">
        <w:trPr>
          <w:trHeight w:val="486"/>
        </w:trPr>
        <w:tc>
          <w:tcPr>
            <w:tcW w:w="3080" w:type="dxa"/>
            <w:tcBorders>
              <w:right w:val="single" w:sz="4" w:space="0" w:color="auto"/>
            </w:tcBorders>
            <w:shd w:val="clear" w:color="auto" w:fill="auto"/>
            <w:vAlign w:val="center"/>
            <w:hideMark/>
          </w:tcPr>
          <w:p w14:paraId="72B7F672"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Adjustments accounting &amp; funding (Note 8)</w:t>
            </w:r>
          </w:p>
        </w:tc>
        <w:tc>
          <w:tcPr>
            <w:tcW w:w="984" w:type="dxa"/>
            <w:tcBorders>
              <w:left w:val="single" w:sz="4" w:space="0" w:color="auto"/>
            </w:tcBorders>
            <w:shd w:val="clear" w:color="auto" w:fill="auto"/>
            <w:vAlign w:val="center"/>
            <w:hideMark/>
          </w:tcPr>
          <w:p w14:paraId="16767185"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(10,353)</w:t>
            </w:r>
          </w:p>
        </w:tc>
        <w:tc>
          <w:tcPr>
            <w:tcW w:w="1106" w:type="dxa"/>
            <w:shd w:val="clear" w:color="auto" w:fill="auto"/>
            <w:vAlign w:val="center"/>
            <w:hideMark/>
          </w:tcPr>
          <w:p w14:paraId="58EDC9C4"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050" w:type="dxa"/>
            <w:tcBorders>
              <w:right w:val="single" w:sz="4" w:space="0" w:color="auto"/>
            </w:tcBorders>
            <w:shd w:val="clear" w:color="auto" w:fill="auto"/>
            <w:vAlign w:val="center"/>
            <w:hideMark/>
          </w:tcPr>
          <w:p w14:paraId="356244DD"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15F891E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(10,353)</w:t>
            </w:r>
          </w:p>
        </w:tc>
        <w:tc>
          <w:tcPr>
            <w:tcW w:w="1117" w:type="dxa"/>
            <w:tcBorders>
              <w:left w:val="single" w:sz="4" w:space="0" w:color="auto"/>
              <w:right w:val="single" w:sz="4" w:space="0" w:color="auto"/>
            </w:tcBorders>
            <w:shd w:val="clear" w:color="auto" w:fill="auto"/>
            <w:vAlign w:val="center"/>
            <w:hideMark/>
          </w:tcPr>
          <w:p w14:paraId="7C02068F"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10,353</w:t>
            </w:r>
          </w:p>
        </w:tc>
        <w:tc>
          <w:tcPr>
            <w:tcW w:w="1106" w:type="dxa"/>
            <w:tcBorders>
              <w:left w:val="single" w:sz="4" w:space="0" w:color="auto"/>
            </w:tcBorders>
            <w:shd w:val="clear" w:color="auto" w:fill="auto"/>
            <w:vAlign w:val="center"/>
            <w:hideMark/>
          </w:tcPr>
          <w:p w14:paraId="74C28C44"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r>
      <w:tr w:rsidR="00645D28" w:rsidRPr="000D67C6" w14:paraId="5F76638B" w14:textId="77777777" w:rsidTr="002D39B0">
        <w:trPr>
          <w:trHeight w:val="486"/>
        </w:trPr>
        <w:tc>
          <w:tcPr>
            <w:tcW w:w="3080" w:type="dxa"/>
            <w:tcBorders>
              <w:right w:val="single" w:sz="4" w:space="0" w:color="auto"/>
            </w:tcBorders>
            <w:shd w:val="clear" w:color="auto" w:fill="auto"/>
            <w:vAlign w:val="center"/>
            <w:hideMark/>
          </w:tcPr>
          <w:p w14:paraId="21B6219F"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Net (Increase) / Decrease before transfer</w:t>
            </w:r>
          </w:p>
        </w:tc>
        <w:tc>
          <w:tcPr>
            <w:tcW w:w="984" w:type="dxa"/>
            <w:tcBorders>
              <w:left w:val="single" w:sz="4" w:space="0" w:color="auto"/>
            </w:tcBorders>
            <w:shd w:val="clear" w:color="auto" w:fill="auto"/>
            <w:vAlign w:val="center"/>
            <w:hideMark/>
          </w:tcPr>
          <w:p w14:paraId="63349F23"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960</w:t>
            </w:r>
          </w:p>
        </w:tc>
        <w:tc>
          <w:tcPr>
            <w:tcW w:w="1106" w:type="dxa"/>
            <w:shd w:val="clear" w:color="auto" w:fill="auto"/>
            <w:vAlign w:val="center"/>
            <w:hideMark/>
          </w:tcPr>
          <w:p w14:paraId="74C9DB67"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050" w:type="dxa"/>
            <w:tcBorders>
              <w:right w:val="single" w:sz="4" w:space="0" w:color="auto"/>
            </w:tcBorders>
            <w:shd w:val="clear" w:color="auto" w:fill="auto"/>
            <w:vAlign w:val="center"/>
            <w:hideMark/>
          </w:tcPr>
          <w:p w14:paraId="7EF2E883"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47CEF196"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960</w:t>
            </w:r>
          </w:p>
        </w:tc>
        <w:tc>
          <w:tcPr>
            <w:tcW w:w="1117" w:type="dxa"/>
            <w:tcBorders>
              <w:left w:val="single" w:sz="4" w:space="0" w:color="auto"/>
              <w:right w:val="single" w:sz="4" w:space="0" w:color="auto"/>
            </w:tcBorders>
            <w:shd w:val="clear" w:color="auto" w:fill="auto"/>
            <w:vAlign w:val="center"/>
            <w:hideMark/>
          </w:tcPr>
          <w:p w14:paraId="6916D50A"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28,908</w:t>
            </w:r>
          </w:p>
        </w:tc>
        <w:tc>
          <w:tcPr>
            <w:tcW w:w="1106" w:type="dxa"/>
            <w:tcBorders>
              <w:left w:val="single" w:sz="4" w:space="0" w:color="auto"/>
            </w:tcBorders>
            <w:shd w:val="clear" w:color="auto" w:fill="auto"/>
            <w:vAlign w:val="center"/>
            <w:hideMark/>
          </w:tcPr>
          <w:p w14:paraId="2BF7E0C3"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29,868</w:t>
            </w:r>
          </w:p>
        </w:tc>
      </w:tr>
      <w:tr w:rsidR="00645D28" w:rsidRPr="000D67C6" w14:paraId="1F7C60B2" w14:textId="77777777" w:rsidTr="002D39B0">
        <w:trPr>
          <w:trHeight w:val="572"/>
        </w:trPr>
        <w:tc>
          <w:tcPr>
            <w:tcW w:w="3080" w:type="dxa"/>
            <w:tcBorders>
              <w:right w:val="single" w:sz="4" w:space="0" w:color="auto"/>
            </w:tcBorders>
            <w:shd w:val="clear" w:color="auto" w:fill="auto"/>
            <w:vAlign w:val="center"/>
            <w:hideMark/>
          </w:tcPr>
          <w:p w14:paraId="5BD5A901"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Transfers To / (From) Reserves (Note 9)</w:t>
            </w:r>
          </w:p>
        </w:tc>
        <w:tc>
          <w:tcPr>
            <w:tcW w:w="984" w:type="dxa"/>
            <w:tcBorders>
              <w:left w:val="single" w:sz="4" w:space="0" w:color="auto"/>
            </w:tcBorders>
            <w:shd w:val="clear" w:color="auto" w:fill="auto"/>
            <w:vAlign w:val="center"/>
            <w:hideMark/>
          </w:tcPr>
          <w:p w14:paraId="2EC17F94"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(1,306)</w:t>
            </w:r>
          </w:p>
        </w:tc>
        <w:tc>
          <w:tcPr>
            <w:tcW w:w="1106" w:type="dxa"/>
            <w:shd w:val="clear" w:color="auto" w:fill="auto"/>
            <w:vAlign w:val="center"/>
            <w:hideMark/>
          </w:tcPr>
          <w:p w14:paraId="5048200A"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1,306</w:t>
            </w:r>
          </w:p>
        </w:tc>
        <w:tc>
          <w:tcPr>
            <w:tcW w:w="1050" w:type="dxa"/>
            <w:tcBorders>
              <w:right w:val="single" w:sz="4" w:space="0" w:color="auto"/>
            </w:tcBorders>
            <w:shd w:val="clear" w:color="auto" w:fill="auto"/>
            <w:vAlign w:val="center"/>
            <w:hideMark/>
          </w:tcPr>
          <w:p w14:paraId="7A020036"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39CF1CFE"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17" w:type="dxa"/>
            <w:tcBorders>
              <w:left w:val="single" w:sz="4" w:space="0" w:color="auto"/>
              <w:right w:val="single" w:sz="4" w:space="0" w:color="auto"/>
            </w:tcBorders>
            <w:shd w:val="clear" w:color="auto" w:fill="auto"/>
            <w:vAlign w:val="center"/>
            <w:hideMark/>
          </w:tcPr>
          <w:p w14:paraId="5997FC09"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1106" w:type="dxa"/>
            <w:tcBorders>
              <w:left w:val="single" w:sz="4" w:space="0" w:color="auto"/>
            </w:tcBorders>
            <w:shd w:val="clear" w:color="auto" w:fill="auto"/>
            <w:vAlign w:val="center"/>
            <w:hideMark/>
          </w:tcPr>
          <w:p w14:paraId="36ACD53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r>
      <w:tr w:rsidR="00645D28" w:rsidRPr="000D67C6" w14:paraId="0B7AC4A0" w14:textId="77777777" w:rsidTr="002D39B0">
        <w:trPr>
          <w:trHeight w:val="566"/>
        </w:trPr>
        <w:tc>
          <w:tcPr>
            <w:tcW w:w="3080" w:type="dxa"/>
            <w:tcBorders>
              <w:right w:val="single" w:sz="4" w:space="0" w:color="auto"/>
            </w:tcBorders>
            <w:shd w:val="clear" w:color="auto" w:fill="auto"/>
            <w:vAlign w:val="center"/>
            <w:hideMark/>
          </w:tcPr>
          <w:p w14:paraId="01964B9C"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(Increase) / Decrease in 2017/18</w:t>
            </w:r>
          </w:p>
        </w:tc>
        <w:tc>
          <w:tcPr>
            <w:tcW w:w="984" w:type="dxa"/>
            <w:tcBorders>
              <w:left w:val="single" w:sz="4" w:space="0" w:color="auto"/>
            </w:tcBorders>
            <w:shd w:val="clear" w:color="auto" w:fill="auto"/>
            <w:vAlign w:val="center"/>
            <w:hideMark/>
          </w:tcPr>
          <w:p w14:paraId="7DDF42F6"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(346)</w:t>
            </w:r>
          </w:p>
        </w:tc>
        <w:tc>
          <w:tcPr>
            <w:tcW w:w="1106" w:type="dxa"/>
            <w:shd w:val="clear" w:color="auto" w:fill="auto"/>
            <w:vAlign w:val="center"/>
            <w:hideMark/>
          </w:tcPr>
          <w:p w14:paraId="7918C669"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1,306</w:t>
            </w:r>
          </w:p>
        </w:tc>
        <w:tc>
          <w:tcPr>
            <w:tcW w:w="1050" w:type="dxa"/>
            <w:tcBorders>
              <w:right w:val="single" w:sz="4" w:space="0" w:color="auto"/>
            </w:tcBorders>
            <w:shd w:val="clear" w:color="auto" w:fill="auto"/>
            <w:vAlign w:val="center"/>
            <w:hideMark/>
          </w:tcPr>
          <w:p w14:paraId="468096DE"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4E288BB4"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960</w:t>
            </w:r>
          </w:p>
        </w:tc>
        <w:tc>
          <w:tcPr>
            <w:tcW w:w="1117" w:type="dxa"/>
            <w:tcBorders>
              <w:left w:val="single" w:sz="4" w:space="0" w:color="auto"/>
              <w:right w:val="single" w:sz="4" w:space="0" w:color="auto"/>
            </w:tcBorders>
            <w:shd w:val="clear" w:color="auto" w:fill="auto"/>
            <w:vAlign w:val="center"/>
            <w:hideMark/>
          </w:tcPr>
          <w:p w14:paraId="0484560E"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28,908</w:t>
            </w:r>
          </w:p>
        </w:tc>
        <w:tc>
          <w:tcPr>
            <w:tcW w:w="1106" w:type="dxa"/>
            <w:tcBorders>
              <w:left w:val="single" w:sz="4" w:space="0" w:color="auto"/>
            </w:tcBorders>
            <w:shd w:val="clear" w:color="auto" w:fill="auto"/>
            <w:vAlign w:val="center"/>
            <w:hideMark/>
          </w:tcPr>
          <w:p w14:paraId="63E60C82"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sz w:val="20"/>
                <w:szCs w:val="20"/>
                <w:lang w:val="en-GB" w:eastAsia="en-GB"/>
              </w:rPr>
              <w:t>29,868</w:t>
            </w:r>
          </w:p>
        </w:tc>
      </w:tr>
      <w:tr w:rsidR="00645D28" w:rsidRPr="000D67C6" w14:paraId="3106472A" w14:textId="77777777" w:rsidTr="002D39B0">
        <w:trPr>
          <w:trHeight w:val="574"/>
        </w:trPr>
        <w:tc>
          <w:tcPr>
            <w:tcW w:w="3080" w:type="dxa"/>
            <w:tcBorders>
              <w:right w:val="single" w:sz="4" w:space="0" w:color="auto"/>
            </w:tcBorders>
            <w:shd w:val="clear" w:color="auto" w:fill="auto"/>
            <w:vAlign w:val="center"/>
            <w:hideMark/>
          </w:tcPr>
          <w:p w14:paraId="7FD5E917"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Balance 31 March 2018</w:t>
            </w:r>
          </w:p>
        </w:tc>
        <w:tc>
          <w:tcPr>
            <w:tcW w:w="984" w:type="dxa"/>
            <w:tcBorders>
              <w:left w:val="single" w:sz="4" w:space="0" w:color="auto"/>
            </w:tcBorders>
            <w:shd w:val="clear" w:color="auto" w:fill="auto"/>
            <w:vAlign w:val="center"/>
            <w:hideMark/>
          </w:tcPr>
          <w:p w14:paraId="4C5C15AF"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(707)</w:t>
            </w:r>
          </w:p>
        </w:tc>
        <w:tc>
          <w:tcPr>
            <w:tcW w:w="1106" w:type="dxa"/>
            <w:shd w:val="clear" w:color="auto" w:fill="auto"/>
            <w:vAlign w:val="center"/>
            <w:hideMark/>
          </w:tcPr>
          <w:p w14:paraId="03B8BE02"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(7,328)</w:t>
            </w:r>
          </w:p>
        </w:tc>
        <w:tc>
          <w:tcPr>
            <w:tcW w:w="1050" w:type="dxa"/>
            <w:tcBorders>
              <w:right w:val="single" w:sz="4" w:space="0" w:color="auto"/>
            </w:tcBorders>
            <w:shd w:val="clear" w:color="auto" w:fill="auto"/>
            <w:vAlign w:val="center"/>
            <w:hideMark/>
          </w:tcPr>
          <w:p w14:paraId="615E07A0"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0</w:t>
            </w:r>
          </w:p>
        </w:tc>
        <w:tc>
          <w:tcPr>
            <w:tcW w:w="1106" w:type="dxa"/>
            <w:tcBorders>
              <w:left w:val="single" w:sz="4" w:space="0" w:color="auto"/>
              <w:right w:val="single" w:sz="4" w:space="0" w:color="auto"/>
            </w:tcBorders>
            <w:shd w:val="clear" w:color="auto" w:fill="auto"/>
            <w:vAlign w:val="center"/>
            <w:hideMark/>
          </w:tcPr>
          <w:p w14:paraId="6F57681A"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(8,035)</w:t>
            </w:r>
          </w:p>
        </w:tc>
        <w:tc>
          <w:tcPr>
            <w:tcW w:w="1117" w:type="dxa"/>
            <w:tcBorders>
              <w:left w:val="single" w:sz="4" w:space="0" w:color="auto"/>
              <w:right w:val="single" w:sz="4" w:space="0" w:color="auto"/>
            </w:tcBorders>
            <w:shd w:val="clear" w:color="auto" w:fill="auto"/>
            <w:vAlign w:val="center"/>
            <w:hideMark/>
          </w:tcPr>
          <w:p w14:paraId="0741ABA1"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468,316</w:t>
            </w:r>
          </w:p>
        </w:tc>
        <w:tc>
          <w:tcPr>
            <w:tcW w:w="1106" w:type="dxa"/>
            <w:tcBorders>
              <w:left w:val="single" w:sz="4" w:space="0" w:color="auto"/>
            </w:tcBorders>
            <w:shd w:val="clear" w:color="auto" w:fill="auto"/>
            <w:vAlign w:val="center"/>
            <w:hideMark/>
          </w:tcPr>
          <w:p w14:paraId="7D61EE7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b/>
                <w:bCs/>
                <w:sz w:val="20"/>
                <w:szCs w:val="20"/>
                <w:lang w:val="en-GB" w:eastAsia="en-GB"/>
              </w:rPr>
              <w:t>460,281</w:t>
            </w:r>
          </w:p>
        </w:tc>
      </w:tr>
    </w:tbl>
    <w:p w14:paraId="58E4DA84" w14:textId="77777777" w:rsidR="00652C10" w:rsidRPr="000D67C6" w:rsidRDefault="00652C10">
      <w:pPr>
        <w:rPr>
          <w:rFonts w:ascii="Arial" w:eastAsia="Calibri" w:hAnsi="Arial" w:cs="Arial"/>
          <w:sz w:val="22"/>
          <w:szCs w:val="22"/>
          <w:lang w:val="pt-BR"/>
        </w:rPr>
      </w:pPr>
      <w:r w:rsidRPr="000D67C6">
        <w:rPr>
          <w:rFonts w:ascii="Arial" w:eastAsia="Calibri" w:hAnsi="Arial" w:cs="Arial"/>
          <w:sz w:val="22"/>
          <w:szCs w:val="22"/>
          <w:lang w:val="pt-BR"/>
        </w:rPr>
        <w:br w:type="page"/>
      </w:r>
    </w:p>
    <w:p w14:paraId="5E9FE600" w14:textId="77777777" w:rsidR="008F013B" w:rsidRPr="000D67C6" w:rsidRDefault="008F013B" w:rsidP="008F013B">
      <w:pPr>
        <w:pStyle w:val="Heading1"/>
        <w:spacing w:line="259" w:lineRule="auto"/>
        <w:rPr>
          <w:rFonts w:ascii="Arial" w:hAnsi="Arial" w:cs="Arial"/>
          <w:sz w:val="28"/>
          <w:lang w:val="pt-BR"/>
        </w:rPr>
      </w:pPr>
      <w:r w:rsidRPr="000D67C6">
        <w:rPr>
          <w:rFonts w:ascii="Arial" w:hAnsi="Arial" w:cs="Arial"/>
          <w:sz w:val="28"/>
          <w:lang w:val="pt-BR"/>
        </w:rPr>
        <w:t>Balance Sheet</w:t>
      </w:r>
    </w:p>
    <w:p w14:paraId="374764FE" w14:textId="77777777" w:rsidR="002D39B0" w:rsidRPr="000D67C6" w:rsidRDefault="002D39B0" w:rsidP="002D39B0">
      <w:pPr>
        <w:rPr>
          <w:lang w:val="pt-BR"/>
        </w:rPr>
      </w:pPr>
    </w:p>
    <w:tbl>
      <w:tblPr>
        <w:tblW w:w="7083" w:type="dxa"/>
        <w:jc w:val="center"/>
        <w:tblLook w:val="04A0" w:firstRow="1" w:lastRow="0" w:firstColumn="1" w:lastColumn="0" w:noHBand="0" w:noVBand="1"/>
      </w:tblPr>
      <w:tblGrid>
        <w:gridCol w:w="1204"/>
        <w:gridCol w:w="4671"/>
        <w:gridCol w:w="1208"/>
      </w:tblGrid>
      <w:tr w:rsidR="00EE7A60" w:rsidRPr="000D67C6" w14:paraId="17C95660" w14:textId="77777777" w:rsidTr="00B5072C">
        <w:trPr>
          <w:trHeight w:val="763"/>
          <w:jc w:val="center"/>
        </w:trPr>
        <w:tc>
          <w:tcPr>
            <w:tcW w:w="1204" w:type="dxa"/>
            <w:tcBorders>
              <w:top w:val="single" w:sz="4" w:space="0" w:color="auto"/>
              <w:left w:val="single" w:sz="4" w:space="0" w:color="auto"/>
              <w:right w:val="single" w:sz="4" w:space="0" w:color="auto"/>
            </w:tcBorders>
            <w:shd w:val="clear" w:color="auto" w:fill="auto"/>
            <w:vAlign w:val="center"/>
            <w:hideMark/>
          </w:tcPr>
          <w:p w14:paraId="48FA39B1" w14:textId="77777777" w:rsidR="00630D23" w:rsidRPr="000D67C6" w:rsidRDefault="00EE7A60" w:rsidP="00CB752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31 March 201</w:t>
            </w:r>
            <w:r w:rsidR="00C002D2" w:rsidRPr="000D67C6">
              <w:rPr>
                <w:rFonts w:ascii="Arial" w:eastAsia="Times New Roman" w:hAnsi="Arial" w:cs="Arial"/>
                <w:b/>
                <w:bCs/>
                <w:sz w:val="20"/>
                <w:szCs w:val="20"/>
                <w:lang w:val="en-GB" w:eastAsia="en-GB"/>
              </w:rPr>
              <w:t>8</w:t>
            </w:r>
          </w:p>
          <w:p w14:paraId="428417D6" w14:textId="77777777" w:rsidR="00EE7A60" w:rsidRPr="000D67C6" w:rsidRDefault="00630D23" w:rsidP="00CB752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£000</w:t>
            </w:r>
          </w:p>
        </w:tc>
        <w:tc>
          <w:tcPr>
            <w:tcW w:w="4671" w:type="dxa"/>
            <w:tcBorders>
              <w:top w:val="single" w:sz="4" w:space="0" w:color="auto"/>
              <w:left w:val="single" w:sz="4" w:space="0" w:color="auto"/>
              <w:right w:val="single" w:sz="4" w:space="0" w:color="auto"/>
            </w:tcBorders>
            <w:shd w:val="clear" w:color="auto" w:fill="auto"/>
            <w:noWrap/>
            <w:vAlign w:val="center"/>
          </w:tcPr>
          <w:p w14:paraId="60935318" w14:textId="77777777" w:rsidR="00EE7A60" w:rsidRPr="000D67C6" w:rsidRDefault="00630D23" w:rsidP="00630D23">
            <w:pPr>
              <w:jc w:val="cente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Balance Sheet</w:t>
            </w:r>
          </w:p>
        </w:tc>
        <w:tc>
          <w:tcPr>
            <w:tcW w:w="1208" w:type="dxa"/>
            <w:tcBorders>
              <w:top w:val="single" w:sz="4" w:space="0" w:color="auto"/>
              <w:left w:val="single" w:sz="4" w:space="0" w:color="auto"/>
              <w:right w:val="single" w:sz="4" w:space="0" w:color="auto"/>
            </w:tcBorders>
            <w:shd w:val="clear" w:color="auto" w:fill="auto"/>
            <w:vAlign w:val="center"/>
            <w:hideMark/>
          </w:tcPr>
          <w:p w14:paraId="0EE79E35" w14:textId="77777777" w:rsidR="00630D23" w:rsidRPr="000D67C6" w:rsidRDefault="00EE7A60" w:rsidP="00CB752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31 March 201</w:t>
            </w:r>
            <w:r w:rsidR="00C002D2" w:rsidRPr="000D67C6">
              <w:rPr>
                <w:rFonts w:ascii="Arial" w:eastAsia="Times New Roman" w:hAnsi="Arial" w:cs="Arial"/>
                <w:b/>
                <w:bCs/>
                <w:sz w:val="20"/>
                <w:szCs w:val="20"/>
                <w:lang w:val="en-GB" w:eastAsia="en-GB"/>
              </w:rPr>
              <w:t>9</w:t>
            </w:r>
          </w:p>
          <w:p w14:paraId="66AD0C9A" w14:textId="77777777" w:rsidR="00EE7A60" w:rsidRPr="000D67C6" w:rsidRDefault="00630D23" w:rsidP="00CB752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£000</w:t>
            </w:r>
          </w:p>
        </w:tc>
      </w:tr>
      <w:tr w:rsidR="00C002D2" w:rsidRPr="000D67C6" w14:paraId="5786C0C9" w14:textId="77777777" w:rsidTr="00B5072C">
        <w:trPr>
          <w:trHeight w:val="418"/>
          <w:jc w:val="center"/>
        </w:trPr>
        <w:tc>
          <w:tcPr>
            <w:tcW w:w="1204" w:type="dxa"/>
            <w:tcBorders>
              <w:top w:val="single" w:sz="4" w:space="0" w:color="auto"/>
              <w:left w:val="single" w:sz="4" w:space="0" w:color="auto"/>
              <w:bottom w:val="nil"/>
              <w:right w:val="single" w:sz="4" w:space="0" w:color="auto"/>
            </w:tcBorders>
            <w:shd w:val="clear" w:color="auto" w:fill="auto"/>
            <w:vAlign w:val="center"/>
            <w:hideMark/>
          </w:tcPr>
          <w:p w14:paraId="22035FF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60,287</w:t>
            </w:r>
          </w:p>
        </w:tc>
        <w:tc>
          <w:tcPr>
            <w:tcW w:w="4671" w:type="dxa"/>
            <w:tcBorders>
              <w:top w:val="single" w:sz="4" w:space="0" w:color="auto"/>
              <w:left w:val="single" w:sz="4" w:space="0" w:color="auto"/>
              <w:bottom w:val="nil"/>
              <w:right w:val="single" w:sz="4" w:space="0" w:color="auto"/>
            </w:tcBorders>
            <w:shd w:val="clear" w:color="auto" w:fill="auto"/>
            <w:vAlign w:val="center"/>
            <w:hideMark/>
          </w:tcPr>
          <w:p w14:paraId="76855E52"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Property, Plant &amp; Equipment (Note 12)</w:t>
            </w:r>
          </w:p>
        </w:tc>
        <w:tc>
          <w:tcPr>
            <w:tcW w:w="1208" w:type="dxa"/>
            <w:tcBorders>
              <w:top w:val="single" w:sz="4" w:space="0" w:color="auto"/>
              <w:left w:val="single" w:sz="4" w:space="0" w:color="auto"/>
              <w:bottom w:val="nil"/>
              <w:right w:val="single" w:sz="4" w:space="0" w:color="auto"/>
            </w:tcBorders>
            <w:shd w:val="clear" w:color="auto" w:fill="auto"/>
            <w:vAlign w:val="center"/>
          </w:tcPr>
          <w:p w14:paraId="75805696" w14:textId="48E0A598" w:rsidR="00C002D2" w:rsidRPr="000D67C6" w:rsidRDefault="000D7B34"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w:t>
            </w:r>
            <w:r w:rsidR="00C66F45" w:rsidRPr="000D67C6">
              <w:rPr>
                <w:rFonts w:ascii="Arial" w:eastAsia="Times New Roman" w:hAnsi="Arial" w:cs="Arial"/>
                <w:sz w:val="20"/>
                <w:szCs w:val="20"/>
                <w:lang w:val="en-GB" w:eastAsia="en-GB"/>
              </w:rPr>
              <w:t>0,</w:t>
            </w:r>
            <w:r w:rsidR="00B37E51" w:rsidRPr="000D67C6">
              <w:rPr>
                <w:rFonts w:ascii="Arial" w:eastAsia="Times New Roman" w:hAnsi="Arial" w:cs="Arial"/>
                <w:sz w:val="20"/>
                <w:szCs w:val="20"/>
                <w:lang w:val="en-GB" w:eastAsia="en-GB"/>
              </w:rPr>
              <w:t>763</w:t>
            </w:r>
          </w:p>
        </w:tc>
      </w:tr>
      <w:tr w:rsidR="00C002D2" w:rsidRPr="000D67C6" w14:paraId="3807E213" w14:textId="77777777" w:rsidTr="00B5072C">
        <w:trPr>
          <w:trHeight w:val="419"/>
          <w:jc w:val="center"/>
        </w:trPr>
        <w:tc>
          <w:tcPr>
            <w:tcW w:w="1204" w:type="dxa"/>
            <w:tcBorders>
              <w:top w:val="nil"/>
              <w:left w:val="single" w:sz="4" w:space="0" w:color="auto"/>
              <w:bottom w:val="nil"/>
              <w:right w:val="single" w:sz="4" w:space="0" w:color="auto"/>
            </w:tcBorders>
            <w:shd w:val="clear" w:color="auto" w:fill="auto"/>
            <w:vAlign w:val="center"/>
            <w:hideMark/>
          </w:tcPr>
          <w:p w14:paraId="679EC871"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1,434</w:t>
            </w:r>
          </w:p>
        </w:tc>
        <w:tc>
          <w:tcPr>
            <w:tcW w:w="4671" w:type="dxa"/>
            <w:tcBorders>
              <w:top w:val="nil"/>
              <w:left w:val="single" w:sz="4" w:space="0" w:color="auto"/>
              <w:bottom w:val="nil"/>
              <w:right w:val="single" w:sz="4" w:space="0" w:color="auto"/>
            </w:tcBorders>
            <w:shd w:val="clear" w:color="auto" w:fill="auto"/>
            <w:vAlign w:val="center"/>
            <w:hideMark/>
          </w:tcPr>
          <w:p w14:paraId="517C86B1"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Assets Under Construction (Note 12)</w:t>
            </w:r>
          </w:p>
        </w:tc>
        <w:tc>
          <w:tcPr>
            <w:tcW w:w="1208" w:type="dxa"/>
            <w:tcBorders>
              <w:top w:val="nil"/>
              <w:left w:val="single" w:sz="4" w:space="0" w:color="auto"/>
              <w:bottom w:val="nil"/>
              <w:right w:val="single" w:sz="4" w:space="0" w:color="auto"/>
            </w:tcBorders>
            <w:shd w:val="clear" w:color="auto" w:fill="auto"/>
            <w:vAlign w:val="center"/>
          </w:tcPr>
          <w:p w14:paraId="314826DE" w14:textId="77777777" w:rsidR="00C002D2" w:rsidRPr="000D67C6" w:rsidRDefault="000D7B34"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225</w:t>
            </w:r>
          </w:p>
        </w:tc>
      </w:tr>
      <w:tr w:rsidR="00C002D2" w:rsidRPr="000D67C6" w14:paraId="7BBDBB74" w14:textId="77777777" w:rsidTr="00B5072C">
        <w:trPr>
          <w:trHeight w:val="408"/>
          <w:jc w:val="center"/>
        </w:trPr>
        <w:tc>
          <w:tcPr>
            <w:tcW w:w="1204" w:type="dxa"/>
            <w:tcBorders>
              <w:top w:val="nil"/>
              <w:left w:val="single" w:sz="4" w:space="0" w:color="auto"/>
              <w:bottom w:val="nil"/>
              <w:right w:val="single" w:sz="4" w:space="0" w:color="auto"/>
            </w:tcBorders>
            <w:shd w:val="clear" w:color="auto" w:fill="auto"/>
            <w:vAlign w:val="center"/>
            <w:hideMark/>
          </w:tcPr>
          <w:p w14:paraId="2178BB0F"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846</w:t>
            </w:r>
          </w:p>
        </w:tc>
        <w:tc>
          <w:tcPr>
            <w:tcW w:w="4671" w:type="dxa"/>
            <w:tcBorders>
              <w:top w:val="nil"/>
              <w:left w:val="single" w:sz="4" w:space="0" w:color="auto"/>
              <w:bottom w:val="nil"/>
              <w:right w:val="single" w:sz="4" w:space="0" w:color="auto"/>
            </w:tcBorders>
            <w:shd w:val="clear" w:color="auto" w:fill="auto"/>
            <w:vAlign w:val="center"/>
            <w:hideMark/>
          </w:tcPr>
          <w:p w14:paraId="2FAD0538"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Intangible Assets (Note 13)</w:t>
            </w:r>
          </w:p>
        </w:tc>
        <w:tc>
          <w:tcPr>
            <w:tcW w:w="1208" w:type="dxa"/>
            <w:tcBorders>
              <w:top w:val="nil"/>
              <w:left w:val="single" w:sz="4" w:space="0" w:color="auto"/>
              <w:bottom w:val="nil"/>
              <w:right w:val="single" w:sz="4" w:space="0" w:color="auto"/>
            </w:tcBorders>
            <w:shd w:val="clear" w:color="auto" w:fill="auto"/>
            <w:vAlign w:val="center"/>
          </w:tcPr>
          <w:p w14:paraId="1BADF5DC" w14:textId="77777777" w:rsidR="00C002D2" w:rsidRPr="000D67C6" w:rsidRDefault="000D7B34"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875</w:t>
            </w:r>
          </w:p>
        </w:tc>
      </w:tr>
      <w:tr w:rsidR="00C002D2" w:rsidRPr="000D67C6" w14:paraId="68DA9B07" w14:textId="77777777" w:rsidTr="00B5072C">
        <w:trPr>
          <w:trHeight w:val="413"/>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38CD5CBC"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205</w:t>
            </w:r>
          </w:p>
        </w:tc>
        <w:tc>
          <w:tcPr>
            <w:tcW w:w="4671" w:type="dxa"/>
            <w:tcBorders>
              <w:top w:val="nil"/>
              <w:left w:val="single" w:sz="4" w:space="0" w:color="auto"/>
              <w:bottom w:val="nil"/>
              <w:right w:val="single" w:sz="4" w:space="0" w:color="auto"/>
            </w:tcBorders>
            <w:shd w:val="clear" w:color="auto" w:fill="auto"/>
            <w:vAlign w:val="center"/>
            <w:hideMark/>
          </w:tcPr>
          <w:p w14:paraId="396B5B0F"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Long Term Debtors (Note 15)</w:t>
            </w:r>
          </w:p>
        </w:tc>
        <w:tc>
          <w:tcPr>
            <w:tcW w:w="1208" w:type="dxa"/>
            <w:tcBorders>
              <w:top w:val="nil"/>
              <w:left w:val="single" w:sz="4" w:space="0" w:color="auto"/>
              <w:bottom w:val="single" w:sz="8" w:space="0" w:color="auto"/>
              <w:right w:val="single" w:sz="4" w:space="0" w:color="auto"/>
            </w:tcBorders>
            <w:shd w:val="clear" w:color="auto" w:fill="auto"/>
            <w:vAlign w:val="center"/>
          </w:tcPr>
          <w:p w14:paraId="66912238" w14:textId="77777777" w:rsidR="00C002D2" w:rsidRPr="000D67C6" w:rsidRDefault="000D7B34"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165</w:t>
            </w:r>
          </w:p>
        </w:tc>
      </w:tr>
      <w:tr w:rsidR="00C002D2" w:rsidRPr="000D67C6" w14:paraId="2F456E18" w14:textId="77777777" w:rsidTr="00B5072C">
        <w:trPr>
          <w:trHeight w:val="368"/>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257A4FD5"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62,772</w:t>
            </w:r>
          </w:p>
        </w:tc>
        <w:tc>
          <w:tcPr>
            <w:tcW w:w="4671" w:type="dxa"/>
            <w:tcBorders>
              <w:top w:val="nil"/>
              <w:left w:val="single" w:sz="4" w:space="0" w:color="auto"/>
              <w:bottom w:val="nil"/>
              <w:right w:val="single" w:sz="4" w:space="0" w:color="auto"/>
            </w:tcBorders>
            <w:shd w:val="clear" w:color="auto" w:fill="auto"/>
            <w:vAlign w:val="center"/>
            <w:hideMark/>
          </w:tcPr>
          <w:p w14:paraId="6055749F"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Long Term Assets</w:t>
            </w:r>
          </w:p>
        </w:tc>
        <w:tc>
          <w:tcPr>
            <w:tcW w:w="1208" w:type="dxa"/>
            <w:tcBorders>
              <w:top w:val="nil"/>
              <w:left w:val="single" w:sz="4" w:space="0" w:color="auto"/>
              <w:bottom w:val="single" w:sz="8" w:space="0" w:color="auto"/>
              <w:right w:val="single" w:sz="4" w:space="0" w:color="auto"/>
            </w:tcBorders>
            <w:shd w:val="clear" w:color="auto" w:fill="auto"/>
            <w:vAlign w:val="center"/>
          </w:tcPr>
          <w:p w14:paraId="4967D439" w14:textId="1DC1B52E" w:rsidR="00C002D2" w:rsidRPr="000D67C6" w:rsidRDefault="000D7B34"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62,</w:t>
            </w:r>
            <w:r w:rsidR="00C66F45" w:rsidRPr="000D67C6">
              <w:rPr>
                <w:rFonts w:ascii="Arial" w:eastAsia="Times New Roman" w:hAnsi="Arial" w:cs="Arial"/>
                <w:b/>
                <w:bCs/>
                <w:sz w:val="20"/>
                <w:szCs w:val="20"/>
                <w:lang w:val="en-GB" w:eastAsia="en-GB"/>
              </w:rPr>
              <w:t>0</w:t>
            </w:r>
            <w:r w:rsidR="00B37E51" w:rsidRPr="000D67C6">
              <w:rPr>
                <w:rFonts w:ascii="Arial" w:eastAsia="Times New Roman" w:hAnsi="Arial" w:cs="Arial"/>
                <w:b/>
                <w:bCs/>
                <w:sz w:val="20"/>
                <w:szCs w:val="20"/>
                <w:lang w:val="en-GB" w:eastAsia="en-GB"/>
              </w:rPr>
              <w:t>28</w:t>
            </w:r>
          </w:p>
        </w:tc>
      </w:tr>
      <w:tr w:rsidR="00C002D2" w:rsidRPr="000D67C6" w14:paraId="070D3E4E" w14:textId="77777777" w:rsidTr="00B5072C">
        <w:trPr>
          <w:trHeight w:val="481"/>
          <w:jc w:val="center"/>
        </w:trPr>
        <w:tc>
          <w:tcPr>
            <w:tcW w:w="1204" w:type="dxa"/>
            <w:tcBorders>
              <w:top w:val="nil"/>
              <w:left w:val="single" w:sz="4" w:space="0" w:color="auto"/>
              <w:bottom w:val="nil"/>
              <w:right w:val="single" w:sz="4" w:space="0" w:color="auto"/>
            </w:tcBorders>
            <w:shd w:val="clear" w:color="auto" w:fill="auto"/>
            <w:vAlign w:val="center"/>
            <w:hideMark/>
          </w:tcPr>
          <w:p w14:paraId="159D4AF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663</w:t>
            </w:r>
          </w:p>
        </w:tc>
        <w:tc>
          <w:tcPr>
            <w:tcW w:w="4671" w:type="dxa"/>
            <w:tcBorders>
              <w:top w:val="nil"/>
              <w:left w:val="single" w:sz="4" w:space="0" w:color="auto"/>
              <w:bottom w:val="nil"/>
              <w:right w:val="single" w:sz="4" w:space="0" w:color="auto"/>
            </w:tcBorders>
            <w:shd w:val="clear" w:color="auto" w:fill="auto"/>
            <w:vAlign w:val="center"/>
            <w:hideMark/>
          </w:tcPr>
          <w:p w14:paraId="4E519AB4"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Inventories</w:t>
            </w:r>
          </w:p>
        </w:tc>
        <w:tc>
          <w:tcPr>
            <w:tcW w:w="1208" w:type="dxa"/>
            <w:tcBorders>
              <w:top w:val="nil"/>
              <w:left w:val="single" w:sz="4" w:space="0" w:color="auto"/>
              <w:bottom w:val="nil"/>
              <w:right w:val="single" w:sz="4" w:space="0" w:color="auto"/>
            </w:tcBorders>
            <w:shd w:val="clear" w:color="auto" w:fill="auto"/>
            <w:vAlign w:val="center"/>
          </w:tcPr>
          <w:p w14:paraId="2BA8D557" w14:textId="77777777" w:rsidR="00C002D2" w:rsidRPr="000D67C6" w:rsidRDefault="00224898"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641</w:t>
            </w:r>
          </w:p>
        </w:tc>
      </w:tr>
      <w:tr w:rsidR="00C002D2" w:rsidRPr="000D67C6" w14:paraId="106E1184" w14:textId="77777777" w:rsidTr="00B5072C">
        <w:trPr>
          <w:trHeight w:val="373"/>
          <w:jc w:val="center"/>
        </w:trPr>
        <w:tc>
          <w:tcPr>
            <w:tcW w:w="1204" w:type="dxa"/>
            <w:tcBorders>
              <w:top w:val="nil"/>
              <w:left w:val="single" w:sz="4" w:space="0" w:color="auto"/>
              <w:bottom w:val="nil"/>
              <w:right w:val="single" w:sz="4" w:space="0" w:color="auto"/>
            </w:tcBorders>
            <w:shd w:val="clear" w:color="auto" w:fill="auto"/>
            <w:vAlign w:val="center"/>
            <w:hideMark/>
          </w:tcPr>
          <w:p w14:paraId="221BE5B1"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4,926</w:t>
            </w:r>
          </w:p>
        </w:tc>
        <w:tc>
          <w:tcPr>
            <w:tcW w:w="4671" w:type="dxa"/>
            <w:tcBorders>
              <w:top w:val="nil"/>
              <w:left w:val="single" w:sz="4" w:space="0" w:color="auto"/>
              <w:bottom w:val="nil"/>
              <w:right w:val="single" w:sz="4" w:space="0" w:color="auto"/>
            </w:tcBorders>
            <w:shd w:val="clear" w:color="auto" w:fill="auto"/>
            <w:vAlign w:val="center"/>
            <w:hideMark/>
          </w:tcPr>
          <w:p w14:paraId="23478959"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Short Term Debtors (Note 15)</w:t>
            </w:r>
          </w:p>
        </w:tc>
        <w:tc>
          <w:tcPr>
            <w:tcW w:w="1208" w:type="dxa"/>
            <w:tcBorders>
              <w:top w:val="nil"/>
              <w:left w:val="single" w:sz="4" w:space="0" w:color="auto"/>
              <w:bottom w:val="nil"/>
              <w:right w:val="single" w:sz="4" w:space="0" w:color="auto"/>
            </w:tcBorders>
            <w:shd w:val="clear" w:color="auto" w:fill="auto"/>
            <w:vAlign w:val="center"/>
          </w:tcPr>
          <w:p w14:paraId="0A6CF134" w14:textId="77777777" w:rsidR="00C002D2" w:rsidRPr="000D67C6" w:rsidRDefault="00224898"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3,640</w:t>
            </w:r>
          </w:p>
        </w:tc>
      </w:tr>
      <w:tr w:rsidR="00C002D2" w:rsidRPr="000D67C6" w14:paraId="5B0364B2" w14:textId="77777777" w:rsidTr="00B5072C">
        <w:trPr>
          <w:trHeight w:val="376"/>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69A29C37"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3,051</w:t>
            </w:r>
          </w:p>
        </w:tc>
        <w:tc>
          <w:tcPr>
            <w:tcW w:w="4671" w:type="dxa"/>
            <w:tcBorders>
              <w:top w:val="nil"/>
              <w:left w:val="single" w:sz="4" w:space="0" w:color="auto"/>
              <w:bottom w:val="nil"/>
              <w:right w:val="single" w:sz="4" w:space="0" w:color="auto"/>
            </w:tcBorders>
            <w:shd w:val="clear" w:color="auto" w:fill="auto"/>
            <w:vAlign w:val="center"/>
            <w:hideMark/>
          </w:tcPr>
          <w:p w14:paraId="1E4FCAB7"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Cash and Cash Equivalents (Note 16)</w:t>
            </w:r>
          </w:p>
        </w:tc>
        <w:tc>
          <w:tcPr>
            <w:tcW w:w="1208" w:type="dxa"/>
            <w:tcBorders>
              <w:top w:val="nil"/>
              <w:left w:val="single" w:sz="4" w:space="0" w:color="auto"/>
              <w:bottom w:val="single" w:sz="8" w:space="0" w:color="auto"/>
              <w:right w:val="single" w:sz="4" w:space="0" w:color="auto"/>
            </w:tcBorders>
            <w:shd w:val="clear" w:color="auto" w:fill="auto"/>
            <w:vAlign w:val="center"/>
          </w:tcPr>
          <w:p w14:paraId="7620950F" w14:textId="77777777" w:rsidR="00C002D2" w:rsidRPr="000D67C6" w:rsidRDefault="00224898"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4,575</w:t>
            </w:r>
          </w:p>
        </w:tc>
      </w:tr>
      <w:tr w:rsidR="00C002D2" w:rsidRPr="000D67C6" w14:paraId="4393263E" w14:textId="77777777" w:rsidTr="00B5072C">
        <w:trPr>
          <w:trHeight w:val="434"/>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2C3AF16F"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8,640</w:t>
            </w:r>
          </w:p>
        </w:tc>
        <w:tc>
          <w:tcPr>
            <w:tcW w:w="4671" w:type="dxa"/>
            <w:tcBorders>
              <w:top w:val="nil"/>
              <w:left w:val="single" w:sz="4" w:space="0" w:color="auto"/>
              <w:bottom w:val="nil"/>
              <w:right w:val="single" w:sz="4" w:space="0" w:color="auto"/>
            </w:tcBorders>
            <w:shd w:val="clear" w:color="auto" w:fill="auto"/>
            <w:vAlign w:val="center"/>
            <w:hideMark/>
          </w:tcPr>
          <w:p w14:paraId="6C4CF0F6"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Current Assets</w:t>
            </w:r>
          </w:p>
        </w:tc>
        <w:tc>
          <w:tcPr>
            <w:tcW w:w="1208" w:type="dxa"/>
            <w:tcBorders>
              <w:top w:val="nil"/>
              <w:left w:val="single" w:sz="4" w:space="0" w:color="auto"/>
              <w:bottom w:val="single" w:sz="8" w:space="0" w:color="auto"/>
              <w:right w:val="single" w:sz="4" w:space="0" w:color="auto"/>
            </w:tcBorders>
            <w:shd w:val="clear" w:color="auto" w:fill="auto"/>
            <w:vAlign w:val="center"/>
          </w:tcPr>
          <w:p w14:paraId="5EC4EBB3" w14:textId="77777777" w:rsidR="00C002D2" w:rsidRPr="000D67C6" w:rsidRDefault="00224898"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8,856</w:t>
            </w:r>
          </w:p>
        </w:tc>
      </w:tr>
      <w:tr w:rsidR="00C002D2" w:rsidRPr="000D67C6" w14:paraId="4D1252B2" w14:textId="77777777" w:rsidTr="00B5072C">
        <w:trPr>
          <w:trHeight w:val="503"/>
          <w:jc w:val="center"/>
        </w:trPr>
        <w:tc>
          <w:tcPr>
            <w:tcW w:w="1204" w:type="dxa"/>
            <w:tcBorders>
              <w:top w:val="nil"/>
              <w:left w:val="single" w:sz="4" w:space="0" w:color="auto"/>
              <w:bottom w:val="nil"/>
              <w:right w:val="single" w:sz="4" w:space="0" w:color="auto"/>
            </w:tcBorders>
            <w:shd w:val="clear" w:color="auto" w:fill="auto"/>
            <w:vAlign w:val="center"/>
            <w:hideMark/>
          </w:tcPr>
          <w:p w14:paraId="7F2EE7CB"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(523)</w:t>
            </w:r>
          </w:p>
        </w:tc>
        <w:tc>
          <w:tcPr>
            <w:tcW w:w="4671" w:type="dxa"/>
            <w:tcBorders>
              <w:top w:val="nil"/>
              <w:left w:val="single" w:sz="4" w:space="0" w:color="auto"/>
              <w:bottom w:val="nil"/>
              <w:right w:val="single" w:sz="4" w:space="0" w:color="auto"/>
            </w:tcBorders>
            <w:shd w:val="clear" w:color="auto" w:fill="auto"/>
            <w:vAlign w:val="center"/>
            <w:hideMark/>
          </w:tcPr>
          <w:p w14:paraId="457F5DB1"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Short Term Borrowing (Note 14)</w:t>
            </w:r>
          </w:p>
        </w:tc>
        <w:tc>
          <w:tcPr>
            <w:tcW w:w="1208" w:type="dxa"/>
            <w:tcBorders>
              <w:top w:val="nil"/>
              <w:left w:val="single" w:sz="4" w:space="0" w:color="auto"/>
              <w:bottom w:val="nil"/>
              <w:right w:val="single" w:sz="4" w:space="0" w:color="auto"/>
            </w:tcBorders>
            <w:shd w:val="clear" w:color="auto" w:fill="auto"/>
            <w:vAlign w:val="center"/>
          </w:tcPr>
          <w:p w14:paraId="423A2E63" w14:textId="77777777" w:rsidR="00C002D2" w:rsidRPr="000D67C6" w:rsidRDefault="00224898"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(1,380)</w:t>
            </w:r>
          </w:p>
        </w:tc>
      </w:tr>
      <w:tr w:rsidR="00C002D2" w:rsidRPr="000D67C6" w14:paraId="49D8C6C9" w14:textId="77777777" w:rsidTr="00B5072C">
        <w:trPr>
          <w:trHeight w:val="350"/>
          <w:jc w:val="center"/>
        </w:trPr>
        <w:tc>
          <w:tcPr>
            <w:tcW w:w="1204" w:type="dxa"/>
            <w:tcBorders>
              <w:top w:val="nil"/>
              <w:left w:val="single" w:sz="4" w:space="0" w:color="auto"/>
              <w:bottom w:val="nil"/>
              <w:right w:val="single" w:sz="4" w:space="0" w:color="auto"/>
            </w:tcBorders>
            <w:shd w:val="clear" w:color="auto" w:fill="auto"/>
            <w:vAlign w:val="center"/>
            <w:hideMark/>
          </w:tcPr>
          <w:p w14:paraId="52FB627C"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(5,956)</w:t>
            </w:r>
          </w:p>
        </w:tc>
        <w:tc>
          <w:tcPr>
            <w:tcW w:w="4671" w:type="dxa"/>
            <w:tcBorders>
              <w:top w:val="nil"/>
              <w:left w:val="single" w:sz="4" w:space="0" w:color="auto"/>
              <w:bottom w:val="nil"/>
              <w:right w:val="single" w:sz="4" w:space="0" w:color="auto"/>
            </w:tcBorders>
            <w:shd w:val="clear" w:color="auto" w:fill="auto"/>
            <w:vAlign w:val="center"/>
            <w:hideMark/>
          </w:tcPr>
          <w:p w14:paraId="10FE1780"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Short Term Creditors (Note 17)</w:t>
            </w:r>
          </w:p>
        </w:tc>
        <w:tc>
          <w:tcPr>
            <w:tcW w:w="1208" w:type="dxa"/>
            <w:tcBorders>
              <w:top w:val="nil"/>
              <w:left w:val="single" w:sz="4" w:space="0" w:color="auto"/>
              <w:bottom w:val="nil"/>
              <w:right w:val="single" w:sz="4" w:space="0" w:color="auto"/>
            </w:tcBorders>
            <w:shd w:val="clear" w:color="auto" w:fill="auto"/>
            <w:vAlign w:val="center"/>
          </w:tcPr>
          <w:p w14:paraId="7ED844EA" w14:textId="78CE2EE0" w:rsidR="00C002D2" w:rsidRPr="000D67C6" w:rsidRDefault="00581400"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w:t>
            </w:r>
            <w:r w:rsidR="00016283" w:rsidRPr="000D67C6">
              <w:rPr>
                <w:rFonts w:ascii="Arial" w:eastAsia="Times New Roman" w:hAnsi="Arial" w:cs="Arial"/>
                <w:sz w:val="20"/>
                <w:szCs w:val="20"/>
                <w:lang w:val="en-GB" w:eastAsia="en-GB"/>
              </w:rPr>
              <w:t>4</w:t>
            </w:r>
            <w:r w:rsidRPr="000D67C6">
              <w:rPr>
                <w:rFonts w:ascii="Arial" w:eastAsia="Times New Roman" w:hAnsi="Arial" w:cs="Arial"/>
                <w:sz w:val="20"/>
                <w:szCs w:val="20"/>
                <w:lang w:val="en-GB" w:eastAsia="en-GB"/>
              </w:rPr>
              <w:t>,</w:t>
            </w:r>
            <w:r w:rsidR="00016283" w:rsidRPr="000D67C6">
              <w:rPr>
                <w:rFonts w:ascii="Arial" w:eastAsia="Times New Roman" w:hAnsi="Arial" w:cs="Arial"/>
                <w:sz w:val="20"/>
                <w:szCs w:val="20"/>
                <w:lang w:val="en-GB" w:eastAsia="en-GB"/>
              </w:rPr>
              <w:t>876</w:t>
            </w:r>
            <w:r w:rsidRPr="000D67C6">
              <w:rPr>
                <w:rFonts w:ascii="Arial" w:eastAsia="Times New Roman" w:hAnsi="Arial" w:cs="Arial"/>
                <w:sz w:val="20"/>
                <w:szCs w:val="20"/>
                <w:lang w:val="en-GB" w:eastAsia="en-GB"/>
              </w:rPr>
              <w:t>)</w:t>
            </w:r>
          </w:p>
        </w:tc>
      </w:tr>
      <w:tr w:rsidR="00B92FC8" w:rsidRPr="000D67C6" w14:paraId="281D55F1" w14:textId="77777777" w:rsidTr="00B5072C">
        <w:trPr>
          <w:trHeight w:val="350"/>
          <w:jc w:val="center"/>
        </w:trPr>
        <w:tc>
          <w:tcPr>
            <w:tcW w:w="1204" w:type="dxa"/>
            <w:tcBorders>
              <w:top w:val="nil"/>
              <w:left w:val="single" w:sz="4" w:space="0" w:color="auto"/>
              <w:bottom w:val="nil"/>
              <w:right w:val="single" w:sz="4" w:space="0" w:color="auto"/>
            </w:tcBorders>
            <w:shd w:val="clear" w:color="auto" w:fill="auto"/>
            <w:vAlign w:val="center"/>
          </w:tcPr>
          <w:p w14:paraId="0396AAE6" w14:textId="0876D71F" w:rsidR="00B92FC8" w:rsidRPr="000D67C6" w:rsidRDefault="00B92FC8"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4671" w:type="dxa"/>
            <w:tcBorders>
              <w:top w:val="nil"/>
              <w:left w:val="single" w:sz="4" w:space="0" w:color="auto"/>
              <w:bottom w:val="nil"/>
              <w:right w:val="single" w:sz="4" w:space="0" w:color="auto"/>
            </w:tcBorders>
            <w:shd w:val="clear" w:color="auto" w:fill="auto"/>
            <w:vAlign w:val="center"/>
          </w:tcPr>
          <w:p w14:paraId="4626F6C5" w14:textId="4AFA15F2" w:rsidR="00B92FC8" w:rsidRPr="000D67C6" w:rsidRDefault="00B5072C"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Revenue Grants Receipts in Advance (Note 25)</w:t>
            </w:r>
          </w:p>
        </w:tc>
        <w:tc>
          <w:tcPr>
            <w:tcW w:w="1208" w:type="dxa"/>
            <w:tcBorders>
              <w:top w:val="nil"/>
              <w:left w:val="single" w:sz="4" w:space="0" w:color="auto"/>
              <w:bottom w:val="nil"/>
              <w:right w:val="single" w:sz="4" w:space="0" w:color="auto"/>
            </w:tcBorders>
            <w:shd w:val="clear" w:color="auto" w:fill="auto"/>
            <w:vAlign w:val="center"/>
          </w:tcPr>
          <w:p w14:paraId="5FD5CCC4" w14:textId="4AAD15A8" w:rsidR="00B92FC8" w:rsidRPr="000D67C6" w:rsidRDefault="00B5072C"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(32</w:t>
            </w:r>
            <w:r w:rsidR="00E0415C" w:rsidRPr="000D67C6">
              <w:rPr>
                <w:rFonts w:ascii="Arial" w:eastAsia="Times New Roman" w:hAnsi="Arial" w:cs="Arial"/>
                <w:sz w:val="20"/>
                <w:szCs w:val="20"/>
                <w:lang w:val="en-GB" w:eastAsia="en-GB"/>
              </w:rPr>
              <w:t>2</w:t>
            </w:r>
            <w:r w:rsidRPr="000D67C6">
              <w:rPr>
                <w:rFonts w:ascii="Arial" w:eastAsia="Times New Roman" w:hAnsi="Arial" w:cs="Arial"/>
                <w:sz w:val="20"/>
                <w:szCs w:val="20"/>
                <w:lang w:val="en-GB" w:eastAsia="en-GB"/>
              </w:rPr>
              <w:t>)</w:t>
            </w:r>
          </w:p>
        </w:tc>
      </w:tr>
      <w:tr w:rsidR="00C002D2" w:rsidRPr="000D67C6" w14:paraId="7E97B487" w14:textId="77777777" w:rsidTr="00B5072C">
        <w:trPr>
          <w:trHeight w:val="480"/>
          <w:jc w:val="center"/>
        </w:trPr>
        <w:tc>
          <w:tcPr>
            <w:tcW w:w="1204" w:type="dxa"/>
            <w:tcBorders>
              <w:top w:val="nil"/>
              <w:left w:val="single" w:sz="4" w:space="0" w:color="auto"/>
              <w:bottom w:val="nil"/>
              <w:right w:val="single" w:sz="4" w:space="0" w:color="auto"/>
            </w:tcBorders>
            <w:shd w:val="clear" w:color="auto" w:fill="auto"/>
            <w:vAlign w:val="center"/>
            <w:hideMark/>
          </w:tcPr>
          <w:p w14:paraId="1C4ED793"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(94)</w:t>
            </w:r>
          </w:p>
        </w:tc>
        <w:tc>
          <w:tcPr>
            <w:tcW w:w="4671" w:type="dxa"/>
            <w:tcBorders>
              <w:top w:val="nil"/>
              <w:left w:val="single" w:sz="4" w:space="0" w:color="auto"/>
              <w:bottom w:val="nil"/>
              <w:right w:val="single" w:sz="4" w:space="0" w:color="auto"/>
            </w:tcBorders>
            <w:shd w:val="clear" w:color="auto" w:fill="auto"/>
            <w:vAlign w:val="center"/>
            <w:hideMark/>
          </w:tcPr>
          <w:p w14:paraId="17B0F1FB"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Capital Grants Receipts in Advance (Note 25)</w:t>
            </w:r>
          </w:p>
        </w:tc>
        <w:tc>
          <w:tcPr>
            <w:tcW w:w="1208" w:type="dxa"/>
            <w:tcBorders>
              <w:top w:val="nil"/>
              <w:left w:val="single" w:sz="4" w:space="0" w:color="auto"/>
              <w:bottom w:val="nil"/>
              <w:right w:val="single" w:sz="4" w:space="0" w:color="auto"/>
            </w:tcBorders>
            <w:shd w:val="clear" w:color="auto" w:fill="auto"/>
            <w:vAlign w:val="center"/>
          </w:tcPr>
          <w:p w14:paraId="7A3FD9E9" w14:textId="77777777" w:rsidR="00C002D2" w:rsidRPr="000D67C6" w:rsidRDefault="00581400"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(280)</w:t>
            </w:r>
          </w:p>
        </w:tc>
      </w:tr>
      <w:tr w:rsidR="00C002D2" w:rsidRPr="000D67C6" w14:paraId="4D6F9F08" w14:textId="77777777" w:rsidTr="00B5072C">
        <w:trPr>
          <w:trHeight w:val="400"/>
          <w:jc w:val="center"/>
        </w:trPr>
        <w:tc>
          <w:tcPr>
            <w:tcW w:w="1204" w:type="dxa"/>
            <w:tcBorders>
              <w:top w:val="nil"/>
              <w:left w:val="single" w:sz="4" w:space="0" w:color="auto"/>
              <w:bottom w:val="nil"/>
              <w:right w:val="single" w:sz="4" w:space="0" w:color="auto"/>
            </w:tcBorders>
            <w:shd w:val="clear" w:color="auto" w:fill="auto"/>
            <w:vAlign w:val="center"/>
            <w:hideMark/>
          </w:tcPr>
          <w:p w14:paraId="1CF5AD09"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(729)</w:t>
            </w:r>
          </w:p>
        </w:tc>
        <w:tc>
          <w:tcPr>
            <w:tcW w:w="4671" w:type="dxa"/>
            <w:tcBorders>
              <w:top w:val="nil"/>
              <w:left w:val="single" w:sz="4" w:space="0" w:color="auto"/>
              <w:bottom w:val="nil"/>
              <w:right w:val="single" w:sz="4" w:space="0" w:color="auto"/>
            </w:tcBorders>
            <w:shd w:val="clear" w:color="auto" w:fill="auto"/>
            <w:vAlign w:val="center"/>
            <w:hideMark/>
          </w:tcPr>
          <w:p w14:paraId="17FBEDD7"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Other Short-Term Liabilities (Note 28)</w:t>
            </w:r>
          </w:p>
        </w:tc>
        <w:tc>
          <w:tcPr>
            <w:tcW w:w="1208" w:type="dxa"/>
            <w:tcBorders>
              <w:top w:val="nil"/>
              <w:left w:val="single" w:sz="4" w:space="0" w:color="auto"/>
              <w:bottom w:val="nil"/>
              <w:right w:val="single" w:sz="4" w:space="0" w:color="auto"/>
            </w:tcBorders>
            <w:shd w:val="clear" w:color="auto" w:fill="auto"/>
            <w:vAlign w:val="center"/>
          </w:tcPr>
          <w:p w14:paraId="36E01418" w14:textId="77777777" w:rsidR="00C002D2" w:rsidRPr="000D67C6" w:rsidRDefault="00581400"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(638)</w:t>
            </w:r>
          </w:p>
        </w:tc>
      </w:tr>
      <w:tr w:rsidR="00C002D2" w:rsidRPr="000D67C6" w14:paraId="2B13B895" w14:textId="77777777" w:rsidTr="00B5072C">
        <w:trPr>
          <w:trHeight w:val="456"/>
          <w:jc w:val="center"/>
        </w:trPr>
        <w:tc>
          <w:tcPr>
            <w:tcW w:w="120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E34C63B"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(7,302)</w:t>
            </w:r>
          </w:p>
        </w:tc>
        <w:tc>
          <w:tcPr>
            <w:tcW w:w="4671" w:type="dxa"/>
            <w:tcBorders>
              <w:top w:val="nil"/>
              <w:left w:val="single" w:sz="4" w:space="0" w:color="auto"/>
              <w:bottom w:val="nil"/>
              <w:right w:val="single" w:sz="4" w:space="0" w:color="auto"/>
            </w:tcBorders>
            <w:shd w:val="clear" w:color="auto" w:fill="auto"/>
            <w:vAlign w:val="center"/>
            <w:hideMark/>
          </w:tcPr>
          <w:p w14:paraId="59A5947B"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Current Liabilities</w:t>
            </w:r>
          </w:p>
        </w:tc>
        <w:tc>
          <w:tcPr>
            <w:tcW w:w="1208" w:type="dxa"/>
            <w:tcBorders>
              <w:top w:val="single" w:sz="8" w:space="0" w:color="auto"/>
              <w:left w:val="single" w:sz="4" w:space="0" w:color="auto"/>
              <w:bottom w:val="single" w:sz="8" w:space="0" w:color="auto"/>
              <w:right w:val="single" w:sz="4" w:space="0" w:color="auto"/>
            </w:tcBorders>
            <w:shd w:val="clear" w:color="auto" w:fill="auto"/>
            <w:vAlign w:val="center"/>
          </w:tcPr>
          <w:p w14:paraId="403E24BA" w14:textId="77777777" w:rsidR="00C002D2" w:rsidRPr="000D67C6" w:rsidRDefault="00581400"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(7,4</w:t>
            </w:r>
            <w:r w:rsidR="00B47100" w:rsidRPr="000D67C6">
              <w:rPr>
                <w:rFonts w:ascii="Arial" w:eastAsia="Times New Roman" w:hAnsi="Arial" w:cs="Arial"/>
                <w:b/>
                <w:bCs/>
                <w:sz w:val="20"/>
                <w:szCs w:val="20"/>
                <w:lang w:val="en-GB" w:eastAsia="en-GB"/>
              </w:rPr>
              <w:t>96</w:t>
            </w:r>
            <w:r w:rsidRPr="000D67C6">
              <w:rPr>
                <w:rFonts w:ascii="Arial" w:eastAsia="Times New Roman" w:hAnsi="Arial" w:cs="Arial"/>
                <w:b/>
                <w:bCs/>
                <w:sz w:val="20"/>
                <w:szCs w:val="20"/>
                <w:lang w:val="en-GB" w:eastAsia="en-GB"/>
              </w:rPr>
              <w:t>)</w:t>
            </w:r>
          </w:p>
        </w:tc>
      </w:tr>
      <w:tr w:rsidR="00C002D2" w:rsidRPr="000D67C6" w14:paraId="4A1A5FD7" w14:textId="77777777" w:rsidTr="00B5072C">
        <w:trPr>
          <w:trHeight w:val="418"/>
          <w:jc w:val="center"/>
        </w:trPr>
        <w:tc>
          <w:tcPr>
            <w:tcW w:w="1204" w:type="dxa"/>
            <w:tcBorders>
              <w:top w:val="nil"/>
              <w:left w:val="single" w:sz="4" w:space="0" w:color="auto"/>
              <w:bottom w:val="nil"/>
              <w:right w:val="single" w:sz="4" w:space="0" w:color="auto"/>
            </w:tcBorders>
            <w:shd w:val="clear" w:color="auto" w:fill="auto"/>
            <w:vAlign w:val="center"/>
            <w:hideMark/>
          </w:tcPr>
          <w:p w14:paraId="2E9CEAC5"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(16,059)</w:t>
            </w:r>
          </w:p>
        </w:tc>
        <w:tc>
          <w:tcPr>
            <w:tcW w:w="4671" w:type="dxa"/>
            <w:tcBorders>
              <w:top w:val="nil"/>
              <w:left w:val="single" w:sz="4" w:space="0" w:color="auto"/>
              <w:bottom w:val="nil"/>
              <w:right w:val="single" w:sz="4" w:space="0" w:color="auto"/>
            </w:tcBorders>
            <w:shd w:val="clear" w:color="auto" w:fill="auto"/>
            <w:vAlign w:val="center"/>
            <w:hideMark/>
          </w:tcPr>
          <w:p w14:paraId="54E75BB6"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Long Term Borrowing (Note 14)</w:t>
            </w:r>
          </w:p>
        </w:tc>
        <w:tc>
          <w:tcPr>
            <w:tcW w:w="1208" w:type="dxa"/>
            <w:tcBorders>
              <w:top w:val="nil"/>
              <w:left w:val="single" w:sz="4" w:space="0" w:color="auto"/>
              <w:bottom w:val="nil"/>
              <w:right w:val="single" w:sz="4" w:space="0" w:color="auto"/>
            </w:tcBorders>
            <w:shd w:val="clear" w:color="auto" w:fill="auto"/>
            <w:vAlign w:val="center"/>
          </w:tcPr>
          <w:p w14:paraId="4AB62E48" w14:textId="77777777" w:rsidR="00C002D2" w:rsidRPr="000D67C6" w:rsidRDefault="00581400"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(15,738)</w:t>
            </w:r>
          </w:p>
        </w:tc>
      </w:tr>
      <w:tr w:rsidR="00C002D2" w:rsidRPr="000D67C6" w14:paraId="6671DF88" w14:textId="77777777" w:rsidTr="00B5072C">
        <w:trPr>
          <w:trHeight w:val="430"/>
          <w:jc w:val="center"/>
        </w:trPr>
        <w:tc>
          <w:tcPr>
            <w:tcW w:w="1204" w:type="dxa"/>
            <w:tcBorders>
              <w:top w:val="nil"/>
              <w:left w:val="single" w:sz="4" w:space="0" w:color="auto"/>
              <w:bottom w:val="nil"/>
              <w:right w:val="single" w:sz="4" w:space="0" w:color="auto"/>
            </w:tcBorders>
            <w:shd w:val="clear" w:color="auto" w:fill="auto"/>
            <w:vAlign w:val="center"/>
            <w:hideMark/>
          </w:tcPr>
          <w:p w14:paraId="70DB9338"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(4,090)</w:t>
            </w:r>
          </w:p>
        </w:tc>
        <w:tc>
          <w:tcPr>
            <w:tcW w:w="4671" w:type="dxa"/>
            <w:tcBorders>
              <w:top w:val="nil"/>
              <w:left w:val="single" w:sz="4" w:space="0" w:color="auto"/>
              <w:bottom w:val="nil"/>
              <w:right w:val="single" w:sz="4" w:space="0" w:color="auto"/>
            </w:tcBorders>
            <w:shd w:val="clear" w:color="auto" w:fill="auto"/>
            <w:vAlign w:val="center"/>
            <w:hideMark/>
          </w:tcPr>
          <w:p w14:paraId="32ABBC90"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Other Long-Term Liabilities (Note 28)</w:t>
            </w:r>
          </w:p>
        </w:tc>
        <w:tc>
          <w:tcPr>
            <w:tcW w:w="1208" w:type="dxa"/>
            <w:tcBorders>
              <w:top w:val="nil"/>
              <w:left w:val="single" w:sz="4" w:space="0" w:color="auto"/>
              <w:bottom w:val="nil"/>
              <w:right w:val="single" w:sz="4" w:space="0" w:color="auto"/>
            </w:tcBorders>
            <w:shd w:val="clear" w:color="auto" w:fill="auto"/>
            <w:vAlign w:val="center"/>
          </w:tcPr>
          <w:p w14:paraId="016DA57A" w14:textId="77777777" w:rsidR="00C002D2" w:rsidRPr="000D67C6" w:rsidRDefault="003A0FC6"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(3,452)</w:t>
            </w:r>
          </w:p>
        </w:tc>
      </w:tr>
      <w:tr w:rsidR="00C002D2" w:rsidRPr="000D67C6" w14:paraId="0BFD1635" w14:textId="77777777" w:rsidTr="00B5072C">
        <w:trPr>
          <w:trHeight w:val="540"/>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399956AC"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(504,242)</w:t>
            </w:r>
          </w:p>
        </w:tc>
        <w:tc>
          <w:tcPr>
            <w:tcW w:w="4671" w:type="dxa"/>
            <w:tcBorders>
              <w:top w:val="nil"/>
              <w:left w:val="single" w:sz="4" w:space="0" w:color="auto"/>
              <w:bottom w:val="nil"/>
              <w:right w:val="single" w:sz="4" w:space="0" w:color="auto"/>
            </w:tcBorders>
            <w:shd w:val="clear" w:color="auto" w:fill="auto"/>
            <w:vAlign w:val="center"/>
            <w:hideMark/>
          </w:tcPr>
          <w:p w14:paraId="4A9EE9DD"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Liability related to defined benefit pension schemes (Note 30)</w:t>
            </w:r>
          </w:p>
        </w:tc>
        <w:tc>
          <w:tcPr>
            <w:tcW w:w="1208" w:type="dxa"/>
            <w:tcBorders>
              <w:top w:val="nil"/>
              <w:left w:val="single" w:sz="4" w:space="0" w:color="auto"/>
              <w:bottom w:val="single" w:sz="8" w:space="0" w:color="auto"/>
              <w:right w:val="single" w:sz="4" w:space="0" w:color="auto"/>
            </w:tcBorders>
            <w:shd w:val="clear" w:color="auto" w:fill="auto"/>
            <w:vAlign w:val="center"/>
          </w:tcPr>
          <w:p w14:paraId="4D7E93E8" w14:textId="19826F38" w:rsidR="00C002D2" w:rsidRPr="000D67C6" w:rsidRDefault="006928F3"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(5</w:t>
            </w:r>
            <w:r w:rsidR="00356E01" w:rsidRPr="000D67C6">
              <w:rPr>
                <w:rFonts w:ascii="Arial" w:eastAsia="Times New Roman" w:hAnsi="Arial" w:cs="Arial"/>
                <w:sz w:val="20"/>
                <w:szCs w:val="20"/>
                <w:lang w:val="en-GB" w:eastAsia="en-GB"/>
              </w:rPr>
              <w:t>3</w:t>
            </w:r>
            <w:r w:rsidR="00C572FF">
              <w:rPr>
                <w:rFonts w:ascii="Arial" w:eastAsia="Times New Roman" w:hAnsi="Arial" w:cs="Arial"/>
                <w:sz w:val="20"/>
                <w:szCs w:val="20"/>
                <w:lang w:val="en-GB" w:eastAsia="en-GB"/>
              </w:rPr>
              <w:t>9</w:t>
            </w:r>
            <w:r w:rsidR="00356E01" w:rsidRPr="000D67C6">
              <w:rPr>
                <w:rFonts w:ascii="Arial" w:eastAsia="Times New Roman" w:hAnsi="Arial" w:cs="Arial"/>
                <w:sz w:val="20"/>
                <w:szCs w:val="20"/>
                <w:lang w:val="en-GB" w:eastAsia="en-GB"/>
              </w:rPr>
              <w:t>,</w:t>
            </w:r>
            <w:r w:rsidR="00C572FF">
              <w:rPr>
                <w:rFonts w:ascii="Arial" w:eastAsia="Times New Roman" w:hAnsi="Arial" w:cs="Arial"/>
                <w:sz w:val="20"/>
                <w:szCs w:val="20"/>
                <w:lang w:val="en-GB" w:eastAsia="en-GB"/>
              </w:rPr>
              <w:t>6</w:t>
            </w:r>
            <w:r w:rsidR="00356E01" w:rsidRPr="000D67C6">
              <w:rPr>
                <w:rFonts w:ascii="Arial" w:eastAsia="Times New Roman" w:hAnsi="Arial" w:cs="Arial"/>
                <w:sz w:val="20"/>
                <w:szCs w:val="20"/>
                <w:lang w:val="en-GB" w:eastAsia="en-GB"/>
              </w:rPr>
              <w:t>65</w:t>
            </w:r>
            <w:r w:rsidR="005416BF" w:rsidRPr="000D67C6">
              <w:rPr>
                <w:rFonts w:ascii="Arial" w:eastAsia="Times New Roman" w:hAnsi="Arial" w:cs="Arial"/>
                <w:sz w:val="20"/>
                <w:szCs w:val="20"/>
                <w:lang w:val="en-GB" w:eastAsia="en-GB"/>
              </w:rPr>
              <w:t>)</w:t>
            </w:r>
          </w:p>
        </w:tc>
      </w:tr>
      <w:tr w:rsidR="00C002D2" w:rsidRPr="000D67C6" w14:paraId="3994C623" w14:textId="77777777" w:rsidTr="00B5072C">
        <w:trPr>
          <w:trHeight w:val="412"/>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0749AA73"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(524,391)</w:t>
            </w:r>
          </w:p>
        </w:tc>
        <w:tc>
          <w:tcPr>
            <w:tcW w:w="4671" w:type="dxa"/>
            <w:tcBorders>
              <w:top w:val="nil"/>
              <w:left w:val="single" w:sz="4" w:space="0" w:color="auto"/>
              <w:bottom w:val="nil"/>
              <w:right w:val="single" w:sz="4" w:space="0" w:color="auto"/>
            </w:tcBorders>
            <w:shd w:val="clear" w:color="auto" w:fill="auto"/>
            <w:vAlign w:val="center"/>
            <w:hideMark/>
          </w:tcPr>
          <w:p w14:paraId="301CC449"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Long Term Liabilities</w:t>
            </w:r>
          </w:p>
        </w:tc>
        <w:tc>
          <w:tcPr>
            <w:tcW w:w="1208" w:type="dxa"/>
            <w:tcBorders>
              <w:top w:val="nil"/>
              <w:left w:val="single" w:sz="4" w:space="0" w:color="auto"/>
              <w:bottom w:val="single" w:sz="8" w:space="0" w:color="auto"/>
              <w:right w:val="single" w:sz="4" w:space="0" w:color="auto"/>
            </w:tcBorders>
            <w:shd w:val="clear" w:color="auto" w:fill="auto"/>
            <w:vAlign w:val="center"/>
          </w:tcPr>
          <w:p w14:paraId="5AA2FB6F" w14:textId="6C2BE319" w:rsidR="00C002D2" w:rsidRPr="000D67C6" w:rsidRDefault="009067D4"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(5</w:t>
            </w:r>
            <w:r w:rsidR="0094462D" w:rsidRPr="000D67C6">
              <w:rPr>
                <w:rFonts w:ascii="Arial" w:eastAsia="Times New Roman" w:hAnsi="Arial" w:cs="Arial"/>
                <w:b/>
                <w:bCs/>
                <w:sz w:val="20"/>
                <w:szCs w:val="20"/>
                <w:lang w:val="en-GB" w:eastAsia="en-GB"/>
              </w:rPr>
              <w:t>5</w:t>
            </w:r>
            <w:r w:rsidR="007B623D">
              <w:rPr>
                <w:rFonts w:ascii="Arial" w:eastAsia="Times New Roman" w:hAnsi="Arial" w:cs="Arial"/>
                <w:b/>
                <w:bCs/>
                <w:sz w:val="20"/>
                <w:szCs w:val="20"/>
                <w:lang w:val="en-GB" w:eastAsia="en-GB"/>
              </w:rPr>
              <w:t>8</w:t>
            </w:r>
            <w:r w:rsidR="0094462D" w:rsidRPr="000D67C6">
              <w:rPr>
                <w:rFonts w:ascii="Arial" w:eastAsia="Times New Roman" w:hAnsi="Arial" w:cs="Arial"/>
                <w:b/>
                <w:bCs/>
                <w:sz w:val="20"/>
                <w:szCs w:val="20"/>
                <w:lang w:val="en-GB" w:eastAsia="en-GB"/>
              </w:rPr>
              <w:t>,</w:t>
            </w:r>
            <w:r w:rsidR="000B0CFF">
              <w:rPr>
                <w:rFonts w:ascii="Arial" w:eastAsia="Times New Roman" w:hAnsi="Arial" w:cs="Arial"/>
                <w:b/>
                <w:bCs/>
                <w:sz w:val="20"/>
                <w:szCs w:val="20"/>
                <w:lang w:val="en-GB" w:eastAsia="en-GB"/>
              </w:rPr>
              <w:t>8</w:t>
            </w:r>
            <w:r w:rsidR="0094462D" w:rsidRPr="000D67C6">
              <w:rPr>
                <w:rFonts w:ascii="Arial" w:eastAsia="Times New Roman" w:hAnsi="Arial" w:cs="Arial"/>
                <w:b/>
                <w:bCs/>
                <w:sz w:val="20"/>
                <w:szCs w:val="20"/>
                <w:lang w:val="en-GB" w:eastAsia="en-GB"/>
              </w:rPr>
              <w:t>55</w:t>
            </w:r>
            <w:r w:rsidRPr="000D67C6">
              <w:rPr>
                <w:rFonts w:ascii="Arial" w:eastAsia="Times New Roman" w:hAnsi="Arial" w:cs="Arial"/>
                <w:b/>
                <w:bCs/>
                <w:sz w:val="20"/>
                <w:szCs w:val="20"/>
                <w:lang w:val="en-GB" w:eastAsia="en-GB"/>
              </w:rPr>
              <w:t>)</w:t>
            </w:r>
          </w:p>
        </w:tc>
      </w:tr>
      <w:tr w:rsidR="00C002D2" w:rsidRPr="000D67C6" w14:paraId="3000CED4" w14:textId="77777777" w:rsidTr="00B5072C">
        <w:trPr>
          <w:trHeight w:val="404"/>
          <w:jc w:val="center"/>
        </w:trPr>
        <w:tc>
          <w:tcPr>
            <w:tcW w:w="1204" w:type="dxa"/>
            <w:tcBorders>
              <w:top w:val="nil"/>
              <w:left w:val="single" w:sz="4" w:space="0" w:color="auto"/>
              <w:bottom w:val="single" w:sz="12" w:space="0" w:color="auto"/>
              <w:right w:val="single" w:sz="4" w:space="0" w:color="auto"/>
            </w:tcBorders>
            <w:shd w:val="clear" w:color="auto" w:fill="auto"/>
            <w:vAlign w:val="center"/>
            <w:hideMark/>
          </w:tcPr>
          <w:p w14:paraId="1B820D60"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(460,281)</w:t>
            </w:r>
          </w:p>
        </w:tc>
        <w:tc>
          <w:tcPr>
            <w:tcW w:w="4671" w:type="dxa"/>
            <w:tcBorders>
              <w:top w:val="nil"/>
              <w:left w:val="single" w:sz="4" w:space="0" w:color="auto"/>
              <w:bottom w:val="nil"/>
              <w:right w:val="single" w:sz="4" w:space="0" w:color="auto"/>
            </w:tcBorders>
            <w:shd w:val="clear" w:color="auto" w:fill="auto"/>
            <w:vAlign w:val="center"/>
            <w:hideMark/>
          </w:tcPr>
          <w:p w14:paraId="6747DB7D"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Net Liabilities</w:t>
            </w:r>
          </w:p>
        </w:tc>
        <w:tc>
          <w:tcPr>
            <w:tcW w:w="1208" w:type="dxa"/>
            <w:tcBorders>
              <w:top w:val="nil"/>
              <w:left w:val="single" w:sz="4" w:space="0" w:color="auto"/>
              <w:bottom w:val="single" w:sz="12" w:space="0" w:color="auto"/>
              <w:right w:val="single" w:sz="4" w:space="0" w:color="auto"/>
            </w:tcBorders>
            <w:shd w:val="clear" w:color="auto" w:fill="auto"/>
            <w:vAlign w:val="center"/>
          </w:tcPr>
          <w:p w14:paraId="4ABC2C6B" w14:textId="0CD852FE" w:rsidR="00C002D2" w:rsidRPr="000D67C6" w:rsidRDefault="009067D4"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w:t>
            </w:r>
            <w:r w:rsidR="0094462D" w:rsidRPr="000D67C6">
              <w:rPr>
                <w:rFonts w:ascii="Arial" w:eastAsia="Times New Roman" w:hAnsi="Arial" w:cs="Arial"/>
                <w:b/>
                <w:bCs/>
                <w:sz w:val="20"/>
                <w:szCs w:val="20"/>
                <w:lang w:val="en-GB" w:eastAsia="en-GB"/>
              </w:rPr>
              <w:t>9</w:t>
            </w:r>
            <w:r w:rsidR="0058702F">
              <w:rPr>
                <w:rFonts w:ascii="Arial" w:eastAsia="Times New Roman" w:hAnsi="Arial" w:cs="Arial"/>
                <w:b/>
                <w:bCs/>
                <w:sz w:val="20"/>
                <w:szCs w:val="20"/>
                <w:lang w:val="en-GB" w:eastAsia="en-GB"/>
              </w:rPr>
              <w:t>5</w:t>
            </w:r>
            <w:r w:rsidR="0094462D" w:rsidRPr="000D67C6">
              <w:rPr>
                <w:rFonts w:ascii="Arial" w:eastAsia="Times New Roman" w:hAnsi="Arial" w:cs="Arial"/>
                <w:b/>
                <w:bCs/>
                <w:sz w:val="20"/>
                <w:szCs w:val="20"/>
                <w:lang w:val="en-GB" w:eastAsia="en-GB"/>
              </w:rPr>
              <w:t>,</w:t>
            </w:r>
            <w:r w:rsidR="0058702F">
              <w:rPr>
                <w:rFonts w:ascii="Arial" w:eastAsia="Times New Roman" w:hAnsi="Arial" w:cs="Arial"/>
                <w:b/>
                <w:bCs/>
                <w:sz w:val="20"/>
                <w:szCs w:val="20"/>
                <w:lang w:val="en-GB" w:eastAsia="en-GB"/>
              </w:rPr>
              <w:t>4</w:t>
            </w:r>
            <w:r w:rsidR="0094462D" w:rsidRPr="000D67C6">
              <w:rPr>
                <w:rFonts w:ascii="Arial" w:eastAsia="Times New Roman" w:hAnsi="Arial" w:cs="Arial"/>
                <w:b/>
                <w:bCs/>
                <w:sz w:val="20"/>
                <w:szCs w:val="20"/>
                <w:lang w:val="en-GB" w:eastAsia="en-GB"/>
              </w:rPr>
              <w:t>67</w:t>
            </w:r>
            <w:r w:rsidRPr="000D67C6">
              <w:rPr>
                <w:rFonts w:ascii="Arial" w:eastAsia="Times New Roman" w:hAnsi="Arial" w:cs="Arial"/>
                <w:b/>
                <w:bCs/>
                <w:sz w:val="20"/>
                <w:szCs w:val="20"/>
                <w:lang w:val="en-GB" w:eastAsia="en-GB"/>
              </w:rPr>
              <w:t>)</w:t>
            </w:r>
          </w:p>
        </w:tc>
      </w:tr>
      <w:tr w:rsidR="00C002D2" w:rsidRPr="000D67C6" w14:paraId="6F33010E" w14:textId="77777777" w:rsidTr="00B5072C">
        <w:trPr>
          <w:trHeight w:val="375"/>
          <w:jc w:val="center"/>
        </w:trPr>
        <w:tc>
          <w:tcPr>
            <w:tcW w:w="1204" w:type="dxa"/>
            <w:tcBorders>
              <w:top w:val="nil"/>
              <w:left w:val="single" w:sz="4" w:space="0" w:color="auto"/>
              <w:bottom w:val="nil"/>
              <w:right w:val="single" w:sz="4" w:space="0" w:color="auto"/>
            </w:tcBorders>
            <w:shd w:val="clear" w:color="auto" w:fill="auto"/>
            <w:vAlign w:val="center"/>
            <w:hideMark/>
          </w:tcPr>
          <w:p w14:paraId="2A0B5935"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(8,035)</w:t>
            </w:r>
          </w:p>
        </w:tc>
        <w:tc>
          <w:tcPr>
            <w:tcW w:w="4671" w:type="dxa"/>
            <w:tcBorders>
              <w:top w:val="nil"/>
              <w:left w:val="single" w:sz="4" w:space="0" w:color="auto"/>
              <w:bottom w:val="nil"/>
              <w:right w:val="single" w:sz="4" w:space="0" w:color="auto"/>
            </w:tcBorders>
            <w:shd w:val="clear" w:color="auto" w:fill="auto"/>
            <w:vAlign w:val="center"/>
            <w:hideMark/>
          </w:tcPr>
          <w:p w14:paraId="106A16F4"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Usable Reserves (Note 9)</w:t>
            </w:r>
          </w:p>
        </w:tc>
        <w:tc>
          <w:tcPr>
            <w:tcW w:w="1208" w:type="dxa"/>
            <w:tcBorders>
              <w:top w:val="nil"/>
              <w:left w:val="single" w:sz="4" w:space="0" w:color="auto"/>
              <w:bottom w:val="nil"/>
              <w:right w:val="single" w:sz="4" w:space="0" w:color="auto"/>
            </w:tcBorders>
            <w:shd w:val="clear" w:color="auto" w:fill="auto"/>
            <w:vAlign w:val="center"/>
          </w:tcPr>
          <w:p w14:paraId="50FF5A2B" w14:textId="77777777" w:rsidR="00C002D2" w:rsidRPr="000D67C6" w:rsidRDefault="009067D4"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(8,6</w:t>
            </w:r>
            <w:r w:rsidR="00FC370C" w:rsidRPr="000D67C6">
              <w:rPr>
                <w:rFonts w:ascii="Arial" w:eastAsia="Times New Roman" w:hAnsi="Arial" w:cs="Arial"/>
                <w:sz w:val="20"/>
                <w:szCs w:val="20"/>
                <w:lang w:val="en-GB" w:eastAsia="en-GB"/>
              </w:rPr>
              <w:t>05</w:t>
            </w:r>
            <w:r w:rsidRPr="000D67C6">
              <w:rPr>
                <w:rFonts w:ascii="Arial" w:eastAsia="Times New Roman" w:hAnsi="Arial" w:cs="Arial"/>
                <w:sz w:val="20"/>
                <w:szCs w:val="20"/>
                <w:lang w:val="en-GB" w:eastAsia="en-GB"/>
              </w:rPr>
              <w:t>)</w:t>
            </w:r>
          </w:p>
        </w:tc>
      </w:tr>
      <w:tr w:rsidR="00C002D2" w:rsidRPr="000D67C6" w14:paraId="0164EB88" w14:textId="77777777" w:rsidTr="00B5072C">
        <w:trPr>
          <w:trHeight w:val="386"/>
          <w:jc w:val="center"/>
        </w:trPr>
        <w:tc>
          <w:tcPr>
            <w:tcW w:w="1204" w:type="dxa"/>
            <w:tcBorders>
              <w:top w:val="nil"/>
              <w:left w:val="single" w:sz="4" w:space="0" w:color="auto"/>
              <w:bottom w:val="single" w:sz="8" w:space="0" w:color="auto"/>
              <w:right w:val="single" w:sz="4" w:space="0" w:color="auto"/>
            </w:tcBorders>
            <w:shd w:val="clear" w:color="auto" w:fill="auto"/>
            <w:vAlign w:val="center"/>
            <w:hideMark/>
          </w:tcPr>
          <w:p w14:paraId="12BC6356" w14:textId="77777777" w:rsidR="00C002D2" w:rsidRPr="000D67C6" w:rsidRDefault="00C002D2"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468,316</w:t>
            </w:r>
          </w:p>
        </w:tc>
        <w:tc>
          <w:tcPr>
            <w:tcW w:w="4671" w:type="dxa"/>
            <w:tcBorders>
              <w:top w:val="nil"/>
              <w:left w:val="single" w:sz="4" w:space="0" w:color="auto"/>
              <w:bottom w:val="nil"/>
              <w:right w:val="single" w:sz="4" w:space="0" w:color="auto"/>
            </w:tcBorders>
            <w:shd w:val="clear" w:color="auto" w:fill="auto"/>
            <w:vAlign w:val="center"/>
            <w:hideMark/>
          </w:tcPr>
          <w:p w14:paraId="603B876C" w14:textId="77777777" w:rsidR="00C002D2" w:rsidRPr="000D67C6" w:rsidRDefault="00C002D2" w:rsidP="00C002D2">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Unusable Reserves (Note 18)</w:t>
            </w:r>
          </w:p>
        </w:tc>
        <w:tc>
          <w:tcPr>
            <w:tcW w:w="1208" w:type="dxa"/>
            <w:tcBorders>
              <w:top w:val="nil"/>
              <w:left w:val="single" w:sz="4" w:space="0" w:color="auto"/>
              <w:bottom w:val="single" w:sz="8" w:space="0" w:color="auto"/>
              <w:right w:val="single" w:sz="4" w:space="0" w:color="auto"/>
            </w:tcBorders>
            <w:shd w:val="clear" w:color="auto" w:fill="auto"/>
            <w:vAlign w:val="center"/>
          </w:tcPr>
          <w:p w14:paraId="66C72860" w14:textId="0409BC05" w:rsidR="00C002D2" w:rsidRPr="000D67C6" w:rsidRDefault="00CF0933" w:rsidP="00C002D2">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50</w:t>
            </w:r>
            <w:r w:rsidR="002B12A0">
              <w:rPr>
                <w:rFonts w:ascii="Arial" w:eastAsia="Times New Roman" w:hAnsi="Arial" w:cs="Arial"/>
                <w:sz w:val="20"/>
                <w:szCs w:val="20"/>
                <w:lang w:val="en-GB" w:eastAsia="en-GB"/>
              </w:rPr>
              <w:t>4</w:t>
            </w:r>
            <w:r w:rsidRPr="000D67C6">
              <w:rPr>
                <w:rFonts w:ascii="Arial" w:eastAsia="Times New Roman" w:hAnsi="Arial" w:cs="Arial"/>
                <w:sz w:val="20"/>
                <w:szCs w:val="20"/>
                <w:lang w:val="en-GB" w:eastAsia="en-GB"/>
              </w:rPr>
              <w:t>,</w:t>
            </w:r>
            <w:r w:rsidR="002B12A0">
              <w:rPr>
                <w:rFonts w:ascii="Arial" w:eastAsia="Times New Roman" w:hAnsi="Arial" w:cs="Arial"/>
                <w:sz w:val="20"/>
                <w:szCs w:val="20"/>
                <w:lang w:val="en-GB" w:eastAsia="en-GB"/>
              </w:rPr>
              <w:t>0</w:t>
            </w:r>
            <w:r w:rsidRPr="000D67C6">
              <w:rPr>
                <w:rFonts w:ascii="Arial" w:eastAsia="Times New Roman" w:hAnsi="Arial" w:cs="Arial"/>
                <w:sz w:val="20"/>
                <w:szCs w:val="20"/>
                <w:lang w:val="en-GB" w:eastAsia="en-GB"/>
              </w:rPr>
              <w:t>72</w:t>
            </w:r>
          </w:p>
        </w:tc>
      </w:tr>
      <w:tr w:rsidR="00C002D2" w:rsidRPr="000D67C6" w14:paraId="544B8E5A" w14:textId="77777777" w:rsidTr="00B5072C">
        <w:trPr>
          <w:trHeight w:val="38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17AC6F2A" w14:textId="77777777" w:rsidR="00C002D2" w:rsidRPr="000D67C6" w:rsidRDefault="00C002D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460,281</w:t>
            </w:r>
          </w:p>
        </w:tc>
        <w:tc>
          <w:tcPr>
            <w:tcW w:w="4671" w:type="dxa"/>
            <w:tcBorders>
              <w:top w:val="nil"/>
              <w:left w:val="single" w:sz="4" w:space="0" w:color="auto"/>
              <w:bottom w:val="single" w:sz="4" w:space="0" w:color="auto"/>
              <w:right w:val="single" w:sz="4" w:space="0" w:color="auto"/>
            </w:tcBorders>
            <w:shd w:val="clear" w:color="auto" w:fill="auto"/>
            <w:vAlign w:val="center"/>
            <w:hideMark/>
          </w:tcPr>
          <w:p w14:paraId="4D315EEC" w14:textId="77777777" w:rsidR="00C002D2" w:rsidRPr="000D67C6" w:rsidRDefault="00C002D2" w:rsidP="00C002D2">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Reserves</w:t>
            </w:r>
          </w:p>
        </w:tc>
        <w:tc>
          <w:tcPr>
            <w:tcW w:w="1208" w:type="dxa"/>
            <w:tcBorders>
              <w:top w:val="nil"/>
              <w:left w:val="single" w:sz="4" w:space="0" w:color="auto"/>
              <w:bottom w:val="single" w:sz="4" w:space="0" w:color="auto"/>
              <w:right w:val="single" w:sz="4" w:space="0" w:color="auto"/>
            </w:tcBorders>
            <w:shd w:val="clear" w:color="auto" w:fill="auto"/>
            <w:vAlign w:val="center"/>
          </w:tcPr>
          <w:p w14:paraId="7A135FB5" w14:textId="0252799B" w:rsidR="00C002D2" w:rsidRPr="000D67C6" w:rsidRDefault="00044F32" w:rsidP="00C002D2">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4</w:t>
            </w:r>
            <w:r w:rsidR="00CF0933" w:rsidRPr="000D67C6">
              <w:rPr>
                <w:rFonts w:ascii="Arial" w:eastAsia="Times New Roman" w:hAnsi="Arial" w:cs="Arial"/>
                <w:b/>
                <w:bCs/>
                <w:sz w:val="20"/>
                <w:szCs w:val="20"/>
                <w:lang w:val="en-GB" w:eastAsia="en-GB"/>
              </w:rPr>
              <w:t>9</w:t>
            </w:r>
            <w:r w:rsidR="00D97F86">
              <w:rPr>
                <w:rFonts w:ascii="Arial" w:eastAsia="Times New Roman" w:hAnsi="Arial" w:cs="Arial"/>
                <w:b/>
                <w:bCs/>
                <w:sz w:val="20"/>
                <w:szCs w:val="20"/>
                <w:lang w:val="en-GB" w:eastAsia="en-GB"/>
              </w:rPr>
              <w:t>5</w:t>
            </w:r>
            <w:r w:rsidR="00CF0933" w:rsidRPr="000D67C6">
              <w:rPr>
                <w:rFonts w:ascii="Arial" w:eastAsia="Times New Roman" w:hAnsi="Arial" w:cs="Arial"/>
                <w:b/>
                <w:bCs/>
                <w:sz w:val="20"/>
                <w:szCs w:val="20"/>
                <w:lang w:val="en-GB" w:eastAsia="en-GB"/>
              </w:rPr>
              <w:t>,</w:t>
            </w:r>
            <w:r w:rsidR="00D97F86">
              <w:rPr>
                <w:rFonts w:ascii="Arial" w:eastAsia="Times New Roman" w:hAnsi="Arial" w:cs="Arial"/>
                <w:b/>
                <w:bCs/>
                <w:sz w:val="20"/>
                <w:szCs w:val="20"/>
                <w:lang w:val="en-GB" w:eastAsia="en-GB"/>
              </w:rPr>
              <w:t>4</w:t>
            </w:r>
            <w:r w:rsidR="00CF0933" w:rsidRPr="000D67C6">
              <w:rPr>
                <w:rFonts w:ascii="Arial" w:eastAsia="Times New Roman" w:hAnsi="Arial" w:cs="Arial"/>
                <w:b/>
                <w:bCs/>
                <w:sz w:val="20"/>
                <w:szCs w:val="20"/>
                <w:lang w:val="en-GB" w:eastAsia="en-GB"/>
              </w:rPr>
              <w:t>67</w:t>
            </w:r>
          </w:p>
        </w:tc>
      </w:tr>
    </w:tbl>
    <w:p w14:paraId="71A0E63D" w14:textId="77777777" w:rsidR="00763722" w:rsidRPr="000D67C6" w:rsidRDefault="00763722">
      <w:pPr>
        <w:rPr>
          <w:rFonts w:ascii="Arial" w:eastAsiaTheme="majorEastAsia" w:hAnsi="Arial" w:cs="Arial"/>
          <w:b/>
          <w:sz w:val="28"/>
          <w:szCs w:val="32"/>
          <w:lang w:val="pt-BR"/>
        </w:rPr>
      </w:pPr>
      <w:r w:rsidRPr="000D67C6">
        <w:rPr>
          <w:rFonts w:ascii="Arial" w:hAnsi="Arial" w:cs="Arial"/>
          <w:sz w:val="28"/>
          <w:lang w:val="pt-BR"/>
        </w:rPr>
        <w:br w:type="page"/>
      </w:r>
    </w:p>
    <w:p w14:paraId="44ADA04E" w14:textId="77777777" w:rsidR="008F013B" w:rsidRPr="000D67C6" w:rsidRDefault="008F013B" w:rsidP="00E63A59">
      <w:pPr>
        <w:pStyle w:val="Heading1"/>
        <w:spacing w:before="0" w:line="259" w:lineRule="auto"/>
        <w:rPr>
          <w:rFonts w:ascii="Arial" w:eastAsia="Calibri" w:hAnsi="Arial" w:cs="Arial"/>
          <w:sz w:val="22"/>
          <w:szCs w:val="22"/>
          <w:lang w:val="pt-BR"/>
        </w:rPr>
      </w:pPr>
      <w:r w:rsidRPr="000D67C6">
        <w:rPr>
          <w:rFonts w:ascii="Arial" w:hAnsi="Arial" w:cs="Arial"/>
          <w:sz w:val="28"/>
          <w:lang w:val="pt-BR"/>
        </w:rPr>
        <w:t>Cash Flow Statement</w:t>
      </w:r>
    </w:p>
    <w:tbl>
      <w:tblPr>
        <w:tblW w:w="0" w:type="auto"/>
        <w:jc w:val="center"/>
        <w:tblLayout w:type="fixed"/>
        <w:tblLook w:val="04A0" w:firstRow="1" w:lastRow="0" w:firstColumn="1" w:lastColumn="0" w:noHBand="0" w:noVBand="1"/>
      </w:tblPr>
      <w:tblGrid>
        <w:gridCol w:w="1134"/>
        <w:gridCol w:w="270"/>
        <w:gridCol w:w="4975"/>
        <w:gridCol w:w="1190"/>
      </w:tblGrid>
      <w:tr w:rsidR="00464E99" w:rsidRPr="000D67C6" w14:paraId="7A49AF6A" w14:textId="77777777" w:rsidTr="007533B9">
        <w:trPr>
          <w:trHeight w:val="300"/>
          <w:jc w:val="center"/>
        </w:trPr>
        <w:tc>
          <w:tcPr>
            <w:tcW w:w="1134" w:type="dxa"/>
            <w:shd w:val="clear" w:color="auto" w:fill="auto"/>
            <w:tcMar>
              <w:top w:w="20" w:type="dxa"/>
              <w:left w:w="20" w:type="dxa"/>
              <w:bottom w:w="20" w:type="dxa"/>
              <w:right w:w="20" w:type="dxa"/>
            </w:tcMar>
            <w:vAlign w:val="bottom"/>
          </w:tcPr>
          <w:p w14:paraId="53EBAAC6" w14:textId="77777777" w:rsidR="004E07F7" w:rsidRPr="000D67C6" w:rsidRDefault="004E07F7" w:rsidP="007F1AF8">
            <w:pPr>
              <w:pStyle w:val="T1TableStyle"/>
              <w:jc w:val="right"/>
              <w:rPr>
                <w:rFonts w:ascii="Arial" w:eastAsia="Verdana" w:hAnsi="Arial" w:cs="Arial"/>
                <w:b/>
                <w:sz w:val="20"/>
                <w:szCs w:val="20"/>
                <w:lang w:val="en-GB"/>
              </w:rPr>
            </w:pPr>
          </w:p>
          <w:p w14:paraId="130350FD" w14:textId="77777777" w:rsidR="00464E99" w:rsidRPr="000D67C6" w:rsidRDefault="007533B9" w:rsidP="007F1AF8">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201</w:t>
            </w:r>
            <w:r w:rsidR="00C002D2" w:rsidRPr="000D67C6">
              <w:rPr>
                <w:rFonts w:ascii="Arial" w:eastAsia="Verdana" w:hAnsi="Arial" w:cs="Arial"/>
                <w:b/>
                <w:sz w:val="20"/>
                <w:szCs w:val="20"/>
                <w:lang w:val="en-GB"/>
              </w:rPr>
              <w:t>7</w:t>
            </w:r>
            <w:r w:rsidRPr="000D67C6">
              <w:rPr>
                <w:rFonts w:ascii="Arial" w:eastAsia="Verdana" w:hAnsi="Arial" w:cs="Arial"/>
                <w:b/>
                <w:sz w:val="20"/>
                <w:szCs w:val="20"/>
                <w:lang w:val="en-GB"/>
              </w:rPr>
              <w:t>/</w:t>
            </w:r>
            <w:r w:rsidR="00C002D2" w:rsidRPr="000D67C6">
              <w:rPr>
                <w:rFonts w:ascii="Arial" w:eastAsia="Verdana" w:hAnsi="Arial" w:cs="Arial"/>
                <w:b/>
                <w:sz w:val="20"/>
                <w:szCs w:val="20"/>
                <w:lang w:val="en-GB"/>
              </w:rPr>
              <w:t>18</w:t>
            </w:r>
          </w:p>
        </w:tc>
        <w:tc>
          <w:tcPr>
            <w:tcW w:w="270" w:type="dxa"/>
            <w:shd w:val="clear" w:color="auto" w:fill="auto"/>
            <w:tcMar>
              <w:top w:w="20" w:type="dxa"/>
              <w:left w:w="20" w:type="dxa"/>
              <w:bottom w:w="20" w:type="dxa"/>
              <w:right w:w="20" w:type="dxa"/>
            </w:tcMar>
            <w:vAlign w:val="center"/>
          </w:tcPr>
          <w:p w14:paraId="0146B256" w14:textId="77777777" w:rsidR="00464E99" w:rsidRPr="000D67C6" w:rsidRDefault="008F013B" w:rsidP="007F1AF8">
            <w:pPr>
              <w:pStyle w:val="T1TableStyle"/>
              <w:jc w:val="right"/>
              <w:rPr>
                <w:rFonts w:ascii="Arial" w:eastAsia="Calibri" w:hAnsi="Arial" w:cs="Arial"/>
                <w:color w:val="000000"/>
                <w:sz w:val="20"/>
                <w:szCs w:val="20"/>
                <w:lang w:val="en-GB"/>
              </w:rPr>
            </w:pPr>
            <w:r w:rsidRPr="000D67C6">
              <w:rPr>
                <w:rFonts w:ascii="Arial" w:eastAsia="Calibri" w:hAnsi="Arial" w:cs="Arial"/>
                <w:color w:val="000000"/>
                <w:sz w:val="20"/>
                <w:szCs w:val="20"/>
                <w:lang w:val="en-GB"/>
              </w:rPr>
              <w:t xml:space="preserve"> </w:t>
            </w:r>
          </w:p>
        </w:tc>
        <w:tc>
          <w:tcPr>
            <w:tcW w:w="4975" w:type="dxa"/>
            <w:shd w:val="clear" w:color="auto" w:fill="auto"/>
            <w:tcMar>
              <w:top w:w="20" w:type="dxa"/>
              <w:left w:w="20" w:type="dxa"/>
              <w:bottom w:w="20" w:type="dxa"/>
              <w:right w:w="20" w:type="dxa"/>
            </w:tcMar>
            <w:vAlign w:val="center"/>
          </w:tcPr>
          <w:p w14:paraId="1034381B" w14:textId="77777777" w:rsidR="00464E99" w:rsidRPr="000D67C6" w:rsidRDefault="008F013B" w:rsidP="007F1AF8">
            <w:pPr>
              <w:pStyle w:val="T1TableStyle"/>
              <w:jc w:val="right"/>
              <w:rPr>
                <w:rFonts w:ascii="Arial" w:eastAsia="Calibri" w:hAnsi="Arial" w:cs="Arial"/>
                <w:color w:val="000000"/>
                <w:sz w:val="20"/>
                <w:szCs w:val="20"/>
                <w:lang w:val="en-GB"/>
              </w:rPr>
            </w:pPr>
            <w:r w:rsidRPr="000D67C6">
              <w:rPr>
                <w:rFonts w:ascii="Arial" w:eastAsia="Calibri" w:hAnsi="Arial" w:cs="Arial"/>
                <w:color w:val="000000"/>
                <w:sz w:val="20"/>
                <w:szCs w:val="20"/>
                <w:lang w:val="en-GB"/>
              </w:rPr>
              <w:t xml:space="preserve"> </w:t>
            </w:r>
          </w:p>
        </w:tc>
        <w:tc>
          <w:tcPr>
            <w:tcW w:w="1190" w:type="dxa"/>
            <w:shd w:val="clear" w:color="auto" w:fill="auto"/>
            <w:tcMar>
              <w:top w:w="20" w:type="dxa"/>
              <w:left w:w="20" w:type="dxa"/>
              <w:bottom w:w="20" w:type="dxa"/>
              <w:right w:w="20" w:type="dxa"/>
            </w:tcMar>
            <w:vAlign w:val="bottom"/>
          </w:tcPr>
          <w:p w14:paraId="3E591364" w14:textId="77777777" w:rsidR="00464E99" w:rsidRPr="000D67C6" w:rsidRDefault="007533B9" w:rsidP="007F1AF8">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201</w:t>
            </w:r>
            <w:r w:rsidR="00C002D2" w:rsidRPr="000D67C6">
              <w:rPr>
                <w:rFonts w:ascii="Arial" w:eastAsia="Verdana" w:hAnsi="Arial" w:cs="Arial"/>
                <w:b/>
                <w:sz w:val="20"/>
                <w:szCs w:val="20"/>
                <w:lang w:val="en-GB"/>
              </w:rPr>
              <w:t>8</w:t>
            </w:r>
            <w:r w:rsidRPr="000D67C6">
              <w:rPr>
                <w:rFonts w:ascii="Arial" w:eastAsia="Verdana" w:hAnsi="Arial" w:cs="Arial"/>
                <w:b/>
                <w:sz w:val="20"/>
                <w:szCs w:val="20"/>
                <w:lang w:val="en-GB"/>
              </w:rPr>
              <w:t>/1</w:t>
            </w:r>
            <w:r w:rsidR="00C002D2" w:rsidRPr="000D67C6">
              <w:rPr>
                <w:rFonts w:ascii="Arial" w:eastAsia="Verdana" w:hAnsi="Arial" w:cs="Arial"/>
                <w:b/>
                <w:sz w:val="20"/>
                <w:szCs w:val="20"/>
                <w:lang w:val="en-GB"/>
              </w:rPr>
              <w:t>9</w:t>
            </w:r>
          </w:p>
        </w:tc>
      </w:tr>
      <w:tr w:rsidR="00464E99" w:rsidRPr="000D67C6" w14:paraId="3E6EB2D6" w14:textId="77777777" w:rsidTr="007533B9">
        <w:trPr>
          <w:trHeight w:val="117"/>
          <w:jc w:val="center"/>
        </w:trPr>
        <w:tc>
          <w:tcPr>
            <w:tcW w:w="1134" w:type="dxa"/>
            <w:tcBorders>
              <w:bottom w:val="single" w:sz="2" w:space="0" w:color="000000"/>
            </w:tcBorders>
            <w:shd w:val="clear" w:color="auto" w:fill="auto"/>
            <w:tcMar>
              <w:top w:w="20" w:type="dxa"/>
              <w:left w:w="20" w:type="dxa"/>
              <w:bottom w:w="20" w:type="dxa"/>
              <w:right w:w="20" w:type="dxa"/>
            </w:tcMar>
            <w:vAlign w:val="bottom"/>
          </w:tcPr>
          <w:p w14:paraId="77DB73FC" w14:textId="77777777" w:rsidR="00464E99" w:rsidRPr="000D67C6" w:rsidRDefault="008F013B"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270" w:type="dxa"/>
            <w:tcBorders>
              <w:bottom w:val="single" w:sz="2" w:space="0" w:color="000000"/>
            </w:tcBorders>
            <w:shd w:val="clear" w:color="auto" w:fill="auto"/>
            <w:tcMar>
              <w:top w:w="20" w:type="dxa"/>
              <w:left w:w="20" w:type="dxa"/>
              <w:bottom w:w="20" w:type="dxa"/>
              <w:right w:w="20" w:type="dxa"/>
            </w:tcMar>
            <w:vAlign w:val="bottom"/>
          </w:tcPr>
          <w:p w14:paraId="38FD7BC4" w14:textId="77777777" w:rsidR="00464E99" w:rsidRPr="000D67C6" w:rsidRDefault="008F013B"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4975" w:type="dxa"/>
            <w:tcBorders>
              <w:bottom w:val="single" w:sz="2" w:space="0" w:color="000000"/>
            </w:tcBorders>
            <w:shd w:val="clear" w:color="auto" w:fill="auto"/>
            <w:tcMar>
              <w:top w:w="20" w:type="dxa"/>
              <w:left w:w="20" w:type="dxa"/>
              <w:bottom w:w="20" w:type="dxa"/>
              <w:right w:w="20" w:type="dxa"/>
            </w:tcMar>
            <w:vAlign w:val="bottom"/>
          </w:tcPr>
          <w:p w14:paraId="6F81D35C" w14:textId="77777777" w:rsidR="00464E99" w:rsidRPr="000D67C6" w:rsidRDefault="008F013B"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190" w:type="dxa"/>
            <w:tcBorders>
              <w:bottom w:val="single" w:sz="2" w:space="0" w:color="000000"/>
            </w:tcBorders>
            <w:shd w:val="clear" w:color="auto" w:fill="auto"/>
            <w:tcMar>
              <w:top w:w="20" w:type="dxa"/>
              <w:left w:w="20" w:type="dxa"/>
              <w:bottom w:w="20" w:type="dxa"/>
              <w:right w:w="20" w:type="dxa"/>
            </w:tcMar>
            <w:vAlign w:val="bottom"/>
          </w:tcPr>
          <w:p w14:paraId="6296635C" w14:textId="77777777" w:rsidR="00464E99" w:rsidRPr="000D67C6" w:rsidRDefault="008F013B"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C002D2" w:rsidRPr="000D67C6" w14:paraId="0299B26C" w14:textId="77777777" w:rsidTr="00891F81">
        <w:trPr>
          <w:trHeight w:val="349"/>
          <w:jc w:val="center"/>
        </w:trPr>
        <w:tc>
          <w:tcPr>
            <w:tcW w:w="1134" w:type="dxa"/>
            <w:shd w:val="clear" w:color="auto" w:fill="auto"/>
            <w:tcMar>
              <w:top w:w="20" w:type="dxa"/>
              <w:left w:w="20" w:type="dxa"/>
              <w:bottom w:w="20" w:type="dxa"/>
              <w:right w:w="20" w:type="dxa"/>
            </w:tcMar>
            <w:vAlign w:val="center"/>
          </w:tcPr>
          <w:p w14:paraId="37CFA398"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11,313</w:t>
            </w:r>
          </w:p>
        </w:tc>
        <w:tc>
          <w:tcPr>
            <w:tcW w:w="270" w:type="dxa"/>
            <w:shd w:val="clear" w:color="auto" w:fill="auto"/>
            <w:tcMar>
              <w:top w:w="20" w:type="dxa"/>
              <w:left w:w="20" w:type="dxa"/>
              <w:bottom w:w="20" w:type="dxa"/>
              <w:right w:w="20" w:type="dxa"/>
            </w:tcMar>
            <w:vAlign w:val="center"/>
          </w:tcPr>
          <w:p w14:paraId="33C3CE9E"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shd w:val="clear" w:color="auto" w:fill="auto"/>
            <w:tcMar>
              <w:top w:w="20" w:type="dxa"/>
              <w:left w:w="20" w:type="dxa"/>
              <w:bottom w:w="20" w:type="dxa"/>
              <w:right w:w="20" w:type="dxa"/>
            </w:tcMar>
            <w:vAlign w:val="center"/>
          </w:tcPr>
          <w:p w14:paraId="79DA596A"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Net (surplus) or deficit on the provision of services</w:t>
            </w:r>
          </w:p>
        </w:tc>
        <w:tc>
          <w:tcPr>
            <w:tcW w:w="1190" w:type="dxa"/>
            <w:shd w:val="clear" w:color="auto" w:fill="auto"/>
            <w:tcMar>
              <w:top w:w="20" w:type="dxa"/>
              <w:left w:w="20" w:type="dxa"/>
              <w:bottom w:w="20" w:type="dxa"/>
              <w:right w:w="20" w:type="dxa"/>
            </w:tcMar>
            <w:vAlign w:val="center"/>
          </w:tcPr>
          <w:p w14:paraId="48A5256D" w14:textId="1EA7E8BB" w:rsidR="00C002D2" w:rsidRPr="000D67C6" w:rsidRDefault="00B87801"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w:t>
            </w:r>
            <w:r w:rsidR="004C2CC4">
              <w:rPr>
                <w:rFonts w:ascii="Arial" w:eastAsia="Verdana" w:hAnsi="Arial" w:cs="Arial"/>
                <w:sz w:val="20"/>
                <w:szCs w:val="20"/>
                <w:lang w:val="en-GB"/>
              </w:rPr>
              <w:t>7</w:t>
            </w:r>
            <w:r w:rsidRPr="000D67C6">
              <w:rPr>
                <w:rFonts w:ascii="Arial" w:eastAsia="Verdana" w:hAnsi="Arial" w:cs="Arial"/>
                <w:sz w:val="20"/>
                <w:szCs w:val="20"/>
                <w:lang w:val="en-GB"/>
              </w:rPr>
              <w:t>,</w:t>
            </w:r>
            <w:r w:rsidR="004C2CC4">
              <w:rPr>
                <w:rFonts w:ascii="Arial" w:eastAsia="Verdana" w:hAnsi="Arial" w:cs="Arial"/>
                <w:sz w:val="20"/>
                <w:szCs w:val="20"/>
                <w:lang w:val="en-GB"/>
              </w:rPr>
              <w:t>0</w:t>
            </w:r>
            <w:r w:rsidRPr="000D67C6">
              <w:rPr>
                <w:rFonts w:ascii="Arial" w:eastAsia="Verdana" w:hAnsi="Arial" w:cs="Arial"/>
                <w:sz w:val="20"/>
                <w:szCs w:val="20"/>
                <w:lang w:val="en-GB"/>
              </w:rPr>
              <w:t>23</w:t>
            </w:r>
          </w:p>
        </w:tc>
      </w:tr>
      <w:tr w:rsidR="00C002D2" w:rsidRPr="000D67C6" w14:paraId="31D772D3" w14:textId="77777777" w:rsidTr="00891F81">
        <w:trPr>
          <w:trHeight w:val="612"/>
          <w:jc w:val="center"/>
        </w:trPr>
        <w:tc>
          <w:tcPr>
            <w:tcW w:w="1134" w:type="dxa"/>
            <w:shd w:val="clear" w:color="auto" w:fill="auto"/>
            <w:tcMar>
              <w:top w:w="20" w:type="dxa"/>
              <w:left w:w="20" w:type="dxa"/>
              <w:bottom w:w="20" w:type="dxa"/>
              <w:right w:w="20" w:type="dxa"/>
            </w:tcMar>
            <w:vAlign w:val="center"/>
          </w:tcPr>
          <w:p w14:paraId="5D5E9B52"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(16,260)</w:t>
            </w:r>
          </w:p>
        </w:tc>
        <w:tc>
          <w:tcPr>
            <w:tcW w:w="270" w:type="dxa"/>
            <w:shd w:val="clear" w:color="auto" w:fill="auto"/>
            <w:tcMar>
              <w:top w:w="20" w:type="dxa"/>
              <w:left w:w="20" w:type="dxa"/>
              <w:bottom w:w="20" w:type="dxa"/>
              <w:right w:w="20" w:type="dxa"/>
            </w:tcMar>
            <w:vAlign w:val="center"/>
          </w:tcPr>
          <w:p w14:paraId="11797A93"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shd w:val="clear" w:color="auto" w:fill="auto"/>
            <w:tcMar>
              <w:top w:w="20" w:type="dxa"/>
              <w:left w:w="20" w:type="dxa"/>
              <w:bottom w:w="20" w:type="dxa"/>
              <w:right w:w="20" w:type="dxa"/>
            </w:tcMar>
            <w:vAlign w:val="center"/>
          </w:tcPr>
          <w:p w14:paraId="7C602574"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Adjustment to surplus or deficit on the provision of services for noncash movements</w:t>
            </w:r>
          </w:p>
        </w:tc>
        <w:tc>
          <w:tcPr>
            <w:tcW w:w="1190" w:type="dxa"/>
            <w:shd w:val="clear" w:color="auto" w:fill="auto"/>
            <w:tcMar>
              <w:top w:w="20" w:type="dxa"/>
              <w:left w:w="20" w:type="dxa"/>
              <w:bottom w:w="20" w:type="dxa"/>
              <w:right w:w="20" w:type="dxa"/>
            </w:tcMar>
            <w:vAlign w:val="center"/>
          </w:tcPr>
          <w:p w14:paraId="0F89BAFF" w14:textId="024A0BA2" w:rsidR="00C002D2" w:rsidRPr="000D67C6" w:rsidRDefault="00B87801"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w:t>
            </w:r>
            <w:r w:rsidR="008B3FA1">
              <w:rPr>
                <w:rFonts w:ascii="Arial" w:eastAsia="Verdana" w:hAnsi="Arial" w:cs="Arial"/>
                <w:sz w:val="20"/>
                <w:szCs w:val="20"/>
                <w:lang w:val="en-GB"/>
              </w:rPr>
              <w:t>40</w:t>
            </w:r>
            <w:r w:rsidRPr="000D67C6">
              <w:rPr>
                <w:rFonts w:ascii="Arial" w:eastAsia="Verdana" w:hAnsi="Arial" w:cs="Arial"/>
                <w:sz w:val="20"/>
                <w:szCs w:val="20"/>
                <w:lang w:val="en-GB"/>
              </w:rPr>
              <w:t>,</w:t>
            </w:r>
            <w:r w:rsidR="00AE0C70">
              <w:rPr>
                <w:rFonts w:ascii="Arial" w:eastAsia="Verdana" w:hAnsi="Arial" w:cs="Arial"/>
                <w:sz w:val="20"/>
                <w:szCs w:val="20"/>
                <w:lang w:val="en-GB"/>
              </w:rPr>
              <w:t>898</w:t>
            </w:r>
            <w:r w:rsidRPr="000D67C6">
              <w:rPr>
                <w:rFonts w:ascii="Arial" w:eastAsia="Verdana" w:hAnsi="Arial" w:cs="Arial"/>
                <w:sz w:val="20"/>
                <w:szCs w:val="20"/>
                <w:lang w:val="en-GB"/>
              </w:rPr>
              <w:t>)</w:t>
            </w:r>
          </w:p>
        </w:tc>
      </w:tr>
      <w:tr w:rsidR="00C002D2" w:rsidRPr="000D67C6" w14:paraId="682CBF74" w14:textId="77777777" w:rsidTr="00891F81">
        <w:trPr>
          <w:trHeight w:val="806"/>
          <w:jc w:val="center"/>
        </w:trPr>
        <w:tc>
          <w:tcPr>
            <w:tcW w:w="1134" w:type="dxa"/>
            <w:tcBorders>
              <w:bottom w:val="single" w:sz="4" w:space="0" w:color="auto"/>
            </w:tcBorders>
            <w:shd w:val="clear" w:color="auto" w:fill="auto"/>
            <w:tcMar>
              <w:top w:w="20" w:type="dxa"/>
              <w:left w:w="20" w:type="dxa"/>
              <w:bottom w:w="20" w:type="dxa"/>
              <w:right w:w="20" w:type="dxa"/>
            </w:tcMar>
            <w:vAlign w:val="center"/>
          </w:tcPr>
          <w:p w14:paraId="315CC63F"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1,000</w:t>
            </w:r>
          </w:p>
        </w:tc>
        <w:tc>
          <w:tcPr>
            <w:tcW w:w="270" w:type="dxa"/>
            <w:tcBorders>
              <w:bottom w:val="single" w:sz="4" w:space="0" w:color="auto"/>
            </w:tcBorders>
            <w:shd w:val="clear" w:color="auto" w:fill="auto"/>
            <w:tcMar>
              <w:top w:w="20" w:type="dxa"/>
              <w:left w:w="20" w:type="dxa"/>
              <w:bottom w:w="20" w:type="dxa"/>
              <w:right w:w="20" w:type="dxa"/>
            </w:tcMar>
            <w:vAlign w:val="center"/>
          </w:tcPr>
          <w:p w14:paraId="4F2E1E33"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tcBorders>
              <w:bottom w:val="single" w:sz="4" w:space="0" w:color="auto"/>
            </w:tcBorders>
            <w:shd w:val="clear" w:color="auto" w:fill="auto"/>
            <w:tcMar>
              <w:top w:w="20" w:type="dxa"/>
              <w:left w:w="20" w:type="dxa"/>
              <w:bottom w:w="20" w:type="dxa"/>
              <w:right w:w="20" w:type="dxa"/>
            </w:tcMar>
            <w:vAlign w:val="center"/>
          </w:tcPr>
          <w:p w14:paraId="37497706"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Adjustment for items included in the net surplus or deficit on the provision of services that are investing or financing activities</w:t>
            </w:r>
          </w:p>
        </w:tc>
        <w:tc>
          <w:tcPr>
            <w:tcW w:w="1190" w:type="dxa"/>
            <w:tcBorders>
              <w:bottom w:val="single" w:sz="4" w:space="0" w:color="auto"/>
            </w:tcBorders>
            <w:shd w:val="clear" w:color="auto" w:fill="auto"/>
            <w:tcMar>
              <w:top w:w="20" w:type="dxa"/>
              <w:left w:w="20" w:type="dxa"/>
              <w:bottom w:w="20" w:type="dxa"/>
              <w:right w:w="20" w:type="dxa"/>
            </w:tcMar>
            <w:vAlign w:val="center"/>
          </w:tcPr>
          <w:p w14:paraId="1867FB9F" w14:textId="77777777" w:rsidR="00C002D2" w:rsidRPr="000D67C6" w:rsidRDefault="007D404B"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487</w:t>
            </w:r>
          </w:p>
        </w:tc>
      </w:tr>
      <w:tr w:rsidR="00C002D2" w:rsidRPr="000D67C6" w14:paraId="482D9D1F" w14:textId="77777777" w:rsidTr="00891F81">
        <w:trPr>
          <w:trHeight w:val="300"/>
          <w:jc w:val="center"/>
        </w:trPr>
        <w:tc>
          <w:tcPr>
            <w:tcW w:w="1134" w:type="dxa"/>
            <w:tcBorders>
              <w:top w:val="single" w:sz="4" w:space="0" w:color="auto"/>
            </w:tcBorders>
            <w:shd w:val="clear" w:color="auto" w:fill="auto"/>
            <w:tcMar>
              <w:top w:w="20" w:type="dxa"/>
              <w:left w:w="20" w:type="dxa"/>
              <w:bottom w:w="20" w:type="dxa"/>
              <w:right w:w="20" w:type="dxa"/>
            </w:tcMar>
            <w:vAlign w:val="center"/>
          </w:tcPr>
          <w:p w14:paraId="17B9A3ED"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(3,947)</w:t>
            </w:r>
          </w:p>
        </w:tc>
        <w:tc>
          <w:tcPr>
            <w:tcW w:w="270" w:type="dxa"/>
            <w:tcBorders>
              <w:top w:val="single" w:sz="4" w:space="0" w:color="auto"/>
            </w:tcBorders>
            <w:shd w:val="clear" w:color="auto" w:fill="auto"/>
            <w:tcMar>
              <w:top w:w="20" w:type="dxa"/>
              <w:left w:w="20" w:type="dxa"/>
              <w:bottom w:w="20" w:type="dxa"/>
              <w:right w:w="20" w:type="dxa"/>
            </w:tcMar>
            <w:vAlign w:val="center"/>
          </w:tcPr>
          <w:p w14:paraId="47D28C52" w14:textId="77777777" w:rsidR="00C002D2" w:rsidRPr="000D67C6" w:rsidRDefault="00C002D2" w:rsidP="00C002D2">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4975" w:type="dxa"/>
            <w:tcBorders>
              <w:top w:val="single" w:sz="4" w:space="0" w:color="auto"/>
            </w:tcBorders>
            <w:shd w:val="clear" w:color="auto" w:fill="auto"/>
            <w:tcMar>
              <w:top w:w="20" w:type="dxa"/>
              <w:left w:w="20" w:type="dxa"/>
              <w:bottom w:w="20" w:type="dxa"/>
              <w:right w:w="20" w:type="dxa"/>
            </w:tcMar>
            <w:vAlign w:val="center"/>
          </w:tcPr>
          <w:p w14:paraId="735DFBBB"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Net cash (inflow)/outflow from operating activities</w:t>
            </w:r>
          </w:p>
        </w:tc>
        <w:tc>
          <w:tcPr>
            <w:tcW w:w="1190" w:type="dxa"/>
            <w:tcBorders>
              <w:top w:val="single" w:sz="4" w:space="0" w:color="auto"/>
            </w:tcBorders>
            <w:shd w:val="clear" w:color="auto" w:fill="auto"/>
            <w:tcMar>
              <w:top w:w="20" w:type="dxa"/>
              <w:left w:w="20" w:type="dxa"/>
              <w:bottom w:w="20" w:type="dxa"/>
              <w:right w:w="20" w:type="dxa"/>
            </w:tcMar>
            <w:vAlign w:val="center"/>
          </w:tcPr>
          <w:p w14:paraId="778F1BE2" w14:textId="77777777" w:rsidR="00C002D2" w:rsidRPr="000D67C6" w:rsidRDefault="007D404B"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(3,388)</w:t>
            </w:r>
          </w:p>
        </w:tc>
      </w:tr>
      <w:tr w:rsidR="00C002D2" w:rsidRPr="000D67C6" w14:paraId="444728CC" w14:textId="77777777" w:rsidTr="00891F81">
        <w:trPr>
          <w:trHeight w:val="468"/>
          <w:jc w:val="center"/>
        </w:trPr>
        <w:tc>
          <w:tcPr>
            <w:tcW w:w="1134" w:type="dxa"/>
            <w:shd w:val="clear" w:color="auto" w:fill="auto"/>
            <w:tcMar>
              <w:top w:w="20" w:type="dxa"/>
              <w:left w:w="20" w:type="dxa"/>
              <w:bottom w:w="20" w:type="dxa"/>
              <w:right w:w="20" w:type="dxa"/>
            </w:tcMar>
            <w:vAlign w:val="center"/>
          </w:tcPr>
          <w:p w14:paraId="18F17705"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5,117</w:t>
            </w:r>
          </w:p>
        </w:tc>
        <w:tc>
          <w:tcPr>
            <w:tcW w:w="270" w:type="dxa"/>
            <w:shd w:val="clear" w:color="auto" w:fill="auto"/>
            <w:tcMar>
              <w:top w:w="20" w:type="dxa"/>
              <w:left w:w="20" w:type="dxa"/>
              <w:bottom w:w="20" w:type="dxa"/>
              <w:right w:w="20" w:type="dxa"/>
            </w:tcMar>
            <w:vAlign w:val="center"/>
          </w:tcPr>
          <w:p w14:paraId="026FBC9C"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shd w:val="clear" w:color="auto" w:fill="auto"/>
            <w:tcMar>
              <w:top w:w="20" w:type="dxa"/>
              <w:left w:w="20" w:type="dxa"/>
              <w:bottom w:w="20" w:type="dxa"/>
              <w:right w:w="20" w:type="dxa"/>
            </w:tcMar>
            <w:vAlign w:val="center"/>
          </w:tcPr>
          <w:p w14:paraId="13A34C38"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Net cash (inflow)/outflow from investing activities</w:t>
            </w:r>
          </w:p>
        </w:tc>
        <w:tc>
          <w:tcPr>
            <w:tcW w:w="1190" w:type="dxa"/>
            <w:shd w:val="clear" w:color="auto" w:fill="auto"/>
            <w:tcMar>
              <w:top w:w="20" w:type="dxa"/>
              <w:left w:w="20" w:type="dxa"/>
              <w:bottom w:w="20" w:type="dxa"/>
              <w:right w:w="20" w:type="dxa"/>
            </w:tcMar>
            <w:vAlign w:val="center"/>
          </w:tcPr>
          <w:p w14:paraId="7AAFC5E0" w14:textId="77777777" w:rsidR="00C002D2" w:rsidRPr="000D67C6" w:rsidRDefault="0046583C"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2,226</w:t>
            </w:r>
          </w:p>
        </w:tc>
      </w:tr>
      <w:tr w:rsidR="00C002D2" w:rsidRPr="000D67C6" w14:paraId="4829DBC6" w14:textId="77777777" w:rsidTr="00891F81">
        <w:trPr>
          <w:trHeight w:val="416"/>
          <w:jc w:val="center"/>
        </w:trPr>
        <w:tc>
          <w:tcPr>
            <w:tcW w:w="1134" w:type="dxa"/>
            <w:shd w:val="clear" w:color="auto" w:fill="auto"/>
            <w:tcMar>
              <w:top w:w="20" w:type="dxa"/>
              <w:left w:w="20" w:type="dxa"/>
              <w:bottom w:w="20" w:type="dxa"/>
              <w:right w:w="20" w:type="dxa"/>
            </w:tcMar>
            <w:vAlign w:val="center"/>
          </w:tcPr>
          <w:p w14:paraId="78F4EEDA"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340</w:t>
            </w:r>
          </w:p>
        </w:tc>
        <w:tc>
          <w:tcPr>
            <w:tcW w:w="270" w:type="dxa"/>
            <w:shd w:val="clear" w:color="auto" w:fill="auto"/>
            <w:tcMar>
              <w:top w:w="20" w:type="dxa"/>
              <w:left w:w="20" w:type="dxa"/>
              <w:bottom w:w="20" w:type="dxa"/>
              <w:right w:w="20" w:type="dxa"/>
            </w:tcMar>
            <w:vAlign w:val="center"/>
          </w:tcPr>
          <w:p w14:paraId="677C0BBE"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shd w:val="clear" w:color="auto" w:fill="auto"/>
            <w:tcMar>
              <w:top w:w="20" w:type="dxa"/>
              <w:left w:w="20" w:type="dxa"/>
              <w:bottom w:w="20" w:type="dxa"/>
              <w:right w:w="20" w:type="dxa"/>
            </w:tcMar>
            <w:vAlign w:val="center"/>
          </w:tcPr>
          <w:p w14:paraId="1CDB5D41"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Net cash (inflow)/outflow from financing activities</w:t>
            </w:r>
          </w:p>
        </w:tc>
        <w:tc>
          <w:tcPr>
            <w:tcW w:w="1190" w:type="dxa"/>
            <w:shd w:val="clear" w:color="auto" w:fill="auto"/>
            <w:tcMar>
              <w:top w:w="20" w:type="dxa"/>
              <w:left w:w="20" w:type="dxa"/>
              <w:bottom w:w="20" w:type="dxa"/>
              <w:right w:w="20" w:type="dxa"/>
            </w:tcMar>
            <w:vAlign w:val="center"/>
          </w:tcPr>
          <w:p w14:paraId="2695494D" w14:textId="77777777" w:rsidR="00C002D2" w:rsidRPr="000D67C6" w:rsidRDefault="0046583C"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br/>
              <w:t>(362)</w:t>
            </w:r>
          </w:p>
        </w:tc>
      </w:tr>
      <w:tr w:rsidR="00C002D2" w:rsidRPr="000D67C6" w14:paraId="4AFFC3D9" w14:textId="77777777" w:rsidTr="00004A09">
        <w:trPr>
          <w:trHeight w:val="615"/>
          <w:jc w:val="center"/>
        </w:trPr>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8E11BBE"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1,510</w:t>
            </w:r>
          </w:p>
        </w:tc>
        <w:tc>
          <w:tcPr>
            <w:tcW w:w="27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EF1EF36" w14:textId="77777777" w:rsidR="00C002D2" w:rsidRPr="000D67C6" w:rsidRDefault="00C002D2" w:rsidP="00C002D2">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497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272C461"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Net (increase) or decrease in cash and cash equivalents</w:t>
            </w:r>
          </w:p>
        </w:tc>
        <w:tc>
          <w:tcPr>
            <w:tcW w:w="119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7E4AE4E" w14:textId="77777777" w:rsidR="00C002D2" w:rsidRPr="000D67C6" w:rsidRDefault="0046583C"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(1,524)</w:t>
            </w:r>
          </w:p>
        </w:tc>
      </w:tr>
      <w:tr w:rsidR="00C002D2" w:rsidRPr="000D67C6" w14:paraId="046AB916" w14:textId="77777777" w:rsidTr="00004A09">
        <w:trPr>
          <w:trHeight w:val="646"/>
          <w:jc w:val="center"/>
        </w:trPr>
        <w:tc>
          <w:tcPr>
            <w:tcW w:w="1134" w:type="dxa"/>
            <w:shd w:val="clear" w:color="auto" w:fill="auto"/>
            <w:tcMar>
              <w:top w:w="20" w:type="dxa"/>
              <w:left w:w="20" w:type="dxa"/>
              <w:bottom w:w="20" w:type="dxa"/>
              <w:right w:w="20" w:type="dxa"/>
            </w:tcMar>
            <w:vAlign w:val="center"/>
          </w:tcPr>
          <w:p w14:paraId="510929AF" w14:textId="77777777" w:rsidR="00C002D2" w:rsidRPr="000D67C6" w:rsidRDefault="00C002D2"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4,561</w:t>
            </w:r>
          </w:p>
        </w:tc>
        <w:tc>
          <w:tcPr>
            <w:tcW w:w="270" w:type="dxa"/>
            <w:shd w:val="clear" w:color="auto" w:fill="auto"/>
            <w:tcMar>
              <w:top w:w="20" w:type="dxa"/>
              <w:left w:w="20" w:type="dxa"/>
              <w:bottom w:w="20" w:type="dxa"/>
              <w:right w:w="20" w:type="dxa"/>
            </w:tcMar>
            <w:vAlign w:val="center"/>
          </w:tcPr>
          <w:p w14:paraId="6790EDD9" w14:textId="77777777" w:rsidR="00C002D2" w:rsidRPr="000D67C6" w:rsidRDefault="00C002D2" w:rsidP="00C002D2">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4975" w:type="dxa"/>
            <w:shd w:val="clear" w:color="auto" w:fill="auto"/>
            <w:tcMar>
              <w:top w:w="20" w:type="dxa"/>
              <w:left w:w="20" w:type="dxa"/>
              <w:bottom w:w="20" w:type="dxa"/>
              <w:right w:w="20" w:type="dxa"/>
            </w:tcMar>
            <w:vAlign w:val="center"/>
          </w:tcPr>
          <w:p w14:paraId="3E017E6A" w14:textId="77777777" w:rsidR="00C002D2" w:rsidRPr="000D67C6" w:rsidRDefault="00C002D2" w:rsidP="00C002D2">
            <w:pPr>
              <w:pStyle w:val="T1TableStyle"/>
              <w:rPr>
                <w:rFonts w:ascii="Arial" w:eastAsia="Verdana" w:hAnsi="Arial" w:cs="Arial"/>
                <w:sz w:val="20"/>
                <w:szCs w:val="20"/>
                <w:lang w:val="en-GB"/>
              </w:rPr>
            </w:pPr>
            <w:r w:rsidRPr="000D67C6">
              <w:rPr>
                <w:rFonts w:ascii="Arial" w:eastAsia="Verdana" w:hAnsi="Arial" w:cs="Arial"/>
                <w:sz w:val="20"/>
                <w:szCs w:val="20"/>
                <w:lang w:val="en-GB"/>
              </w:rPr>
              <w:t>Cash and cash equivalents at the beginning of the reporting period</w:t>
            </w:r>
          </w:p>
        </w:tc>
        <w:tc>
          <w:tcPr>
            <w:tcW w:w="1190" w:type="dxa"/>
            <w:shd w:val="clear" w:color="auto" w:fill="auto"/>
            <w:tcMar>
              <w:top w:w="20" w:type="dxa"/>
              <w:left w:w="20" w:type="dxa"/>
              <w:bottom w:w="20" w:type="dxa"/>
              <w:right w:w="20" w:type="dxa"/>
            </w:tcMar>
            <w:vAlign w:val="center"/>
          </w:tcPr>
          <w:p w14:paraId="5A5B8784" w14:textId="77777777" w:rsidR="00C002D2" w:rsidRPr="000D67C6" w:rsidRDefault="008154CA" w:rsidP="00C002D2">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3,051</w:t>
            </w:r>
          </w:p>
        </w:tc>
      </w:tr>
      <w:tr w:rsidR="00C002D2" w:rsidRPr="000D67C6" w14:paraId="297FDD99" w14:textId="77777777" w:rsidTr="00004A09">
        <w:trPr>
          <w:trHeight w:val="535"/>
          <w:jc w:val="center"/>
        </w:trPr>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D4B2436" w14:textId="77777777" w:rsidR="00C002D2" w:rsidRPr="000D67C6" w:rsidRDefault="00C002D2"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3,051</w:t>
            </w:r>
          </w:p>
        </w:tc>
        <w:tc>
          <w:tcPr>
            <w:tcW w:w="27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6B8ED55" w14:textId="77777777" w:rsidR="00C002D2" w:rsidRPr="000D67C6" w:rsidRDefault="00C002D2" w:rsidP="00C002D2">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497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F7594D1" w14:textId="77777777" w:rsidR="00C002D2" w:rsidRPr="000D67C6" w:rsidRDefault="00C002D2" w:rsidP="00C002D2">
            <w:pPr>
              <w:pStyle w:val="T1TableStyle"/>
              <w:rPr>
                <w:rFonts w:ascii="Arial" w:eastAsia="Verdana" w:hAnsi="Arial" w:cs="Arial"/>
                <w:b/>
                <w:sz w:val="20"/>
                <w:szCs w:val="20"/>
                <w:lang w:val="en-GB"/>
              </w:rPr>
            </w:pPr>
            <w:r w:rsidRPr="000D67C6">
              <w:rPr>
                <w:rFonts w:ascii="Arial" w:eastAsia="Verdana" w:hAnsi="Arial" w:cs="Arial"/>
                <w:b/>
                <w:sz w:val="20"/>
                <w:szCs w:val="20"/>
                <w:lang w:val="en-GB"/>
              </w:rPr>
              <w:t>Cash and cash equivalents at the end of the reporting period</w:t>
            </w:r>
          </w:p>
        </w:tc>
        <w:tc>
          <w:tcPr>
            <w:tcW w:w="119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CDB05F1" w14:textId="77777777" w:rsidR="00C002D2" w:rsidRPr="000D67C6" w:rsidRDefault="008154CA" w:rsidP="00C002D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4,575</w:t>
            </w:r>
          </w:p>
        </w:tc>
      </w:tr>
    </w:tbl>
    <w:p w14:paraId="2964F18D" w14:textId="77777777" w:rsidR="008F013B" w:rsidRPr="000D67C6" w:rsidRDefault="008F013B" w:rsidP="008F013B">
      <w:pPr>
        <w:pStyle w:val="T1TableStyle"/>
        <w:rPr>
          <w:rFonts w:ascii="Arial" w:eastAsia="Calibri" w:hAnsi="Arial" w:cs="Arial"/>
          <w:sz w:val="22"/>
          <w:szCs w:val="22"/>
          <w:lang w:val="en-GB"/>
        </w:rPr>
      </w:pPr>
    </w:p>
    <w:p w14:paraId="20938631" w14:textId="608E3BC6" w:rsidR="00763722" w:rsidRPr="000D67C6" w:rsidRDefault="00763722" w:rsidP="003D5E3A">
      <w:pPr>
        <w:pStyle w:val="Normal0"/>
        <w:spacing w:after="160" w:line="259" w:lineRule="auto"/>
        <w:ind w:firstLine="720"/>
        <w:rPr>
          <w:rFonts w:ascii="Arial" w:eastAsia="Calibri" w:hAnsi="Arial" w:cs="Arial"/>
          <w:sz w:val="22"/>
          <w:szCs w:val="22"/>
          <w:lang w:val="en-GB"/>
        </w:rPr>
      </w:pPr>
      <w:r w:rsidRPr="000D67C6">
        <w:rPr>
          <w:rFonts w:ascii="Arial" w:eastAsia="Calibri" w:hAnsi="Arial" w:cs="Arial"/>
          <w:sz w:val="22"/>
          <w:szCs w:val="22"/>
          <w:lang w:val="en-GB"/>
        </w:rPr>
        <w:t xml:space="preserve">A detailed breakdown of the Cash </w:t>
      </w:r>
      <w:r w:rsidR="009A2764" w:rsidRPr="000D67C6">
        <w:rPr>
          <w:rFonts w:ascii="Arial" w:eastAsia="Calibri" w:hAnsi="Arial" w:cs="Arial"/>
          <w:sz w:val="22"/>
          <w:szCs w:val="22"/>
          <w:lang w:val="en-GB"/>
        </w:rPr>
        <w:t>F</w:t>
      </w:r>
      <w:r w:rsidRPr="000D67C6">
        <w:rPr>
          <w:rFonts w:ascii="Arial" w:eastAsia="Calibri" w:hAnsi="Arial" w:cs="Arial"/>
          <w:sz w:val="22"/>
          <w:szCs w:val="22"/>
          <w:lang w:val="en-GB"/>
        </w:rPr>
        <w:t xml:space="preserve">low is provided in Notes </w:t>
      </w:r>
      <w:r w:rsidR="00BA73CF" w:rsidRPr="000D67C6">
        <w:rPr>
          <w:rFonts w:ascii="Arial" w:eastAsia="Calibri" w:hAnsi="Arial" w:cs="Arial"/>
          <w:sz w:val="22"/>
          <w:szCs w:val="22"/>
          <w:lang w:val="en-GB"/>
        </w:rPr>
        <w:t>19 to 21</w:t>
      </w:r>
      <w:r w:rsidR="009A2764" w:rsidRPr="000D67C6">
        <w:rPr>
          <w:rFonts w:ascii="Arial" w:eastAsia="Calibri" w:hAnsi="Arial" w:cs="Arial"/>
          <w:sz w:val="22"/>
          <w:szCs w:val="22"/>
          <w:lang w:val="en-GB"/>
        </w:rPr>
        <w:t>.</w:t>
      </w:r>
    </w:p>
    <w:p w14:paraId="568FC2B7" w14:textId="77777777" w:rsidR="008F013B" w:rsidRPr="000D67C6" w:rsidRDefault="008F013B" w:rsidP="008F013B">
      <w:pPr>
        <w:pStyle w:val="Normal0"/>
        <w:spacing w:after="160" w:line="259" w:lineRule="auto"/>
        <w:rPr>
          <w:rFonts w:ascii="Arial" w:eastAsia="Calibri" w:hAnsi="Arial" w:cs="Arial"/>
          <w:sz w:val="22"/>
          <w:szCs w:val="22"/>
          <w:lang w:val="pt-BR"/>
        </w:rPr>
      </w:pPr>
    </w:p>
    <w:p w14:paraId="642DDA2B" w14:textId="77777777" w:rsidR="008F013B" w:rsidRPr="000D67C6" w:rsidRDefault="008F013B" w:rsidP="008F013B">
      <w:pPr>
        <w:pStyle w:val="Normal0"/>
        <w:spacing w:after="160" w:line="259" w:lineRule="auto"/>
        <w:rPr>
          <w:rFonts w:ascii="Arial" w:eastAsia="Calibri" w:hAnsi="Arial" w:cs="Arial"/>
          <w:sz w:val="22"/>
          <w:szCs w:val="22"/>
          <w:lang w:val="pt-BR"/>
        </w:rPr>
      </w:pPr>
    </w:p>
    <w:p w14:paraId="4E178ED8" w14:textId="77777777" w:rsidR="008F013B" w:rsidRPr="000D67C6" w:rsidRDefault="008F013B">
      <w:pPr>
        <w:pStyle w:val="Normal0"/>
        <w:spacing w:after="160" w:line="259" w:lineRule="auto"/>
        <w:rPr>
          <w:rFonts w:ascii="Arial" w:eastAsia="Calibri" w:hAnsi="Arial" w:cs="Arial"/>
          <w:sz w:val="22"/>
          <w:szCs w:val="22"/>
          <w:lang w:val="pt-BR"/>
        </w:rPr>
      </w:pPr>
    </w:p>
    <w:p w14:paraId="78CFCB88" w14:textId="77777777" w:rsidR="008F013B" w:rsidRPr="000D67C6" w:rsidRDefault="008F013B">
      <w:pPr>
        <w:rPr>
          <w:rFonts w:ascii="Arial" w:hAnsi="Arial" w:cs="Arial"/>
          <w:sz w:val="22"/>
          <w:szCs w:val="22"/>
          <w:lang w:val="en-AU"/>
        </w:rPr>
      </w:pPr>
      <w:r w:rsidRPr="000D67C6">
        <w:rPr>
          <w:rFonts w:ascii="Arial" w:hAnsi="Arial" w:cs="Arial"/>
          <w:sz w:val="22"/>
          <w:szCs w:val="22"/>
          <w:lang w:val="en-AU"/>
        </w:rPr>
        <w:br w:type="page"/>
      </w:r>
    </w:p>
    <w:p w14:paraId="56C02328" w14:textId="77777777" w:rsidR="008F013B" w:rsidRPr="000D67C6" w:rsidRDefault="008F013B" w:rsidP="004F7CCB">
      <w:pPr>
        <w:pStyle w:val="Heading1"/>
        <w:spacing w:before="0" w:line="22" w:lineRule="atLeast"/>
        <w:rPr>
          <w:rFonts w:ascii="Arial" w:hAnsi="Arial" w:cs="Arial"/>
          <w:sz w:val="28"/>
          <w:lang w:val="en-GB"/>
        </w:rPr>
      </w:pPr>
      <w:r w:rsidRPr="000D67C6">
        <w:rPr>
          <w:rFonts w:ascii="Arial" w:hAnsi="Arial" w:cs="Arial"/>
          <w:sz w:val="28"/>
          <w:lang w:val="en-GB"/>
        </w:rPr>
        <w:t xml:space="preserve">Note 1 - Accounting Policies </w:t>
      </w:r>
    </w:p>
    <w:p w14:paraId="24118E06" w14:textId="77777777" w:rsidR="008F013B" w:rsidRPr="000D67C6" w:rsidRDefault="008F013B" w:rsidP="004F7CCB">
      <w:pPr>
        <w:pStyle w:val="Normal0"/>
        <w:spacing w:line="22" w:lineRule="atLeast"/>
        <w:rPr>
          <w:rFonts w:ascii="Arial" w:hAnsi="Arial" w:cs="Arial"/>
          <w:sz w:val="22"/>
          <w:szCs w:val="22"/>
          <w:lang w:val="en-GB"/>
        </w:rPr>
      </w:pPr>
    </w:p>
    <w:p w14:paraId="50824383"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 xml:space="preserve">General Principles </w:t>
      </w:r>
    </w:p>
    <w:p w14:paraId="3064CF6F" w14:textId="77777777" w:rsidR="004F7CCB" w:rsidRPr="000D67C6" w:rsidRDefault="004F7CCB" w:rsidP="004F7CCB">
      <w:pPr>
        <w:pStyle w:val="Normal0"/>
        <w:spacing w:line="22" w:lineRule="atLeast"/>
        <w:ind w:left="720"/>
        <w:jc w:val="both"/>
        <w:rPr>
          <w:rFonts w:ascii="Arial" w:hAnsi="Arial" w:cs="Arial"/>
          <w:sz w:val="22"/>
          <w:szCs w:val="22"/>
          <w:lang w:val="en-GB"/>
        </w:rPr>
      </w:pPr>
    </w:p>
    <w:p w14:paraId="26769CC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Statement of Accounts summarises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’s transactions for the </w:t>
      </w:r>
      <w:r w:rsidR="007533B9" w:rsidRPr="000D67C6">
        <w:rPr>
          <w:rFonts w:ascii="Arial" w:hAnsi="Arial" w:cs="Arial"/>
          <w:sz w:val="22"/>
          <w:szCs w:val="22"/>
          <w:lang w:val="en-GB"/>
        </w:rPr>
        <w:t>201</w:t>
      </w:r>
      <w:r w:rsidR="00C002D2" w:rsidRPr="000D67C6">
        <w:rPr>
          <w:rFonts w:ascii="Arial" w:hAnsi="Arial" w:cs="Arial"/>
          <w:sz w:val="22"/>
          <w:szCs w:val="22"/>
          <w:lang w:val="en-GB"/>
        </w:rPr>
        <w:t>8</w:t>
      </w:r>
      <w:r w:rsidR="007533B9" w:rsidRPr="000D67C6">
        <w:rPr>
          <w:rFonts w:ascii="Arial" w:hAnsi="Arial" w:cs="Arial"/>
          <w:sz w:val="22"/>
          <w:szCs w:val="22"/>
          <w:lang w:val="en-GB"/>
        </w:rPr>
        <w:t>/1</w:t>
      </w:r>
      <w:r w:rsidR="00C002D2" w:rsidRPr="000D67C6">
        <w:rPr>
          <w:rFonts w:ascii="Arial" w:hAnsi="Arial" w:cs="Arial"/>
          <w:sz w:val="22"/>
          <w:szCs w:val="22"/>
          <w:lang w:val="en-GB"/>
        </w:rPr>
        <w:t>9</w:t>
      </w:r>
      <w:r w:rsidR="00DB7BBE" w:rsidRPr="000D67C6">
        <w:rPr>
          <w:rFonts w:ascii="Arial" w:hAnsi="Arial" w:cs="Arial"/>
          <w:sz w:val="22"/>
          <w:szCs w:val="22"/>
          <w:lang w:val="en-GB"/>
        </w:rPr>
        <w:t xml:space="preserve"> </w:t>
      </w:r>
      <w:r w:rsidRPr="000D67C6">
        <w:rPr>
          <w:rFonts w:ascii="Arial" w:hAnsi="Arial" w:cs="Arial"/>
          <w:sz w:val="22"/>
          <w:szCs w:val="22"/>
          <w:lang w:val="en-GB"/>
        </w:rPr>
        <w:t xml:space="preserve">financial year and its position at the year-end.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is required to prepare an annual Statement of Accounts by the Accounts and Audit (Wales) Regulations 2014 in accordance with proper accounting practices. These practices under Section 21 of the 2003 Act primarily comprise the Code of Practice on Local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Accounti</w:t>
      </w:r>
      <w:r w:rsidR="00657F1F" w:rsidRPr="000D67C6">
        <w:rPr>
          <w:rFonts w:ascii="Arial" w:hAnsi="Arial" w:cs="Arial"/>
          <w:sz w:val="22"/>
          <w:szCs w:val="22"/>
          <w:lang w:val="en-GB"/>
        </w:rPr>
        <w:t>ng in the United Kingdom 201</w:t>
      </w:r>
      <w:r w:rsidR="00C002D2" w:rsidRPr="000D67C6">
        <w:rPr>
          <w:rFonts w:ascii="Arial" w:hAnsi="Arial" w:cs="Arial"/>
          <w:sz w:val="22"/>
          <w:szCs w:val="22"/>
          <w:lang w:val="en-GB"/>
        </w:rPr>
        <w:t>8</w:t>
      </w:r>
      <w:r w:rsidR="00657F1F" w:rsidRPr="000D67C6">
        <w:rPr>
          <w:rFonts w:ascii="Arial" w:hAnsi="Arial" w:cs="Arial"/>
          <w:sz w:val="22"/>
          <w:szCs w:val="22"/>
          <w:lang w:val="en-GB"/>
        </w:rPr>
        <w:t>/1</w:t>
      </w:r>
      <w:r w:rsidR="00C002D2" w:rsidRPr="000D67C6">
        <w:rPr>
          <w:rFonts w:ascii="Arial" w:hAnsi="Arial" w:cs="Arial"/>
          <w:sz w:val="22"/>
          <w:szCs w:val="22"/>
          <w:lang w:val="en-GB"/>
        </w:rPr>
        <w:t>9</w:t>
      </w:r>
      <w:r w:rsidRPr="000D67C6">
        <w:rPr>
          <w:rFonts w:ascii="Arial" w:hAnsi="Arial" w:cs="Arial"/>
          <w:sz w:val="22"/>
          <w:szCs w:val="22"/>
          <w:lang w:val="en-GB"/>
        </w:rPr>
        <w:t xml:space="preserve">, supported by International Financial Reporting Standards (IFRS) and statutory guidance issued under section 12 of the 2003 Act. </w:t>
      </w:r>
    </w:p>
    <w:p w14:paraId="2F6A6F9E" w14:textId="77777777" w:rsidR="004F7CCB" w:rsidRPr="000D67C6" w:rsidRDefault="004F7CCB" w:rsidP="004F7CCB">
      <w:pPr>
        <w:pStyle w:val="Normal0"/>
        <w:spacing w:line="22" w:lineRule="atLeast"/>
        <w:jc w:val="both"/>
        <w:rPr>
          <w:rFonts w:ascii="Arial" w:hAnsi="Arial" w:cs="Arial"/>
          <w:sz w:val="22"/>
          <w:szCs w:val="22"/>
          <w:lang w:val="en-GB"/>
        </w:rPr>
      </w:pPr>
    </w:p>
    <w:p w14:paraId="2148BFA4"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accounting convention adopted in the Statement of Accounts is principally historical cost, modified by the revaluation of certain categories of non-current assets and financial instruments</w:t>
      </w:r>
      <w:r w:rsidR="004F7CCB" w:rsidRPr="000D67C6">
        <w:rPr>
          <w:rFonts w:ascii="Arial" w:hAnsi="Arial" w:cs="Arial"/>
          <w:sz w:val="22"/>
          <w:szCs w:val="22"/>
          <w:lang w:val="en-GB"/>
        </w:rPr>
        <w:t>.</w:t>
      </w:r>
    </w:p>
    <w:p w14:paraId="7EECB5BD" w14:textId="77777777" w:rsidR="004F7CCB" w:rsidRPr="000D67C6" w:rsidRDefault="004F7CCB" w:rsidP="004F7CCB">
      <w:pPr>
        <w:pStyle w:val="Normal0"/>
        <w:spacing w:line="22" w:lineRule="atLeast"/>
        <w:jc w:val="both"/>
        <w:rPr>
          <w:rFonts w:ascii="Arial" w:hAnsi="Arial" w:cs="Arial"/>
          <w:sz w:val="22"/>
          <w:szCs w:val="22"/>
          <w:lang w:val="en-GB"/>
        </w:rPr>
      </w:pPr>
    </w:p>
    <w:p w14:paraId="5A051895" w14:textId="77777777" w:rsidR="008F013B" w:rsidRPr="000D67C6" w:rsidRDefault="008F013B" w:rsidP="001704E6">
      <w:pPr>
        <w:pStyle w:val="Normal0"/>
        <w:numPr>
          <w:ilvl w:val="0"/>
          <w:numId w:val="4"/>
        </w:numPr>
        <w:spacing w:line="22" w:lineRule="atLeast"/>
        <w:rPr>
          <w:rFonts w:ascii="Arial" w:hAnsi="Arial" w:cs="Arial"/>
          <w:b/>
          <w:sz w:val="22"/>
          <w:szCs w:val="22"/>
          <w:lang w:val="en-GB"/>
        </w:rPr>
      </w:pPr>
      <w:r w:rsidRPr="000D67C6">
        <w:rPr>
          <w:rFonts w:ascii="Arial" w:hAnsi="Arial" w:cs="Arial"/>
          <w:b/>
          <w:sz w:val="22"/>
          <w:szCs w:val="22"/>
          <w:lang w:val="en-GB"/>
        </w:rPr>
        <w:t>Accruals of Income and Expenditure</w:t>
      </w:r>
    </w:p>
    <w:p w14:paraId="108CEEF6" w14:textId="77777777" w:rsidR="004F7CCB" w:rsidRPr="000D67C6" w:rsidRDefault="004F7CCB" w:rsidP="004F7CCB">
      <w:pPr>
        <w:pStyle w:val="Normal0"/>
        <w:spacing w:line="22" w:lineRule="atLeast"/>
        <w:ind w:left="360"/>
        <w:rPr>
          <w:rFonts w:ascii="Arial" w:hAnsi="Arial" w:cs="Arial"/>
          <w:sz w:val="22"/>
          <w:szCs w:val="22"/>
          <w:lang w:val="en-GB"/>
        </w:rPr>
      </w:pPr>
    </w:p>
    <w:p w14:paraId="09B81D40"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Activity is accounted for in the year that it takes place, not simply when cash payments are made or received. In particular: </w:t>
      </w:r>
    </w:p>
    <w:p w14:paraId="7746D778" w14:textId="77777777" w:rsidR="004F7CCB" w:rsidRPr="000D67C6" w:rsidRDefault="004F7CCB" w:rsidP="004F7CCB">
      <w:pPr>
        <w:pStyle w:val="Normal0"/>
        <w:spacing w:line="22" w:lineRule="atLeast"/>
        <w:jc w:val="both"/>
        <w:rPr>
          <w:rFonts w:ascii="Arial" w:hAnsi="Arial" w:cs="Arial"/>
          <w:sz w:val="22"/>
          <w:szCs w:val="22"/>
          <w:lang w:val="en-GB"/>
        </w:rPr>
      </w:pPr>
    </w:p>
    <w:p w14:paraId="73C511C6"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Revenue from the sale of goods is recognised when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transfers the significant risks and rewards of ownership to the purchaser and it is probable that economic benefits or service potential associated with the transaction will flow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t>
      </w:r>
    </w:p>
    <w:p w14:paraId="6A47CA72"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Revenue from the provision of services is recognised when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can measure reliably the percentage of completion of the transaction and it is probable that economic benefits or service potential associated with the transaction will flow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t>
      </w:r>
    </w:p>
    <w:p w14:paraId="5F2E5872"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Supplies are recorded as expenditure when they are consumed – where there is a gap between the date supplies are received and their consumption, they are carried as inventories on the Balance Sheet. </w:t>
      </w:r>
    </w:p>
    <w:p w14:paraId="1003EFE0"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Expenses in relation to services received (including services provided by employees) are recorded as expenditure when the services are received rather than when payments are made. </w:t>
      </w:r>
    </w:p>
    <w:p w14:paraId="02160B6B"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Interest receivable on investments and payable on borrowings is accounted for respectively as income and expenditure on the basis of the effective interest rate for the relevant financial instrument rather than the cash flows fixed or determined by the contract. </w:t>
      </w:r>
    </w:p>
    <w:p w14:paraId="22C0AD56" w14:textId="77777777" w:rsidR="008F013B" w:rsidRPr="000D67C6" w:rsidRDefault="008F013B" w:rsidP="001704E6">
      <w:pPr>
        <w:pStyle w:val="Normal0"/>
        <w:numPr>
          <w:ilvl w:val="0"/>
          <w:numId w:val="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 </w:t>
      </w:r>
    </w:p>
    <w:p w14:paraId="54C68F30" w14:textId="77777777" w:rsidR="008F013B" w:rsidRPr="000D67C6" w:rsidRDefault="008F013B" w:rsidP="004F7CCB">
      <w:pPr>
        <w:pStyle w:val="Normal0"/>
        <w:spacing w:line="22" w:lineRule="atLeast"/>
        <w:jc w:val="both"/>
        <w:rPr>
          <w:rFonts w:ascii="Arial" w:hAnsi="Arial" w:cs="Arial"/>
          <w:sz w:val="22"/>
          <w:szCs w:val="22"/>
          <w:lang w:val="en-GB"/>
        </w:rPr>
      </w:pPr>
    </w:p>
    <w:p w14:paraId="60701833"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Cash and Cash Equivalents</w:t>
      </w:r>
    </w:p>
    <w:p w14:paraId="475D4EB8" w14:textId="77777777" w:rsidR="004F7CCB" w:rsidRPr="000D67C6" w:rsidRDefault="004F7CCB" w:rsidP="004F7CCB">
      <w:pPr>
        <w:pStyle w:val="Normal0"/>
        <w:spacing w:line="22" w:lineRule="atLeast"/>
        <w:ind w:left="360"/>
        <w:jc w:val="both"/>
        <w:rPr>
          <w:rFonts w:ascii="Arial" w:hAnsi="Arial" w:cs="Arial"/>
          <w:sz w:val="22"/>
          <w:szCs w:val="22"/>
          <w:lang w:val="en-GB"/>
        </w:rPr>
      </w:pPr>
    </w:p>
    <w:p w14:paraId="61A1BBC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Cash is represented by cash in hand and deposits with financial institutions repayable without penalty on notice of not more than 24 hours. Cash equivalents are highly liquid investments that mature in no more than three months or less from the date of acquisition and that are readily convertible to known amounts of cash with insignificant risk of change in value. </w:t>
      </w:r>
    </w:p>
    <w:p w14:paraId="14AE1126" w14:textId="77777777" w:rsidR="004F7CCB" w:rsidRPr="000D67C6" w:rsidRDefault="004F7CCB" w:rsidP="004F7CCB">
      <w:pPr>
        <w:pStyle w:val="Normal0"/>
        <w:spacing w:line="22" w:lineRule="atLeast"/>
        <w:jc w:val="both"/>
        <w:rPr>
          <w:rFonts w:ascii="Arial" w:hAnsi="Arial" w:cs="Arial"/>
          <w:sz w:val="22"/>
          <w:szCs w:val="22"/>
          <w:lang w:val="en-GB"/>
        </w:rPr>
      </w:pPr>
    </w:p>
    <w:p w14:paraId="74D48D55"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In the Cash Flow Statement, cash and cash equivalents are shown net of bank overdrafts that are repayable on demand and form an integral part of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’s cash management. </w:t>
      </w:r>
    </w:p>
    <w:p w14:paraId="193EEE5E"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1E4B42A0"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Prior Period Adjustments,</w:t>
      </w:r>
      <w:r w:rsidR="004F7CCB" w:rsidRPr="000D67C6">
        <w:rPr>
          <w:rFonts w:ascii="Arial" w:hAnsi="Arial" w:cs="Arial"/>
          <w:b/>
          <w:sz w:val="22"/>
          <w:szCs w:val="22"/>
          <w:lang w:val="en-GB"/>
        </w:rPr>
        <w:t xml:space="preserve"> Changes in Accounting Policies, </w:t>
      </w:r>
      <w:r w:rsidRPr="000D67C6">
        <w:rPr>
          <w:rFonts w:ascii="Arial" w:hAnsi="Arial" w:cs="Arial"/>
          <w:b/>
          <w:sz w:val="22"/>
          <w:szCs w:val="22"/>
          <w:lang w:val="en-GB"/>
        </w:rPr>
        <w:t>Estimates and Errors</w:t>
      </w:r>
    </w:p>
    <w:p w14:paraId="4847A9A0" w14:textId="77777777" w:rsidR="004F7CCB" w:rsidRPr="000D67C6" w:rsidRDefault="004F7CCB" w:rsidP="004F7CCB">
      <w:pPr>
        <w:pStyle w:val="Normal0"/>
        <w:spacing w:line="22" w:lineRule="atLeast"/>
        <w:ind w:left="360"/>
        <w:jc w:val="both"/>
        <w:rPr>
          <w:rFonts w:ascii="Arial" w:hAnsi="Arial" w:cs="Arial"/>
          <w:sz w:val="22"/>
          <w:szCs w:val="22"/>
          <w:lang w:val="en-GB"/>
        </w:rPr>
      </w:pPr>
    </w:p>
    <w:p w14:paraId="00432D21"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Prior period adjustments may arise as a result of a change in accounting policies or to correct a material error. Changes in accounting estimates are accounted for prospectively, i</w:t>
      </w:r>
      <w:r w:rsidR="00DB7BBE" w:rsidRPr="000D67C6">
        <w:rPr>
          <w:rFonts w:ascii="Arial" w:hAnsi="Arial" w:cs="Arial"/>
          <w:sz w:val="22"/>
          <w:szCs w:val="22"/>
          <w:lang w:val="en-GB"/>
        </w:rPr>
        <w:t>.</w:t>
      </w:r>
      <w:r w:rsidRPr="000D67C6">
        <w:rPr>
          <w:rFonts w:ascii="Arial" w:hAnsi="Arial" w:cs="Arial"/>
          <w:sz w:val="22"/>
          <w:szCs w:val="22"/>
          <w:lang w:val="en-GB"/>
        </w:rPr>
        <w:t>e</w:t>
      </w:r>
      <w:r w:rsidR="00DB7BBE" w:rsidRPr="000D67C6">
        <w:rPr>
          <w:rFonts w:ascii="Arial" w:hAnsi="Arial" w:cs="Arial"/>
          <w:sz w:val="22"/>
          <w:szCs w:val="22"/>
          <w:lang w:val="en-GB"/>
        </w:rPr>
        <w:t>.</w:t>
      </w:r>
      <w:r w:rsidRPr="000D67C6">
        <w:rPr>
          <w:rFonts w:ascii="Arial" w:hAnsi="Arial" w:cs="Arial"/>
          <w:sz w:val="22"/>
          <w:szCs w:val="22"/>
          <w:lang w:val="en-GB"/>
        </w:rPr>
        <w:t xml:space="preserve"> in the current and future years affected by the change and do not give rise to a prior period adjustment. </w:t>
      </w:r>
    </w:p>
    <w:p w14:paraId="2C2701D6" w14:textId="77777777" w:rsidR="008F013B" w:rsidRPr="000D67C6" w:rsidRDefault="008F013B" w:rsidP="004F7CCB">
      <w:pPr>
        <w:pStyle w:val="Normal0"/>
        <w:spacing w:line="22" w:lineRule="atLeast"/>
        <w:jc w:val="both"/>
        <w:rPr>
          <w:rFonts w:ascii="Arial" w:hAnsi="Arial" w:cs="Arial"/>
          <w:sz w:val="22"/>
          <w:szCs w:val="22"/>
          <w:lang w:val="en-GB"/>
        </w:rPr>
      </w:pPr>
    </w:p>
    <w:p w14:paraId="6F7E4715"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Changes in accounting policies are only made when required by proper accounting practices or the change provides more reliable or relevant information about the effect of transactions, other events and conditions on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’s financial position or financial performance. Where a change is made, it is applied retrospectively (unless stated otherwise) by adjusting opening balances and comparative amounts for the prior period as if the new policy had always been applied. </w:t>
      </w:r>
    </w:p>
    <w:p w14:paraId="5A79DEC6" w14:textId="77777777" w:rsidR="008F013B" w:rsidRPr="000D67C6" w:rsidRDefault="008F013B" w:rsidP="004F7CCB">
      <w:pPr>
        <w:pStyle w:val="Normal0"/>
        <w:spacing w:line="22" w:lineRule="atLeast"/>
        <w:jc w:val="both"/>
        <w:rPr>
          <w:rFonts w:ascii="Arial" w:hAnsi="Arial" w:cs="Arial"/>
          <w:sz w:val="22"/>
          <w:szCs w:val="22"/>
          <w:lang w:val="en-GB"/>
        </w:rPr>
      </w:pPr>
    </w:p>
    <w:p w14:paraId="10642C5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Material errors discovered in prior period figures are corrected retrospectively by amending opening balances and comparative amounts for the prior period.</w:t>
      </w:r>
    </w:p>
    <w:p w14:paraId="6E06F533" w14:textId="46C62200" w:rsidR="008F013B" w:rsidRPr="000D67C6" w:rsidRDefault="008F013B" w:rsidP="004F7CCB">
      <w:pPr>
        <w:pStyle w:val="Normal0"/>
        <w:spacing w:line="22" w:lineRule="atLeast"/>
        <w:jc w:val="both"/>
        <w:rPr>
          <w:rFonts w:ascii="Arial" w:hAnsi="Arial" w:cs="Arial"/>
          <w:sz w:val="22"/>
          <w:szCs w:val="22"/>
          <w:lang w:val="en-GB"/>
        </w:rPr>
      </w:pPr>
    </w:p>
    <w:p w14:paraId="1BF9AAAD"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 xml:space="preserve">Charges to Revenue for Non-current Assets </w:t>
      </w:r>
    </w:p>
    <w:p w14:paraId="54158025" w14:textId="77777777" w:rsidR="004F7CCB" w:rsidRPr="000D67C6" w:rsidRDefault="004F7CCB" w:rsidP="004F7CCB">
      <w:pPr>
        <w:pStyle w:val="Normal0"/>
        <w:spacing w:line="22" w:lineRule="atLeast"/>
        <w:ind w:left="360"/>
        <w:jc w:val="both"/>
        <w:rPr>
          <w:rFonts w:ascii="Arial" w:hAnsi="Arial" w:cs="Arial"/>
          <w:sz w:val="22"/>
          <w:szCs w:val="22"/>
          <w:lang w:val="en-GB"/>
        </w:rPr>
      </w:pPr>
    </w:p>
    <w:p w14:paraId="57E1E85A" w14:textId="680CE3EE"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Services are debited with the following amounts to record the cost of holding non-current assets during the year: </w:t>
      </w:r>
    </w:p>
    <w:p w14:paraId="109BA787" w14:textId="77777777" w:rsidR="004F7CCB" w:rsidRPr="000D67C6" w:rsidRDefault="004F7CCB" w:rsidP="004F7CCB">
      <w:pPr>
        <w:pStyle w:val="Normal0"/>
        <w:spacing w:line="22" w:lineRule="atLeast"/>
        <w:jc w:val="both"/>
        <w:rPr>
          <w:rFonts w:ascii="Arial" w:hAnsi="Arial" w:cs="Arial"/>
          <w:sz w:val="22"/>
          <w:szCs w:val="22"/>
          <w:lang w:val="en-GB"/>
        </w:rPr>
      </w:pPr>
    </w:p>
    <w:p w14:paraId="3E76AFEC" w14:textId="77777777" w:rsidR="008F013B" w:rsidRPr="000D67C6" w:rsidRDefault="008F013B" w:rsidP="001704E6">
      <w:pPr>
        <w:pStyle w:val="Normal0"/>
        <w:numPr>
          <w:ilvl w:val="0"/>
          <w:numId w:val="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depreciation attributable to the assets used by the relevant service </w:t>
      </w:r>
    </w:p>
    <w:p w14:paraId="6A47CE51" w14:textId="77777777" w:rsidR="008F013B" w:rsidRPr="000D67C6" w:rsidRDefault="008F013B" w:rsidP="001704E6">
      <w:pPr>
        <w:pStyle w:val="Normal0"/>
        <w:numPr>
          <w:ilvl w:val="0"/>
          <w:numId w:val="6"/>
        </w:numPr>
        <w:spacing w:line="22" w:lineRule="atLeast"/>
        <w:jc w:val="both"/>
        <w:rPr>
          <w:rFonts w:ascii="Arial" w:hAnsi="Arial" w:cs="Arial"/>
          <w:sz w:val="22"/>
          <w:szCs w:val="22"/>
          <w:lang w:val="en-GB"/>
        </w:rPr>
      </w:pPr>
      <w:r w:rsidRPr="000D67C6">
        <w:rPr>
          <w:rFonts w:ascii="Arial" w:hAnsi="Arial" w:cs="Arial"/>
          <w:sz w:val="22"/>
          <w:szCs w:val="22"/>
          <w:lang w:val="en-GB"/>
        </w:rPr>
        <w:t>revaluation and impairmen</w:t>
      </w:r>
      <w:r w:rsidR="00DB7BBE" w:rsidRPr="000D67C6">
        <w:rPr>
          <w:rFonts w:ascii="Arial" w:hAnsi="Arial" w:cs="Arial"/>
          <w:sz w:val="22"/>
          <w:szCs w:val="22"/>
          <w:lang w:val="en-GB"/>
        </w:rPr>
        <w:t>t losses on assets used by the S</w:t>
      </w:r>
      <w:r w:rsidRPr="000D67C6">
        <w:rPr>
          <w:rFonts w:ascii="Arial" w:hAnsi="Arial" w:cs="Arial"/>
          <w:sz w:val="22"/>
          <w:szCs w:val="22"/>
          <w:lang w:val="en-GB"/>
        </w:rPr>
        <w:t xml:space="preserve">ervice where there are no accumulated gains in the Revaluation Reserve against which the losses can be written off </w:t>
      </w:r>
    </w:p>
    <w:p w14:paraId="5FC2F49B" w14:textId="77777777" w:rsidR="008F013B" w:rsidRPr="000D67C6" w:rsidRDefault="008F013B" w:rsidP="001704E6">
      <w:pPr>
        <w:pStyle w:val="Normal0"/>
        <w:numPr>
          <w:ilvl w:val="0"/>
          <w:numId w:val="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amortisation of intangible assets attributable to the </w:t>
      </w:r>
      <w:r w:rsidR="00DB7BBE" w:rsidRPr="000D67C6">
        <w:rPr>
          <w:rFonts w:ascii="Arial" w:hAnsi="Arial" w:cs="Arial"/>
          <w:sz w:val="22"/>
          <w:szCs w:val="22"/>
          <w:lang w:val="en-GB"/>
        </w:rPr>
        <w:t>S</w:t>
      </w:r>
      <w:r w:rsidRPr="000D67C6">
        <w:rPr>
          <w:rFonts w:ascii="Arial" w:hAnsi="Arial" w:cs="Arial"/>
          <w:sz w:val="22"/>
          <w:szCs w:val="22"/>
          <w:lang w:val="en-GB"/>
        </w:rPr>
        <w:t xml:space="preserve">ervice. </w:t>
      </w:r>
    </w:p>
    <w:p w14:paraId="552ECFD3" w14:textId="77777777" w:rsidR="008F013B" w:rsidRPr="000D67C6" w:rsidRDefault="008F013B" w:rsidP="004F7CCB">
      <w:pPr>
        <w:pStyle w:val="Normal0"/>
        <w:spacing w:line="22" w:lineRule="atLeast"/>
        <w:jc w:val="both"/>
        <w:rPr>
          <w:rFonts w:ascii="Arial" w:hAnsi="Arial" w:cs="Arial"/>
          <w:sz w:val="22"/>
          <w:szCs w:val="22"/>
          <w:lang w:val="en-GB"/>
        </w:rPr>
      </w:pPr>
    </w:p>
    <w:p w14:paraId="7FE7B29B"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is not required to raise a levy to fund depreciation, revaluation and impairment losses or amortisation. However, it is required to make an annual contribution from revenue towards the reduction in its overall borrowing requirement equal to an amount calculated on a prudent basis determined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in accordance with statutory guidance.</w:t>
      </w:r>
      <w:r w:rsidR="004F7CCB" w:rsidRPr="000D67C6">
        <w:rPr>
          <w:rFonts w:ascii="Arial" w:hAnsi="Arial" w:cs="Arial"/>
          <w:sz w:val="22"/>
          <w:szCs w:val="22"/>
          <w:lang w:val="en-GB"/>
        </w:rPr>
        <w:t xml:space="preserve">  </w:t>
      </w:r>
      <w:r w:rsidRPr="000D67C6">
        <w:rPr>
          <w:rFonts w:ascii="Arial" w:hAnsi="Arial" w:cs="Arial"/>
          <w:sz w:val="22"/>
          <w:szCs w:val="22"/>
          <w:lang w:val="en-GB"/>
        </w:rPr>
        <w:t>Depreciation, revaluation and impairment losses and amortisation are therefore replaced by the contribution in the General Fund Balance (M</w:t>
      </w:r>
      <w:r w:rsidR="00294166" w:rsidRPr="000D67C6">
        <w:rPr>
          <w:rFonts w:ascii="Arial" w:hAnsi="Arial" w:cs="Arial"/>
          <w:sz w:val="22"/>
          <w:szCs w:val="22"/>
          <w:lang w:val="en-GB"/>
        </w:rPr>
        <w:t xml:space="preserve">inimum </w:t>
      </w:r>
      <w:r w:rsidRPr="000D67C6">
        <w:rPr>
          <w:rFonts w:ascii="Arial" w:hAnsi="Arial" w:cs="Arial"/>
          <w:sz w:val="22"/>
          <w:szCs w:val="22"/>
          <w:lang w:val="en-GB"/>
        </w:rPr>
        <w:t>R</w:t>
      </w:r>
      <w:r w:rsidR="00294166" w:rsidRPr="000D67C6">
        <w:rPr>
          <w:rFonts w:ascii="Arial" w:hAnsi="Arial" w:cs="Arial"/>
          <w:sz w:val="22"/>
          <w:szCs w:val="22"/>
          <w:lang w:val="en-GB"/>
        </w:rPr>
        <w:t xml:space="preserve">evenue </w:t>
      </w:r>
      <w:r w:rsidRPr="000D67C6">
        <w:rPr>
          <w:rFonts w:ascii="Arial" w:hAnsi="Arial" w:cs="Arial"/>
          <w:sz w:val="22"/>
          <w:szCs w:val="22"/>
          <w:lang w:val="en-GB"/>
        </w:rPr>
        <w:t>P</w:t>
      </w:r>
      <w:r w:rsidR="00294166" w:rsidRPr="000D67C6">
        <w:rPr>
          <w:rFonts w:ascii="Arial" w:hAnsi="Arial" w:cs="Arial"/>
          <w:sz w:val="22"/>
          <w:szCs w:val="22"/>
          <w:lang w:val="en-GB"/>
        </w:rPr>
        <w:t>rovision</w:t>
      </w:r>
      <w:r w:rsidRPr="000D67C6">
        <w:rPr>
          <w:rFonts w:ascii="Arial" w:hAnsi="Arial" w:cs="Arial"/>
          <w:sz w:val="22"/>
          <w:szCs w:val="22"/>
          <w:lang w:val="en-GB"/>
        </w:rPr>
        <w:t xml:space="preserve">) by way of an adjusting transaction with the Capital Adjustment Account in the Movement in Reserves Statement for the difference between the two. </w:t>
      </w:r>
    </w:p>
    <w:p w14:paraId="76BBE628" w14:textId="77777777" w:rsidR="008F013B" w:rsidRPr="000D67C6" w:rsidRDefault="008F013B" w:rsidP="004F7CCB">
      <w:pPr>
        <w:pStyle w:val="Normal0"/>
        <w:spacing w:line="22" w:lineRule="atLeast"/>
        <w:jc w:val="both"/>
        <w:rPr>
          <w:rFonts w:ascii="Arial" w:hAnsi="Arial" w:cs="Arial"/>
          <w:sz w:val="22"/>
          <w:szCs w:val="22"/>
          <w:lang w:val="en-GB"/>
        </w:rPr>
      </w:pPr>
    </w:p>
    <w:p w14:paraId="2179847E"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Employee Benefits</w:t>
      </w:r>
    </w:p>
    <w:p w14:paraId="4DDCA845" w14:textId="77777777" w:rsidR="004F7CCB" w:rsidRPr="000D67C6" w:rsidRDefault="004F7CCB" w:rsidP="004F7CCB">
      <w:pPr>
        <w:pStyle w:val="Normal0"/>
        <w:spacing w:line="22" w:lineRule="atLeast"/>
        <w:ind w:left="360"/>
        <w:jc w:val="both"/>
        <w:rPr>
          <w:rFonts w:ascii="Arial" w:hAnsi="Arial" w:cs="Arial"/>
          <w:sz w:val="22"/>
          <w:szCs w:val="22"/>
          <w:lang w:val="en-GB"/>
        </w:rPr>
      </w:pPr>
    </w:p>
    <w:p w14:paraId="25303862"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 Benefits Payable During Employment </w:t>
      </w:r>
    </w:p>
    <w:p w14:paraId="45EFCEDC" w14:textId="77777777" w:rsidR="00F54FD2" w:rsidRPr="000D67C6" w:rsidRDefault="00F54FD2" w:rsidP="004F7CCB">
      <w:pPr>
        <w:pStyle w:val="Normal0"/>
        <w:spacing w:line="22" w:lineRule="atLeast"/>
        <w:jc w:val="both"/>
        <w:rPr>
          <w:rFonts w:ascii="Arial" w:hAnsi="Arial" w:cs="Arial"/>
          <w:sz w:val="22"/>
          <w:szCs w:val="22"/>
          <w:lang w:val="en-GB"/>
        </w:rPr>
      </w:pPr>
    </w:p>
    <w:p w14:paraId="1BDF9DCC"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Short-term employee benefits are those due to be settled wholly within 12 months of the year-end. They include such benefits as wages and salaries, paid annual leave and paid sick leave, bonuses and non-monetary benefits (e</w:t>
      </w:r>
      <w:r w:rsidR="00294166" w:rsidRPr="000D67C6">
        <w:rPr>
          <w:rFonts w:ascii="Arial" w:hAnsi="Arial" w:cs="Arial"/>
          <w:sz w:val="22"/>
          <w:szCs w:val="22"/>
          <w:lang w:val="en-GB"/>
        </w:rPr>
        <w:t>.</w:t>
      </w:r>
      <w:r w:rsidRPr="000D67C6">
        <w:rPr>
          <w:rFonts w:ascii="Arial" w:hAnsi="Arial" w:cs="Arial"/>
          <w:sz w:val="22"/>
          <w:szCs w:val="22"/>
          <w:lang w:val="en-GB"/>
        </w:rPr>
        <w:t>g</w:t>
      </w:r>
      <w:r w:rsidR="00294166" w:rsidRPr="000D67C6">
        <w:rPr>
          <w:rFonts w:ascii="Arial" w:hAnsi="Arial" w:cs="Arial"/>
          <w:sz w:val="22"/>
          <w:szCs w:val="22"/>
          <w:lang w:val="en-GB"/>
        </w:rPr>
        <w:t>.</w:t>
      </w:r>
      <w:r w:rsidRPr="000D67C6">
        <w:rPr>
          <w:rFonts w:ascii="Arial" w:hAnsi="Arial" w:cs="Arial"/>
          <w:sz w:val="22"/>
          <w:szCs w:val="22"/>
          <w:lang w:val="en-GB"/>
        </w:rPr>
        <w:t xml:space="preserve"> cars) for current employees and are recognised as an expense for services in the year in which employees render service to the </w:t>
      </w:r>
      <w:r w:rsidR="00197018" w:rsidRPr="000D67C6">
        <w:rPr>
          <w:rFonts w:ascii="Arial" w:hAnsi="Arial" w:cs="Arial"/>
          <w:sz w:val="22"/>
          <w:szCs w:val="22"/>
          <w:lang w:val="en-GB"/>
        </w:rPr>
        <w:t>Authority</w:t>
      </w:r>
      <w:r w:rsidRPr="000D67C6">
        <w:rPr>
          <w:rFonts w:ascii="Arial" w:hAnsi="Arial" w:cs="Arial"/>
          <w:sz w:val="22"/>
          <w:szCs w:val="22"/>
          <w:lang w:val="en-GB"/>
        </w:rPr>
        <w:t>. An accrual is made for the cost of holiday entitlements (or any form of leave, e</w:t>
      </w:r>
      <w:r w:rsidR="00294166" w:rsidRPr="000D67C6">
        <w:rPr>
          <w:rFonts w:ascii="Arial" w:hAnsi="Arial" w:cs="Arial"/>
          <w:sz w:val="22"/>
          <w:szCs w:val="22"/>
          <w:lang w:val="en-GB"/>
        </w:rPr>
        <w:t>.</w:t>
      </w:r>
      <w:r w:rsidRPr="000D67C6">
        <w:rPr>
          <w:rFonts w:ascii="Arial" w:hAnsi="Arial" w:cs="Arial"/>
          <w:sz w:val="22"/>
          <w:szCs w:val="22"/>
          <w:lang w:val="en-GB"/>
        </w:rPr>
        <w:t>g</w:t>
      </w:r>
      <w:r w:rsidR="00294166" w:rsidRPr="000D67C6">
        <w:rPr>
          <w:rFonts w:ascii="Arial" w:hAnsi="Arial" w:cs="Arial"/>
          <w:sz w:val="22"/>
          <w:szCs w:val="22"/>
          <w:lang w:val="en-GB"/>
        </w:rPr>
        <w:t>.</w:t>
      </w:r>
      <w:r w:rsidRPr="000D67C6">
        <w:rPr>
          <w:rFonts w:ascii="Arial" w:hAnsi="Arial" w:cs="Arial"/>
          <w:sz w:val="22"/>
          <w:szCs w:val="22"/>
          <w:lang w:val="en-GB"/>
        </w:rPr>
        <w:t xml:space="preserve"> time off in lieu) earned by employees but not taken before the year-end which employees can carry forward into the next financial year. The accrual is made at the wage and salary rates applicable 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 </w:t>
      </w:r>
    </w:p>
    <w:p w14:paraId="6CB566B6" w14:textId="77777777" w:rsidR="008F013B" w:rsidRPr="000D67C6" w:rsidRDefault="008F013B" w:rsidP="004F7CCB">
      <w:pPr>
        <w:pStyle w:val="Normal0"/>
        <w:spacing w:line="22" w:lineRule="atLeast"/>
        <w:jc w:val="both"/>
        <w:rPr>
          <w:rFonts w:ascii="Arial" w:hAnsi="Arial" w:cs="Arial"/>
          <w:sz w:val="22"/>
          <w:szCs w:val="22"/>
          <w:lang w:val="en-GB"/>
        </w:rPr>
      </w:pPr>
    </w:p>
    <w:p w14:paraId="06323886"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 Termination Benefits </w:t>
      </w:r>
    </w:p>
    <w:p w14:paraId="4FAF2F71" w14:textId="77777777" w:rsidR="00F54FD2" w:rsidRPr="000D67C6" w:rsidRDefault="00F54FD2" w:rsidP="004F7CCB">
      <w:pPr>
        <w:pStyle w:val="Normal0"/>
        <w:spacing w:line="22" w:lineRule="atLeast"/>
        <w:jc w:val="both"/>
        <w:rPr>
          <w:rFonts w:ascii="Arial" w:hAnsi="Arial" w:cs="Arial"/>
          <w:sz w:val="22"/>
          <w:szCs w:val="22"/>
          <w:lang w:val="en-GB"/>
        </w:rPr>
      </w:pPr>
    </w:p>
    <w:p w14:paraId="0EBBD5D3"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Termination benefits are amounts payable as a result of a decision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to terminate an officer’s employment before the normal retirement date or an officer’s decision to accept voluntary redundancy in exchange for those benefits and are charged on an accruals basis to the appropriate service segment or, where applicable, to a corporate service segment at the earlier of when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can no longer withdraw the offer of those benefits or when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recognises costs for a restructuring. Where termination benefits involve the enhancement of pensions, statutory provisions require the General Fund Balance to be charged with the amount payable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 </w:t>
      </w:r>
    </w:p>
    <w:p w14:paraId="5706B5F9" w14:textId="77777777" w:rsidR="008F013B" w:rsidRPr="000D67C6" w:rsidRDefault="008F013B" w:rsidP="004F7CCB">
      <w:pPr>
        <w:pStyle w:val="Normal0"/>
        <w:spacing w:line="22" w:lineRule="atLeast"/>
        <w:jc w:val="both"/>
        <w:rPr>
          <w:rFonts w:ascii="Arial" w:hAnsi="Arial" w:cs="Arial"/>
          <w:sz w:val="22"/>
          <w:szCs w:val="22"/>
          <w:lang w:val="en-GB"/>
        </w:rPr>
      </w:pPr>
    </w:p>
    <w:p w14:paraId="378005B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 Post-employment Benefits </w:t>
      </w:r>
    </w:p>
    <w:p w14:paraId="456946A1" w14:textId="77777777" w:rsidR="00F54FD2" w:rsidRPr="000D67C6" w:rsidRDefault="00F54FD2" w:rsidP="004F7CCB">
      <w:pPr>
        <w:pStyle w:val="Normal0"/>
        <w:spacing w:line="22" w:lineRule="atLeast"/>
        <w:jc w:val="both"/>
        <w:rPr>
          <w:rFonts w:ascii="Arial" w:hAnsi="Arial" w:cs="Arial"/>
          <w:sz w:val="22"/>
          <w:szCs w:val="22"/>
          <w:lang w:val="en-GB"/>
        </w:rPr>
      </w:pPr>
    </w:p>
    <w:p w14:paraId="72C76AF2"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Employees of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are members of two separate pension schemes: </w:t>
      </w:r>
      <w:proofErr w:type="gramStart"/>
      <w:r w:rsidRPr="000D67C6">
        <w:rPr>
          <w:rFonts w:ascii="Arial" w:hAnsi="Arial" w:cs="Arial"/>
          <w:sz w:val="22"/>
          <w:szCs w:val="22"/>
          <w:lang w:val="en-GB"/>
        </w:rPr>
        <w:t>the</w:t>
      </w:r>
      <w:proofErr w:type="gramEnd"/>
      <w:r w:rsidR="007743F1" w:rsidRPr="000D67C6">
        <w:rPr>
          <w:rFonts w:ascii="Arial" w:hAnsi="Arial" w:cs="Arial"/>
          <w:sz w:val="22"/>
          <w:szCs w:val="22"/>
          <w:lang w:val="en-GB"/>
        </w:rPr>
        <w:t xml:space="preserve"> </w:t>
      </w:r>
      <w:r w:rsidRPr="000D67C6">
        <w:rPr>
          <w:rFonts w:ascii="Arial" w:hAnsi="Arial" w:cs="Arial"/>
          <w:sz w:val="22"/>
          <w:szCs w:val="22"/>
          <w:lang w:val="en-GB"/>
        </w:rPr>
        <w:t xml:space="preserve">Local Government Pensions Scheme, administered by Dyfed Pension Fund, Carmarthenshire County Council; and the Firefighter Pension Scheme, administered by Dyfed Pension Fund, Carmarthenshire County Council. </w:t>
      </w:r>
    </w:p>
    <w:p w14:paraId="675ECBA9" w14:textId="77777777" w:rsidR="008F013B" w:rsidRPr="000D67C6" w:rsidRDefault="008F013B" w:rsidP="004F7CCB">
      <w:pPr>
        <w:pStyle w:val="Normal0"/>
        <w:spacing w:line="22" w:lineRule="atLeast"/>
        <w:jc w:val="both"/>
        <w:rPr>
          <w:rFonts w:ascii="Arial" w:hAnsi="Arial" w:cs="Arial"/>
          <w:sz w:val="22"/>
          <w:szCs w:val="22"/>
          <w:lang w:val="en-GB"/>
        </w:rPr>
      </w:pPr>
    </w:p>
    <w:p w14:paraId="3AB7F513"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Both schemes provided defined benefits to members (retirement lump sums and pensions), earned as employees worked for the </w:t>
      </w:r>
      <w:r w:rsidR="00197018" w:rsidRPr="000D67C6">
        <w:rPr>
          <w:rFonts w:ascii="Arial" w:hAnsi="Arial" w:cs="Arial"/>
          <w:sz w:val="22"/>
          <w:szCs w:val="22"/>
          <w:lang w:val="en-GB"/>
        </w:rPr>
        <w:t>Authority</w:t>
      </w:r>
      <w:r w:rsidRPr="000D67C6">
        <w:rPr>
          <w:rFonts w:ascii="Arial" w:hAnsi="Arial" w:cs="Arial"/>
          <w:sz w:val="22"/>
          <w:szCs w:val="22"/>
          <w:lang w:val="en-GB"/>
        </w:rPr>
        <w:t>. However, the Local Government Pension Scheme is funded through the ownership of assets, the Firefighter Pension Scheme is unfunded.</w:t>
      </w:r>
    </w:p>
    <w:p w14:paraId="3E41BC35" w14:textId="77777777" w:rsidR="008F013B" w:rsidRPr="000D67C6" w:rsidRDefault="008F013B" w:rsidP="004F7CCB">
      <w:pPr>
        <w:pStyle w:val="Normal0"/>
        <w:spacing w:line="22" w:lineRule="atLeast"/>
        <w:jc w:val="both"/>
        <w:rPr>
          <w:rFonts w:ascii="Arial" w:hAnsi="Arial" w:cs="Arial"/>
          <w:b/>
          <w:sz w:val="22"/>
          <w:szCs w:val="22"/>
          <w:lang w:val="en-GB"/>
        </w:rPr>
      </w:pPr>
    </w:p>
    <w:p w14:paraId="7ADE2314"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The Local Government Pension Scheme </w:t>
      </w:r>
      <w:r w:rsidR="00DE1B96" w:rsidRPr="000D67C6">
        <w:rPr>
          <w:rFonts w:ascii="Arial" w:hAnsi="Arial" w:cs="Arial"/>
          <w:b/>
          <w:sz w:val="22"/>
          <w:szCs w:val="22"/>
          <w:lang w:val="en-GB"/>
        </w:rPr>
        <w:t>LGPS</w:t>
      </w:r>
    </w:p>
    <w:p w14:paraId="36F4B0B3" w14:textId="77777777" w:rsidR="008F013B" w:rsidRPr="000D67C6" w:rsidRDefault="008F013B" w:rsidP="004F7CCB">
      <w:pPr>
        <w:pStyle w:val="Normal0"/>
        <w:spacing w:line="22" w:lineRule="atLeast"/>
        <w:jc w:val="both"/>
        <w:rPr>
          <w:rFonts w:ascii="Arial" w:hAnsi="Arial" w:cs="Arial"/>
          <w:sz w:val="22"/>
          <w:szCs w:val="22"/>
          <w:lang w:val="en-GB"/>
        </w:rPr>
      </w:pPr>
    </w:p>
    <w:p w14:paraId="642B955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DE1B96" w:rsidRPr="000D67C6">
        <w:rPr>
          <w:rFonts w:ascii="Arial" w:hAnsi="Arial" w:cs="Arial"/>
          <w:sz w:val="22"/>
          <w:szCs w:val="22"/>
          <w:lang w:val="en-GB"/>
        </w:rPr>
        <w:t>LGPS</w:t>
      </w:r>
      <w:r w:rsidRPr="000D67C6">
        <w:rPr>
          <w:rFonts w:ascii="Arial" w:hAnsi="Arial" w:cs="Arial"/>
          <w:sz w:val="22"/>
          <w:szCs w:val="22"/>
          <w:lang w:val="en-GB"/>
        </w:rPr>
        <w:t xml:space="preserve"> is accounted for as a defined benefits scheme: </w:t>
      </w:r>
    </w:p>
    <w:p w14:paraId="770E4F40" w14:textId="77777777" w:rsidR="00F54FD2" w:rsidRPr="000D67C6" w:rsidRDefault="00F54FD2" w:rsidP="004F7CCB">
      <w:pPr>
        <w:pStyle w:val="Normal0"/>
        <w:spacing w:line="22" w:lineRule="atLeast"/>
        <w:jc w:val="both"/>
        <w:rPr>
          <w:rFonts w:ascii="Arial" w:hAnsi="Arial" w:cs="Arial"/>
          <w:sz w:val="22"/>
          <w:szCs w:val="22"/>
          <w:lang w:val="en-GB"/>
        </w:rPr>
      </w:pPr>
    </w:p>
    <w:p w14:paraId="7B03401C" w14:textId="77777777" w:rsidR="008F013B" w:rsidRPr="000D67C6" w:rsidRDefault="008F013B" w:rsidP="001704E6">
      <w:pPr>
        <w:pStyle w:val="Normal0"/>
        <w:numPr>
          <w:ilvl w:val="0"/>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The liabilities of the Dyfed Pension Fund attributable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are included in the Balance Sheet on an actuarial basis using the projected unit method – i</w:t>
      </w:r>
      <w:r w:rsidR="00DE1B96" w:rsidRPr="000D67C6">
        <w:rPr>
          <w:rFonts w:ascii="Arial" w:hAnsi="Arial" w:cs="Arial"/>
          <w:sz w:val="22"/>
          <w:szCs w:val="22"/>
          <w:lang w:val="en-GB"/>
        </w:rPr>
        <w:t>.</w:t>
      </w:r>
      <w:r w:rsidRPr="000D67C6">
        <w:rPr>
          <w:rFonts w:ascii="Arial" w:hAnsi="Arial" w:cs="Arial"/>
          <w:sz w:val="22"/>
          <w:szCs w:val="22"/>
          <w:lang w:val="en-GB"/>
        </w:rPr>
        <w:t>e</w:t>
      </w:r>
      <w:r w:rsidR="00DE1B96" w:rsidRPr="000D67C6">
        <w:rPr>
          <w:rFonts w:ascii="Arial" w:hAnsi="Arial" w:cs="Arial"/>
          <w:sz w:val="22"/>
          <w:szCs w:val="22"/>
          <w:lang w:val="en-GB"/>
        </w:rPr>
        <w:t>.</w:t>
      </w:r>
      <w:r w:rsidRPr="000D67C6">
        <w:rPr>
          <w:rFonts w:ascii="Arial" w:hAnsi="Arial" w:cs="Arial"/>
          <w:sz w:val="22"/>
          <w:szCs w:val="22"/>
          <w:lang w:val="en-GB"/>
        </w:rPr>
        <w:t xml:space="preserve"> an assessment of the future payments that will be made in relation to retirement benefits earned to date by employees, based on assumptions about mortality rates, employee turnover rates, etc, and projections of earnings for current employees. </w:t>
      </w:r>
    </w:p>
    <w:p w14:paraId="46BF67BC" w14:textId="77777777" w:rsidR="008F013B" w:rsidRPr="000D67C6" w:rsidRDefault="008F013B" w:rsidP="001704E6">
      <w:pPr>
        <w:pStyle w:val="Normal0"/>
        <w:numPr>
          <w:ilvl w:val="0"/>
          <w:numId w:val="7"/>
        </w:numPr>
        <w:spacing w:line="22" w:lineRule="atLeast"/>
        <w:jc w:val="both"/>
        <w:rPr>
          <w:rFonts w:ascii="Arial" w:hAnsi="Arial" w:cs="Arial"/>
          <w:sz w:val="22"/>
          <w:szCs w:val="22"/>
          <w:lang w:val="en-GB"/>
        </w:rPr>
      </w:pPr>
      <w:r w:rsidRPr="000D67C6">
        <w:rPr>
          <w:rFonts w:ascii="Arial" w:hAnsi="Arial" w:cs="Arial"/>
          <w:sz w:val="22"/>
          <w:szCs w:val="22"/>
          <w:lang w:val="en-GB"/>
        </w:rPr>
        <w:t>Liabilities are discounted to their value at current prices, using a discount rate of 2.</w:t>
      </w:r>
      <w:r w:rsidR="00501663" w:rsidRPr="000D67C6">
        <w:rPr>
          <w:rFonts w:ascii="Arial" w:hAnsi="Arial" w:cs="Arial"/>
          <w:sz w:val="22"/>
          <w:szCs w:val="22"/>
          <w:lang w:val="en-GB"/>
        </w:rPr>
        <w:t>7</w:t>
      </w:r>
      <w:r w:rsidRPr="000D67C6">
        <w:rPr>
          <w:rFonts w:ascii="Arial" w:hAnsi="Arial" w:cs="Arial"/>
          <w:sz w:val="22"/>
          <w:szCs w:val="22"/>
          <w:lang w:val="en-GB"/>
        </w:rPr>
        <w:t xml:space="preserve">% (based on the indicative rate of return on high quality corporate bonds). </w:t>
      </w:r>
    </w:p>
    <w:p w14:paraId="37FB70FD" w14:textId="77777777" w:rsidR="008F013B" w:rsidRPr="000D67C6" w:rsidRDefault="008F013B" w:rsidP="001704E6">
      <w:pPr>
        <w:pStyle w:val="Normal0"/>
        <w:numPr>
          <w:ilvl w:val="0"/>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The assets of Dyfed Pension Fund attributable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are included in the Balance Sheet at their fair value: </w:t>
      </w:r>
    </w:p>
    <w:p w14:paraId="442A5DA5"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28576493" w14:textId="77777777" w:rsidR="008F013B" w:rsidRPr="000D67C6" w:rsidRDefault="008F013B" w:rsidP="001704E6">
      <w:pPr>
        <w:pStyle w:val="Normal0"/>
        <w:numPr>
          <w:ilvl w:val="1"/>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quoted securities – current bid price </w:t>
      </w:r>
    </w:p>
    <w:p w14:paraId="3BBA28E1" w14:textId="77777777" w:rsidR="008F013B" w:rsidRPr="000D67C6" w:rsidRDefault="008F013B" w:rsidP="001704E6">
      <w:pPr>
        <w:pStyle w:val="Normal0"/>
        <w:numPr>
          <w:ilvl w:val="1"/>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unquoted securities – professional estimate </w:t>
      </w:r>
    </w:p>
    <w:p w14:paraId="6FBF1288" w14:textId="77777777" w:rsidR="008F013B" w:rsidRPr="000D67C6" w:rsidRDefault="008F013B" w:rsidP="001704E6">
      <w:pPr>
        <w:pStyle w:val="Normal0"/>
        <w:numPr>
          <w:ilvl w:val="1"/>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unitised securities – current bid price </w:t>
      </w:r>
    </w:p>
    <w:p w14:paraId="1036E099" w14:textId="77777777" w:rsidR="008F013B" w:rsidRPr="000D67C6" w:rsidRDefault="008F013B" w:rsidP="001704E6">
      <w:pPr>
        <w:pStyle w:val="Normal0"/>
        <w:numPr>
          <w:ilvl w:val="1"/>
          <w:numId w:val="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property – market value </w:t>
      </w:r>
    </w:p>
    <w:p w14:paraId="2453045B"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 </w:t>
      </w:r>
    </w:p>
    <w:p w14:paraId="1FDAE86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change in the net pensions liability is analysed into the following components: </w:t>
      </w:r>
    </w:p>
    <w:p w14:paraId="2C13A7D8"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Service cost comprising: </w:t>
      </w:r>
    </w:p>
    <w:p w14:paraId="091AC1D2" w14:textId="77777777" w:rsidR="00F54FD2" w:rsidRPr="000D67C6" w:rsidRDefault="00F54FD2" w:rsidP="004F7CCB">
      <w:pPr>
        <w:pStyle w:val="Normal0"/>
        <w:spacing w:line="22" w:lineRule="atLeast"/>
        <w:jc w:val="both"/>
        <w:rPr>
          <w:rFonts w:ascii="Arial" w:hAnsi="Arial" w:cs="Arial"/>
          <w:color w:val="5B9BD5" w:themeColor="accent1"/>
          <w:sz w:val="22"/>
          <w:szCs w:val="22"/>
          <w:lang w:val="en-GB"/>
        </w:rPr>
      </w:pPr>
    </w:p>
    <w:p w14:paraId="628A392E" w14:textId="77777777" w:rsidR="008F013B" w:rsidRPr="000D67C6" w:rsidRDefault="00F54FD2" w:rsidP="001704E6">
      <w:pPr>
        <w:pStyle w:val="Normal0"/>
        <w:numPr>
          <w:ilvl w:val="0"/>
          <w:numId w:val="8"/>
        </w:numPr>
        <w:spacing w:line="22" w:lineRule="atLeast"/>
        <w:jc w:val="both"/>
        <w:rPr>
          <w:rFonts w:ascii="Arial" w:hAnsi="Arial" w:cs="Arial"/>
          <w:sz w:val="22"/>
          <w:szCs w:val="22"/>
          <w:lang w:val="en-GB"/>
        </w:rPr>
      </w:pPr>
      <w:r w:rsidRPr="000D67C6">
        <w:rPr>
          <w:rFonts w:ascii="Arial" w:hAnsi="Arial" w:cs="Arial"/>
          <w:sz w:val="22"/>
          <w:szCs w:val="22"/>
          <w:lang w:val="en-GB"/>
        </w:rPr>
        <w:t>C</w:t>
      </w:r>
      <w:r w:rsidR="008F013B" w:rsidRPr="000D67C6">
        <w:rPr>
          <w:rFonts w:ascii="Arial" w:hAnsi="Arial" w:cs="Arial"/>
          <w:sz w:val="22"/>
          <w:szCs w:val="22"/>
          <w:lang w:val="en-GB"/>
        </w:rPr>
        <w:t>urrent service cost – the increase in liabilities as a result of years of service earned this year – allocated in the Comprehensive Income and Expenditure Statement to the services</w:t>
      </w:r>
      <w:r w:rsidRPr="000D67C6">
        <w:rPr>
          <w:rFonts w:ascii="Arial" w:hAnsi="Arial" w:cs="Arial"/>
          <w:sz w:val="22"/>
          <w:szCs w:val="22"/>
          <w:lang w:val="en-GB"/>
        </w:rPr>
        <w:t xml:space="preserve"> for which the employees worked.</w:t>
      </w:r>
    </w:p>
    <w:p w14:paraId="6BC073C6" w14:textId="77777777" w:rsidR="00F54FD2" w:rsidRPr="000D67C6" w:rsidRDefault="00F54FD2" w:rsidP="001704E6">
      <w:pPr>
        <w:pStyle w:val="Normal0"/>
        <w:numPr>
          <w:ilvl w:val="0"/>
          <w:numId w:val="8"/>
        </w:numPr>
        <w:spacing w:line="22" w:lineRule="atLeast"/>
        <w:jc w:val="both"/>
        <w:rPr>
          <w:rFonts w:ascii="Arial" w:hAnsi="Arial" w:cs="Arial"/>
          <w:sz w:val="22"/>
          <w:szCs w:val="22"/>
          <w:lang w:val="en-GB"/>
        </w:rPr>
      </w:pPr>
      <w:r w:rsidRPr="000D67C6">
        <w:rPr>
          <w:rFonts w:ascii="Arial" w:hAnsi="Arial" w:cs="Arial"/>
          <w:sz w:val="22"/>
          <w:szCs w:val="22"/>
          <w:lang w:val="en-GB"/>
        </w:rPr>
        <w:t>P</w:t>
      </w:r>
      <w:r w:rsidR="008F013B" w:rsidRPr="000D67C6">
        <w:rPr>
          <w:rFonts w:ascii="Arial" w:hAnsi="Arial" w:cs="Arial"/>
          <w:sz w:val="22"/>
          <w:szCs w:val="22"/>
          <w:lang w:val="en-GB"/>
        </w:rPr>
        <w:t>ast service cost – the increase in liabilities as a result of a scheme amendment or curtailment whose effect relates to years of service earned in earlier years – debited to the Surplus or Deficit on the Provision of Services in the Comprehensive Income and Expenditure Statement.</w:t>
      </w:r>
    </w:p>
    <w:p w14:paraId="51265981" w14:textId="77777777" w:rsidR="00F54FD2" w:rsidRPr="000D67C6" w:rsidRDefault="00F54FD2" w:rsidP="001704E6">
      <w:pPr>
        <w:pStyle w:val="Normal0"/>
        <w:numPr>
          <w:ilvl w:val="0"/>
          <w:numId w:val="8"/>
        </w:numPr>
        <w:spacing w:line="22" w:lineRule="atLeast"/>
        <w:jc w:val="both"/>
        <w:rPr>
          <w:rFonts w:ascii="Arial" w:hAnsi="Arial" w:cs="Arial"/>
          <w:sz w:val="22"/>
          <w:szCs w:val="22"/>
          <w:lang w:val="en-GB"/>
        </w:rPr>
      </w:pPr>
      <w:r w:rsidRPr="000D67C6">
        <w:rPr>
          <w:rFonts w:ascii="Arial" w:hAnsi="Arial" w:cs="Arial"/>
          <w:sz w:val="22"/>
          <w:szCs w:val="22"/>
          <w:lang w:val="en-GB"/>
        </w:rPr>
        <w:t>N</w:t>
      </w:r>
      <w:r w:rsidR="008F013B" w:rsidRPr="000D67C6">
        <w:rPr>
          <w:rFonts w:ascii="Arial" w:hAnsi="Arial" w:cs="Arial"/>
          <w:sz w:val="22"/>
          <w:szCs w:val="22"/>
          <w:lang w:val="en-GB"/>
        </w:rPr>
        <w:t>et interest on the net defined benefit liability (asset), i</w:t>
      </w:r>
      <w:r w:rsidR="00DE1B96" w:rsidRPr="000D67C6">
        <w:rPr>
          <w:rFonts w:ascii="Arial" w:hAnsi="Arial" w:cs="Arial"/>
          <w:sz w:val="22"/>
          <w:szCs w:val="22"/>
          <w:lang w:val="en-GB"/>
        </w:rPr>
        <w:t>.</w:t>
      </w:r>
      <w:r w:rsidR="008F013B" w:rsidRPr="000D67C6">
        <w:rPr>
          <w:rFonts w:ascii="Arial" w:hAnsi="Arial" w:cs="Arial"/>
          <w:sz w:val="22"/>
          <w:szCs w:val="22"/>
          <w:lang w:val="en-GB"/>
        </w:rPr>
        <w:t>e</w:t>
      </w:r>
      <w:r w:rsidR="00DE1B96" w:rsidRPr="000D67C6">
        <w:rPr>
          <w:rFonts w:ascii="Arial" w:hAnsi="Arial" w:cs="Arial"/>
          <w:sz w:val="22"/>
          <w:szCs w:val="22"/>
          <w:lang w:val="en-GB"/>
        </w:rPr>
        <w:t>.</w:t>
      </w:r>
      <w:r w:rsidR="008F013B" w:rsidRPr="000D67C6">
        <w:rPr>
          <w:rFonts w:ascii="Arial" w:hAnsi="Arial" w:cs="Arial"/>
          <w:sz w:val="22"/>
          <w:szCs w:val="22"/>
          <w:lang w:val="en-GB"/>
        </w:rPr>
        <w:t xml:space="preserve"> net interest expense for the </w:t>
      </w:r>
      <w:r w:rsidR="00197018" w:rsidRPr="000D67C6">
        <w:rPr>
          <w:rFonts w:ascii="Arial" w:hAnsi="Arial" w:cs="Arial"/>
          <w:sz w:val="22"/>
          <w:szCs w:val="22"/>
          <w:lang w:val="en-GB"/>
        </w:rPr>
        <w:t>Authority</w:t>
      </w:r>
      <w:r w:rsidR="008F013B" w:rsidRPr="000D67C6">
        <w:rPr>
          <w:rFonts w:ascii="Arial" w:hAnsi="Arial" w:cs="Arial"/>
          <w:sz w:val="22"/>
          <w:szCs w:val="22"/>
          <w:lang w:val="en-GB"/>
        </w:rPr>
        <w:t xml:space="preserve"> – the change during the period in the net defined benefit liability (asset) that arises from the passage of time charged to the Financing and Investment Income and Expenditure line of the Comprehensive Income and Expenditure Statement – this is calculated by applying the discount rate used to measure the defined benefit obligation at the beginning of the period to the net defined benefit liability (asset) at the beginning of the period – taking into account any changes in the net defined benefit liability (asset) during the period as a result of contribution and benefit payments. </w:t>
      </w:r>
    </w:p>
    <w:p w14:paraId="47449D54" w14:textId="77777777" w:rsidR="00F54FD2" w:rsidRPr="000D67C6" w:rsidRDefault="00F54FD2" w:rsidP="00F54FD2">
      <w:pPr>
        <w:pStyle w:val="ListParagraph"/>
        <w:rPr>
          <w:rFonts w:ascii="Arial" w:hAnsi="Arial" w:cs="Arial"/>
          <w:color w:val="5B9BD5" w:themeColor="accent1"/>
          <w:sz w:val="22"/>
          <w:szCs w:val="22"/>
          <w:lang w:val="en-GB"/>
        </w:rPr>
      </w:pPr>
    </w:p>
    <w:p w14:paraId="2E5475D6" w14:textId="77777777" w:rsidR="008F013B" w:rsidRPr="000D67C6" w:rsidRDefault="008F013B" w:rsidP="00F54FD2">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Remeasurements comprising: </w:t>
      </w:r>
    </w:p>
    <w:p w14:paraId="79394FCE" w14:textId="77777777" w:rsidR="00F54FD2" w:rsidRPr="000D67C6" w:rsidRDefault="00F54FD2" w:rsidP="00F54FD2">
      <w:pPr>
        <w:pStyle w:val="Normal0"/>
        <w:spacing w:line="22" w:lineRule="atLeast"/>
        <w:jc w:val="both"/>
        <w:rPr>
          <w:rFonts w:ascii="Arial" w:hAnsi="Arial" w:cs="Arial"/>
          <w:sz w:val="22"/>
          <w:szCs w:val="22"/>
          <w:lang w:val="en-GB"/>
        </w:rPr>
      </w:pPr>
    </w:p>
    <w:p w14:paraId="26B79377" w14:textId="77777777" w:rsidR="008F013B" w:rsidRPr="000D67C6" w:rsidRDefault="008F013B" w:rsidP="001704E6">
      <w:pPr>
        <w:pStyle w:val="Normal0"/>
        <w:numPr>
          <w:ilvl w:val="0"/>
          <w:numId w:val="9"/>
        </w:numPr>
        <w:spacing w:line="22" w:lineRule="atLeast"/>
        <w:jc w:val="both"/>
        <w:rPr>
          <w:rFonts w:ascii="Arial" w:hAnsi="Arial" w:cs="Arial"/>
          <w:sz w:val="22"/>
          <w:szCs w:val="22"/>
          <w:lang w:val="en-GB"/>
        </w:rPr>
      </w:pPr>
      <w:r w:rsidRPr="000D67C6">
        <w:rPr>
          <w:rFonts w:ascii="Arial" w:hAnsi="Arial" w:cs="Arial"/>
          <w:sz w:val="22"/>
          <w:szCs w:val="22"/>
          <w:lang w:val="en-GB"/>
        </w:rPr>
        <w:t>the return on plan assets – excluding amounts included in net interest on the net defined benefit liability (asset) – charged to the Pensions Reserve as Other Comprehensive Income and Expenditure</w:t>
      </w:r>
      <w:r w:rsidR="00F54FD2" w:rsidRPr="000D67C6">
        <w:rPr>
          <w:rFonts w:ascii="Arial" w:hAnsi="Arial" w:cs="Arial"/>
          <w:sz w:val="22"/>
          <w:szCs w:val="22"/>
          <w:lang w:val="en-GB"/>
        </w:rPr>
        <w:t>.</w:t>
      </w:r>
    </w:p>
    <w:p w14:paraId="6BA0F8FF" w14:textId="77777777" w:rsidR="008F013B" w:rsidRPr="000D67C6" w:rsidRDefault="008F013B" w:rsidP="001704E6">
      <w:pPr>
        <w:pStyle w:val="Normal0"/>
        <w:numPr>
          <w:ilvl w:val="0"/>
          <w:numId w:val="9"/>
        </w:numPr>
        <w:spacing w:line="22" w:lineRule="atLeast"/>
        <w:jc w:val="both"/>
        <w:rPr>
          <w:rFonts w:ascii="Arial" w:hAnsi="Arial" w:cs="Arial"/>
          <w:sz w:val="22"/>
          <w:szCs w:val="22"/>
          <w:lang w:val="en-GB"/>
        </w:rPr>
      </w:pPr>
      <w:r w:rsidRPr="000D67C6">
        <w:rPr>
          <w:rFonts w:ascii="Arial" w:hAnsi="Arial" w:cs="Arial"/>
          <w:sz w:val="22"/>
          <w:szCs w:val="22"/>
          <w:lang w:val="en-GB"/>
        </w:rPr>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w:t>
      </w:r>
      <w:r w:rsidR="00F54FD2" w:rsidRPr="000D67C6">
        <w:rPr>
          <w:rFonts w:ascii="Arial" w:hAnsi="Arial" w:cs="Arial"/>
          <w:sz w:val="22"/>
          <w:szCs w:val="22"/>
          <w:lang w:val="en-GB"/>
        </w:rPr>
        <w:t>.</w:t>
      </w:r>
    </w:p>
    <w:p w14:paraId="197D3464"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734FAD94"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Contributions paid to the Dyfed Pension Fund – cash paid as employer’s contributions to the pension fund in settlement of liabilities; not accounted for as an expense. </w:t>
      </w:r>
    </w:p>
    <w:p w14:paraId="52C2EB05"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1ABEFA28"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The Firefighter Pension Scheme </w:t>
      </w:r>
      <w:r w:rsidR="00DE1B96" w:rsidRPr="000D67C6">
        <w:rPr>
          <w:rFonts w:ascii="Arial" w:hAnsi="Arial" w:cs="Arial"/>
          <w:b/>
          <w:sz w:val="22"/>
          <w:szCs w:val="22"/>
          <w:lang w:val="en-GB"/>
        </w:rPr>
        <w:t>FFPS</w:t>
      </w:r>
    </w:p>
    <w:p w14:paraId="2B8F941E" w14:textId="77777777" w:rsidR="008F013B" w:rsidRPr="000D67C6" w:rsidRDefault="008F013B" w:rsidP="004F7CCB">
      <w:pPr>
        <w:pStyle w:val="Normal0"/>
        <w:spacing w:line="22" w:lineRule="atLeast"/>
        <w:jc w:val="both"/>
        <w:rPr>
          <w:rFonts w:ascii="Arial" w:hAnsi="Arial" w:cs="Arial"/>
          <w:sz w:val="22"/>
          <w:szCs w:val="22"/>
          <w:lang w:val="en-GB"/>
        </w:rPr>
      </w:pPr>
    </w:p>
    <w:p w14:paraId="3E321698"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DE1B96" w:rsidRPr="000D67C6">
        <w:rPr>
          <w:rFonts w:ascii="Arial" w:hAnsi="Arial" w:cs="Arial"/>
          <w:sz w:val="22"/>
          <w:szCs w:val="22"/>
          <w:lang w:val="en-GB"/>
        </w:rPr>
        <w:t>FFPS</w:t>
      </w:r>
      <w:r w:rsidRPr="000D67C6">
        <w:rPr>
          <w:rFonts w:ascii="Arial" w:hAnsi="Arial" w:cs="Arial"/>
          <w:sz w:val="22"/>
          <w:szCs w:val="22"/>
          <w:lang w:val="en-GB"/>
        </w:rPr>
        <w:t xml:space="preserve"> is accounted for as an unfunded defined benefits scheme, the scheme has no assets and no investment income: </w:t>
      </w:r>
    </w:p>
    <w:p w14:paraId="22999AF0" w14:textId="77777777" w:rsidR="00F54FD2" w:rsidRPr="000D67C6" w:rsidRDefault="00F54FD2" w:rsidP="004F7CCB">
      <w:pPr>
        <w:pStyle w:val="Normal0"/>
        <w:spacing w:line="22" w:lineRule="atLeast"/>
        <w:jc w:val="both"/>
        <w:rPr>
          <w:rFonts w:ascii="Arial" w:hAnsi="Arial" w:cs="Arial"/>
          <w:sz w:val="22"/>
          <w:szCs w:val="22"/>
          <w:lang w:val="en-GB"/>
        </w:rPr>
      </w:pPr>
    </w:p>
    <w:p w14:paraId="79D9BB3B" w14:textId="77777777" w:rsidR="008F013B" w:rsidRPr="000D67C6" w:rsidRDefault="008F013B" w:rsidP="001704E6">
      <w:pPr>
        <w:pStyle w:val="Normal0"/>
        <w:numPr>
          <w:ilvl w:val="0"/>
          <w:numId w:val="10"/>
        </w:numPr>
        <w:spacing w:line="22" w:lineRule="atLeast"/>
        <w:jc w:val="both"/>
        <w:rPr>
          <w:rFonts w:ascii="Arial" w:hAnsi="Arial" w:cs="Arial"/>
          <w:sz w:val="22"/>
          <w:szCs w:val="22"/>
          <w:lang w:val="en-GB"/>
        </w:rPr>
      </w:pPr>
      <w:r w:rsidRPr="000D67C6">
        <w:rPr>
          <w:rFonts w:ascii="Arial" w:hAnsi="Arial" w:cs="Arial"/>
          <w:sz w:val="22"/>
          <w:szCs w:val="22"/>
          <w:lang w:val="en-GB"/>
        </w:rPr>
        <w:t>The liabilities of the Fund are included in the Balance Sheet on an actuarial basis using the projected unit method – i</w:t>
      </w:r>
      <w:r w:rsidR="00DE1B96" w:rsidRPr="000D67C6">
        <w:rPr>
          <w:rFonts w:ascii="Arial" w:hAnsi="Arial" w:cs="Arial"/>
          <w:sz w:val="22"/>
          <w:szCs w:val="22"/>
          <w:lang w:val="en-GB"/>
        </w:rPr>
        <w:t>.</w:t>
      </w:r>
      <w:r w:rsidRPr="000D67C6">
        <w:rPr>
          <w:rFonts w:ascii="Arial" w:hAnsi="Arial" w:cs="Arial"/>
          <w:sz w:val="22"/>
          <w:szCs w:val="22"/>
          <w:lang w:val="en-GB"/>
        </w:rPr>
        <w:t>e</w:t>
      </w:r>
      <w:r w:rsidR="00DE1B96" w:rsidRPr="000D67C6">
        <w:rPr>
          <w:rFonts w:ascii="Arial" w:hAnsi="Arial" w:cs="Arial"/>
          <w:sz w:val="22"/>
          <w:szCs w:val="22"/>
          <w:lang w:val="en-GB"/>
        </w:rPr>
        <w:t>.</w:t>
      </w:r>
      <w:r w:rsidRPr="000D67C6">
        <w:rPr>
          <w:rFonts w:ascii="Arial" w:hAnsi="Arial" w:cs="Arial"/>
          <w:sz w:val="22"/>
          <w:szCs w:val="22"/>
          <w:lang w:val="en-GB"/>
        </w:rPr>
        <w:t xml:space="preserve"> an assessment of the future payments that will be made in relation to retirement benefits earned to date by employees, based on assumptions about mortality rates, employee turnover rates, etc, and projections of earnings for current employees. </w:t>
      </w:r>
    </w:p>
    <w:p w14:paraId="30F0C2AA" w14:textId="77777777" w:rsidR="008F013B" w:rsidRPr="000D67C6" w:rsidRDefault="008F013B" w:rsidP="001704E6">
      <w:pPr>
        <w:pStyle w:val="Normal0"/>
        <w:numPr>
          <w:ilvl w:val="0"/>
          <w:numId w:val="10"/>
        </w:numPr>
        <w:spacing w:line="22" w:lineRule="atLeast"/>
        <w:jc w:val="both"/>
        <w:rPr>
          <w:rFonts w:ascii="Arial" w:hAnsi="Arial" w:cs="Arial"/>
          <w:sz w:val="22"/>
          <w:szCs w:val="22"/>
          <w:lang w:val="en-GB"/>
        </w:rPr>
      </w:pPr>
      <w:r w:rsidRPr="000D67C6">
        <w:rPr>
          <w:rFonts w:ascii="Arial" w:hAnsi="Arial" w:cs="Arial"/>
          <w:sz w:val="22"/>
          <w:szCs w:val="22"/>
          <w:lang w:val="en-GB"/>
        </w:rPr>
        <w:t>Liabilities are discounted to their value at current price</w:t>
      </w:r>
      <w:r w:rsidR="00277E46" w:rsidRPr="000D67C6">
        <w:rPr>
          <w:rFonts w:ascii="Arial" w:hAnsi="Arial" w:cs="Arial"/>
          <w:sz w:val="22"/>
          <w:szCs w:val="22"/>
          <w:lang w:val="en-GB"/>
        </w:rPr>
        <w:t>s, using a discount rate of 2.</w:t>
      </w:r>
      <w:r w:rsidR="00052E55" w:rsidRPr="000D67C6">
        <w:rPr>
          <w:rFonts w:ascii="Arial" w:hAnsi="Arial" w:cs="Arial"/>
          <w:sz w:val="22"/>
          <w:szCs w:val="22"/>
          <w:lang w:val="en-GB"/>
        </w:rPr>
        <w:t>5</w:t>
      </w:r>
      <w:r w:rsidRPr="000D67C6">
        <w:rPr>
          <w:rFonts w:ascii="Arial" w:hAnsi="Arial" w:cs="Arial"/>
          <w:sz w:val="22"/>
          <w:szCs w:val="22"/>
          <w:lang w:val="en-GB"/>
        </w:rPr>
        <w:t xml:space="preserve">% (based on Government bond yields of appropriate duration plus an additional margin). </w:t>
      </w:r>
    </w:p>
    <w:p w14:paraId="1F68D3E5" w14:textId="77777777" w:rsidR="008F013B" w:rsidRPr="000D67C6" w:rsidRDefault="008F013B" w:rsidP="004F7CCB">
      <w:pPr>
        <w:pStyle w:val="Normal0"/>
        <w:spacing w:line="22" w:lineRule="atLeast"/>
        <w:jc w:val="both"/>
        <w:rPr>
          <w:rFonts w:ascii="Arial" w:hAnsi="Arial" w:cs="Arial"/>
          <w:sz w:val="22"/>
          <w:szCs w:val="22"/>
          <w:lang w:val="en-GB"/>
        </w:rPr>
      </w:pPr>
    </w:p>
    <w:p w14:paraId="1395AD65"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change in the net pensions liability is analysed into the following components: </w:t>
      </w:r>
    </w:p>
    <w:p w14:paraId="7029ADD1" w14:textId="77777777" w:rsidR="00F54FD2" w:rsidRPr="000D67C6" w:rsidRDefault="00F54FD2" w:rsidP="004F7CCB">
      <w:pPr>
        <w:pStyle w:val="Normal0"/>
        <w:spacing w:line="22" w:lineRule="atLeast"/>
        <w:jc w:val="both"/>
        <w:rPr>
          <w:rFonts w:ascii="Arial" w:hAnsi="Arial" w:cs="Arial"/>
          <w:sz w:val="22"/>
          <w:szCs w:val="22"/>
          <w:lang w:val="en-GB"/>
        </w:rPr>
      </w:pPr>
    </w:p>
    <w:p w14:paraId="09FE18A0"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Service cost comprising: </w:t>
      </w:r>
    </w:p>
    <w:p w14:paraId="7403629A" w14:textId="77777777" w:rsidR="00F54FD2" w:rsidRPr="000D67C6" w:rsidRDefault="00F54FD2" w:rsidP="004F7CCB">
      <w:pPr>
        <w:pStyle w:val="Normal0"/>
        <w:spacing w:line="22" w:lineRule="atLeast"/>
        <w:jc w:val="both"/>
        <w:rPr>
          <w:rFonts w:ascii="Arial" w:hAnsi="Arial" w:cs="Arial"/>
          <w:sz w:val="22"/>
          <w:szCs w:val="22"/>
          <w:lang w:val="en-GB"/>
        </w:rPr>
      </w:pPr>
    </w:p>
    <w:p w14:paraId="40EA9BCA" w14:textId="77777777" w:rsidR="008F013B" w:rsidRPr="000D67C6" w:rsidRDefault="008F013B" w:rsidP="001704E6">
      <w:pPr>
        <w:pStyle w:val="Normal0"/>
        <w:numPr>
          <w:ilvl w:val="0"/>
          <w:numId w:val="11"/>
        </w:numPr>
        <w:spacing w:line="22" w:lineRule="atLeast"/>
        <w:jc w:val="both"/>
        <w:rPr>
          <w:rFonts w:ascii="Arial" w:hAnsi="Arial" w:cs="Arial"/>
          <w:sz w:val="22"/>
          <w:szCs w:val="22"/>
          <w:lang w:val="en-GB"/>
        </w:rPr>
      </w:pPr>
      <w:r w:rsidRPr="000D67C6">
        <w:rPr>
          <w:rFonts w:ascii="Arial" w:hAnsi="Arial" w:cs="Arial"/>
          <w:sz w:val="22"/>
          <w:szCs w:val="22"/>
          <w:lang w:val="en-GB"/>
        </w:rPr>
        <w:t>current service cost – the increase in liabilities as a result of years of service earned this year – allocated in the Comprehensive Income and Expenditure Statement to the services for which the employees worked</w:t>
      </w:r>
      <w:r w:rsidR="00F54FD2" w:rsidRPr="000D67C6">
        <w:rPr>
          <w:rFonts w:ascii="Arial" w:hAnsi="Arial" w:cs="Arial"/>
          <w:sz w:val="22"/>
          <w:szCs w:val="22"/>
          <w:lang w:val="en-GB"/>
        </w:rPr>
        <w:t>.</w:t>
      </w:r>
      <w:r w:rsidRPr="000D67C6">
        <w:rPr>
          <w:rFonts w:ascii="Arial" w:hAnsi="Arial" w:cs="Arial"/>
          <w:sz w:val="22"/>
          <w:szCs w:val="22"/>
          <w:lang w:val="en-GB"/>
        </w:rPr>
        <w:t xml:space="preserve"> </w:t>
      </w:r>
    </w:p>
    <w:p w14:paraId="03677951" w14:textId="77777777" w:rsidR="008F013B" w:rsidRPr="000D67C6" w:rsidRDefault="008F013B" w:rsidP="001704E6">
      <w:pPr>
        <w:pStyle w:val="Normal0"/>
        <w:numPr>
          <w:ilvl w:val="0"/>
          <w:numId w:val="11"/>
        </w:numPr>
        <w:spacing w:line="22" w:lineRule="atLeast"/>
        <w:jc w:val="both"/>
        <w:rPr>
          <w:rFonts w:ascii="Arial" w:hAnsi="Arial" w:cs="Arial"/>
          <w:sz w:val="22"/>
          <w:szCs w:val="22"/>
          <w:lang w:val="en-GB"/>
        </w:rPr>
      </w:pPr>
      <w:r w:rsidRPr="000D67C6">
        <w:rPr>
          <w:rFonts w:ascii="Arial" w:hAnsi="Arial" w:cs="Arial"/>
          <w:sz w:val="22"/>
          <w:szCs w:val="22"/>
          <w:lang w:val="en-GB"/>
        </w:rPr>
        <w:t>past service cost – the increase in liabilities as a result of a scheme amendment or curtailment whose effect relates to years of service earned in earlier years – debited to the Surplus or Deficit on the Provision of Services in the Comprehensive Income and Expenditure Statement.</w:t>
      </w:r>
    </w:p>
    <w:p w14:paraId="33A5BF3D" w14:textId="77777777" w:rsidR="008F013B" w:rsidRPr="000D67C6" w:rsidRDefault="008F013B" w:rsidP="001704E6">
      <w:pPr>
        <w:pStyle w:val="Normal0"/>
        <w:numPr>
          <w:ilvl w:val="0"/>
          <w:numId w:val="11"/>
        </w:numPr>
        <w:spacing w:line="22" w:lineRule="atLeast"/>
        <w:jc w:val="both"/>
        <w:rPr>
          <w:rFonts w:ascii="Arial" w:hAnsi="Arial" w:cs="Arial"/>
          <w:sz w:val="22"/>
          <w:szCs w:val="22"/>
          <w:lang w:val="en-GB"/>
        </w:rPr>
      </w:pPr>
      <w:r w:rsidRPr="000D67C6">
        <w:rPr>
          <w:rFonts w:ascii="Arial" w:hAnsi="Arial" w:cs="Arial"/>
          <w:sz w:val="22"/>
          <w:szCs w:val="22"/>
          <w:lang w:val="en-GB"/>
        </w:rPr>
        <w:t>net interest on the net defined benefit liability, i</w:t>
      </w:r>
      <w:r w:rsidR="00DE1B96" w:rsidRPr="000D67C6">
        <w:rPr>
          <w:rFonts w:ascii="Arial" w:hAnsi="Arial" w:cs="Arial"/>
          <w:sz w:val="22"/>
          <w:szCs w:val="22"/>
          <w:lang w:val="en-GB"/>
        </w:rPr>
        <w:t>.</w:t>
      </w:r>
      <w:r w:rsidRPr="000D67C6">
        <w:rPr>
          <w:rFonts w:ascii="Arial" w:hAnsi="Arial" w:cs="Arial"/>
          <w:sz w:val="22"/>
          <w:szCs w:val="22"/>
          <w:lang w:val="en-GB"/>
        </w:rPr>
        <w:t>e</w:t>
      </w:r>
      <w:r w:rsidR="00DE1B96" w:rsidRPr="000D67C6">
        <w:rPr>
          <w:rFonts w:ascii="Arial" w:hAnsi="Arial" w:cs="Arial"/>
          <w:sz w:val="22"/>
          <w:szCs w:val="22"/>
          <w:lang w:val="en-GB"/>
        </w:rPr>
        <w:t>.</w:t>
      </w:r>
      <w:r w:rsidRPr="000D67C6">
        <w:rPr>
          <w:rFonts w:ascii="Arial" w:hAnsi="Arial" w:cs="Arial"/>
          <w:sz w:val="22"/>
          <w:szCs w:val="22"/>
          <w:lang w:val="en-GB"/>
        </w:rPr>
        <w:t xml:space="preserve"> net interest expense for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 the change during the period in the net defined benefit liability that arises from the passage of time charged to the Financing and Investment Income and Expenditure line of the Comprehensive Income and Expenditure Statement – 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78A66471"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226848B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Remeasurements comprising: </w:t>
      </w:r>
    </w:p>
    <w:p w14:paraId="15BABCD9" w14:textId="77777777" w:rsidR="00F54FD2" w:rsidRPr="000D67C6" w:rsidRDefault="00F54FD2" w:rsidP="004F7CCB">
      <w:pPr>
        <w:pStyle w:val="Normal0"/>
        <w:spacing w:line="22" w:lineRule="atLeast"/>
        <w:jc w:val="both"/>
        <w:rPr>
          <w:rFonts w:ascii="Arial" w:hAnsi="Arial" w:cs="Arial"/>
          <w:sz w:val="22"/>
          <w:szCs w:val="22"/>
          <w:lang w:val="en-GB"/>
        </w:rPr>
      </w:pPr>
    </w:p>
    <w:p w14:paraId="37EB89EE" w14:textId="77777777" w:rsidR="008F013B" w:rsidRPr="000D67C6" w:rsidRDefault="008F013B" w:rsidP="001704E6">
      <w:pPr>
        <w:pStyle w:val="Normal0"/>
        <w:numPr>
          <w:ilvl w:val="0"/>
          <w:numId w:val="12"/>
        </w:numPr>
        <w:spacing w:line="22" w:lineRule="atLeast"/>
        <w:jc w:val="both"/>
        <w:rPr>
          <w:rFonts w:ascii="Arial" w:hAnsi="Arial" w:cs="Arial"/>
          <w:sz w:val="22"/>
          <w:szCs w:val="22"/>
          <w:lang w:val="en-GB"/>
        </w:rPr>
      </w:pPr>
      <w:r w:rsidRPr="000D67C6">
        <w:rPr>
          <w:rFonts w:ascii="Arial" w:hAnsi="Arial" w:cs="Arial"/>
          <w:sz w:val="22"/>
          <w:szCs w:val="22"/>
          <w:lang w:val="en-GB"/>
        </w:rPr>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w:t>
      </w:r>
      <w:r w:rsidR="00F54FD2" w:rsidRPr="000D67C6">
        <w:rPr>
          <w:rFonts w:ascii="Arial" w:hAnsi="Arial" w:cs="Arial"/>
          <w:sz w:val="22"/>
          <w:szCs w:val="22"/>
          <w:lang w:val="en-GB"/>
        </w:rPr>
        <w:t>.</w:t>
      </w:r>
    </w:p>
    <w:p w14:paraId="621732AB"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2EFFC7B4" w14:textId="77777777" w:rsidR="008F013B" w:rsidRPr="000D67C6" w:rsidRDefault="008F013B" w:rsidP="00F54FD2">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Contributions paid to the Fund – cash paid as employer’s contributions to the pension fund in settlement of liabilities; not accounted for as an expense.</w:t>
      </w:r>
    </w:p>
    <w:p w14:paraId="259D085A" w14:textId="77777777" w:rsidR="008F013B" w:rsidRPr="000D67C6" w:rsidRDefault="008F013B" w:rsidP="004F7CCB">
      <w:pPr>
        <w:pStyle w:val="Normal0"/>
        <w:spacing w:line="22" w:lineRule="atLeast"/>
        <w:jc w:val="both"/>
        <w:rPr>
          <w:rFonts w:ascii="Arial" w:hAnsi="Arial" w:cs="Arial"/>
          <w:sz w:val="22"/>
          <w:szCs w:val="22"/>
          <w:lang w:val="en-GB"/>
        </w:rPr>
      </w:pPr>
    </w:p>
    <w:p w14:paraId="145634D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In relation to retirement benefits, statutory provisions require the General Fund Balance to be charged with the amount payable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4A371020"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3D726F8C"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Discretionary Benefits </w:t>
      </w:r>
    </w:p>
    <w:p w14:paraId="6A2E121E" w14:textId="77777777" w:rsidR="008F013B" w:rsidRPr="000D67C6" w:rsidRDefault="008F013B" w:rsidP="004F7CCB">
      <w:pPr>
        <w:pStyle w:val="Normal0"/>
        <w:spacing w:line="22" w:lineRule="atLeast"/>
        <w:jc w:val="both"/>
        <w:rPr>
          <w:rFonts w:ascii="Arial" w:hAnsi="Arial" w:cs="Arial"/>
          <w:sz w:val="22"/>
          <w:szCs w:val="22"/>
          <w:lang w:val="en-GB"/>
        </w:rPr>
      </w:pPr>
    </w:p>
    <w:p w14:paraId="0479F4F3"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w:t>
      </w:r>
      <w:r w:rsidR="00AB468A" w:rsidRPr="000D67C6">
        <w:rPr>
          <w:rFonts w:ascii="Arial" w:hAnsi="Arial" w:cs="Arial"/>
          <w:sz w:val="22"/>
          <w:szCs w:val="22"/>
          <w:lang w:val="en-GB"/>
        </w:rPr>
        <w:t>LGPS</w:t>
      </w:r>
      <w:r w:rsidRPr="000D67C6">
        <w:rPr>
          <w:rFonts w:ascii="Arial" w:hAnsi="Arial" w:cs="Arial"/>
          <w:sz w:val="22"/>
          <w:szCs w:val="22"/>
          <w:lang w:val="en-GB"/>
        </w:rPr>
        <w:t xml:space="preserve"> and </w:t>
      </w:r>
      <w:r w:rsidR="00AB468A" w:rsidRPr="000D67C6">
        <w:rPr>
          <w:rFonts w:ascii="Arial" w:hAnsi="Arial" w:cs="Arial"/>
          <w:sz w:val="22"/>
          <w:szCs w:val="22"/>
          <w:lang w:val="en-GB"/>
        </w:rPr>
        <w:t>FFPS</w:t>
      </w:r>
      <w:r w:rsidRPr="000D67C6">
        <w:rPr>
          <w:rFonts w:ascii="Arial" w:hAnsi="Arial" w:cs="Arial"/>
          <w:sz w:val="22"/>
          <w:szCs w:val="22"/>
          <w:lang w:val="en-GB"/>
        </w:rPr>
        <w:t xml:space="preserve">. </w:t>
      </w:r>
    </w:p>
    <w:p w14:paraId="55B6BEE8" w14:textId="77777777" w:rsidR="001B2935" w:rsidRPr="000D67C6" w:rsidRDefault="001B2935" w:rsidP="004F7CCB">
      <w:pPr>
        <w:pStyle w:val="Normal0"/>
        <w:spacing w:line="22" w:lineRule="atLeast"/>
        <w:jc w:val="both"/>
        <w:rPr>
          <w:rFonts w:ascii="Arial" w:hAnsi="Arial" w:cs="Arial"/>
          <w:sz w:val="22"/>
          <w:szCs w:val="22"/>
          <w:lang w:val="en-GB"/>
        </w:rPr>
      </w:pPr>
    </w:p>
    <w:p w14:paraId="5EC69FB3"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Events After the Reporting Period</w:t>
      </w:r>
    </w:p>
    <w:p w14:paraId="04E97291"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0ADCE4AB"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Events after the Balance Sheet date are those events, both favourable and unfavourable, that occur between the end of the reporting period and the date when the Statement of Accounts is authorised for issue. Two types of events can be identified: </w:t>
      </w:r>
    </w:p>
    <w:p w14:paraId="573D2C3E" w14:textId="77777777" w:rsidR="00F54FD2" w:rsidRPr="000D67C6" w:rsidRDefault="00F54FD2" w:rsidP="004F7CCB">
      <w:pPr>
        <w:pStyle w:val="Normal0"/>
        <w:spacing w:line="22" w:lineRule="atLeast"/>
        <w:jc w:val="both"/>
        <w:rPr>
          <w:rFonts w:ascii="Arial" w:hAnsi="Arial" w:cs="Arial"/>
          <w:sz w:val="22"/>
          <w:szCs w:val="22"/>
          <w:lang w:val="en-GB"/>
        </w:rPr>
      </w:pPr>
    </w:p>
    <w:p w14:paraId="60D7223C" w14:textId="77777777" w:rsidR="008F013B" w:rsidRPr="000D67C6" w:rsidRDefault="008F013B" w:rsidP="001704E6">
      <w:pPr>
        <w:pStyle w:val="Normal0"/>
        <w:numPr>
          <w:ilvl w:val="0"/>
          <w:numId w:val="12"/>
        </w:numPr>
        <w:spacing w:line="22" w:lineRule="atLeast"/>
        <w:ind w:left="357" w:hanging="357"/>
        <w:jc w:val="both"/>
        <w:rPr>
          <w:rFonts w:ascii="Arial" w:hAnsi="Arial" w:cs="Arial"/>
          <w:sz w:val="22"/>
          <w:szCs w:val="22"/>
          <w:lang w:val="en-GB"/>
        </w:rPr>
      </w:pPr>
      <w:r w:rsidRPr="000D67C6">
        <w:rPr>
          <w:rFonts w:ascii="Arial" w:hAnsi="Arial" w:cs="Arial"/>
          <w:sz w:val="22"/>
          <w:szCs w:val="22"/>
          <w:lang w:val="en-GB"/>
        </w:rPr>
        <w:t>those that provide evidence of conditions that existed at the end of the reporting period – the Statement of Accounts is adjusted to reflect such events</w:t>
      </w:r>
      <w:r w:rsidR="00F54FD2" w:rsidRPr="000D67C6">
        <w:rPr>
          <w:rFonts w:ascii="Arial" w:hAnsi="Arial" w:cs="Arial"/>
          <w:sz w:val="22"/>
          <w:szCs w:val="22"/>
          <w:lang w:val="en-GB"/>
        </w:rPr>
        <w:t>.</w:t>
      </w:r>
      <w:r w:rsidRPr="000D67C6">
        <w:rPr>
          <w:rFonts w:ascii="Arial" w:hAnsi="Arial" w:cs="Arial"/>
          <w:sz w:val="22"/>
          <w:szCs w:val="22"/>
          <w:lang w:val="en-GB"/>
        </w:rPr>
        <w:t xml:space="preserve"> </w:t>
      </w:r>
    </w:p>
    <w:p w14:paraId="38493E3A" w14:textId="77777777" w:rsidR="008F013B" w:rsidRPr="000D67C6" w:rsidRDefault="008F013B" w:rsidP="001704E6">
      <w:pPr>
        <w:pStyle w:val="Normal0"/>
        <w:numPr>
          <w:ilvl w:val="0"/>
          <w:numId w:val="12"/>
        </w:numPr>
        <w:spacing w:line="22" w:lineRule="atLeast"/>
        <w:ind w:left="357" w:hanging="357"/>
        <w:jc w:val="both"/>
        <w:rPr>
          <w:rFonts w:ascii="Arial" w:hAnsi="Arial" w:cs="Arial"/>
          <w:sz w:val="22"/>
          <w:szCs w:val="22"/>
          <w:lang w:val="en-GB"/>
        </w:rPr>
      </w:pPr>
      <w:r w:rsidRPr="000D67C6">
        <w:rPr>
          <w:rFonts w:ascii="Arial" w:hAnsi="Arial" w:cs="Arial"/>
          <w:sz w:val="22"/>
          <w:szCs w:val="22"/>
          <w:lang w:val="en-GB"/>
        </w:rPr>
        <w:t xml:space="preserve">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 </w:t>
      </w:r>
    </w:p>
    <w:p w14:paraId="6CE4F628" w14:textId="77777777" w:rsidR="008F013B" w:rsidRPr="000D67C6" w:rsidRDefault="008F013B" w:rsidP="004F7CCB">
      <w:pPr>
        <w:pStyle w:val="Normal0"/>
        <w:spacing w:line="22" w:lineRule="atLeast"/>
        <w:jc w:val="both"/>
        <w:rPr>
          <w:rFonts w:ascii="Arial" w:hAnsi="Arial" w:cs="Arial"/>
          <w:sz w:val="22"/>
          <w:szCs w:val="22"/>
          <w:lang w:val="en-GB"/>
        </w:rPr>
      </w:pPr>
    </w:p>
    <w:p w14:paraId="26C45A7D" w14:textId="77777777" w:rsidR="008F013B" w:rsidRPr="00351957" w:rsidRDefault="008F013B" w:rsidP="004F7CCB">
      <w:pPr>
        <w:pStyle w:val="Normal0"/>
        <w:spacing w:line="22" w:lineRule="atLeast"/>
        <w:jc w:val="both"/>
        <w:rPr>
          <w:rFonts w:ascii="Arial" w:hAnsi="Arial" w:cs="Arial"/>
          <w:sz w:val="22"/>
          <w:szCs w:val="22"/>
          <w:lang w:val="en-GB"/>
        </w:rPr>
      </w:pPr>
      <w:r w:rsidRPr="00351957">
        <w:rPr>
          <w:rFonts w:ascii="Arial" w:hAnsi="Arial" w:cs="Arial"/>
          <w:sz w:val="22"/>
          <w:szCs w:val="22"/>
          <w:lang w:val="en-GB"/>
        </w:rPr>
        <w:t xml:space="preserve">Events taking place after the date of authorisation for issue are not reflected in the Statement of Accounts. </w:t>
      </w:r>
    </w:p>
    <w:p w14:paraId="55D02DEC" w14:textId="77777777" w:rsidR="001B2935" w:rsidRPr="00351957" w:rsidRDefault="001B2935" w:rsidP="004F7CCB">
      <w:pPr>
        <w:pStyle w:val="Normal0"/>
        <w:spacing w:line="22" w:lineRule="atLeast"/>
        <w:jc w:val="both"/>
        <w:rPr>
          <w:rFonts w:ascii="Arial" w:hAnsi="Arial" w:cs="Arial"/>
          <w:sz w:val="22"/>
          <w:szCs w:val="22"/>
          <w:lang w:val="en-GB"/>
        </w:rPr>
      </w:pPr>
    </w:p>
    <w:p w14:paraId="2E7E9FA3" w14:textId="645D50EE" w:rsidR="008F013B" w:rsidRPr="00351957" w:rsidRDefault="008F013B" w:rsidP="001704E6">
      <w:pPr>
        <w:pStyle w:val="Normal0"/>
        <w:numPr>
          <w:ilvl w:val="0"/>
          <w:numId w:val="4"/>
        </w:numPr>
        <w:spacing w:line="22" w:lineRule="atLeast"/>
        <w:jc w:val="both"/>
        <w:rPr>
          <w:rFonts w:ascii="Arial" w:hAnsi="Arial" w:cs="Arial"/>
          <w:b/>
          <w:sz w:val="22"/>
          <w:szCs w:val="22"/>
          <w:lang w:val="en-GB"/>
        </w:rPr>
      </w:pPr>
      <w:r w:rsidRPr="00351957">
        <w:rPr>
          <w:rFonts w:ascii="Arial" w:hAnsi="Arial" w:cs="Arial"/>
          <w:b/>
          <w:sz w:val="22"/>
          <w:szCs w:val="22"/>
          <w:lang w:val="en-GB"/>
        </w:rPr>
        <w:t>Financial Instruments</w:t>
      </w:r>
    </w:p>
    <w:p w14:paraId="6AF6ABAD" w14:textId="77777777" w:rsidR="00351957" w:rsidRPr="00351957" w:rsidRDefault="00351957" w:rsidP="00351957">
      <w:pPr>
        <w:pStyle w:val="Normal0"/>
        <w:spacing w:line="22" w:lineRule="atLeast"/>
        <w:ind w:left="360"/>
        <w:jc w:val="both"/>
        <w:rPr>
          <w:rFonts w:ascii="Arial" w:hAnsi="Arial" w:cs="Arial"/>
          <w:b/>
          <w:sz w:val="22"/>
          <w:szCs w:val="22"/>
          <w:lang w:val="en-GB"/>
        </w:rPr>
      </w:pPr>
    </w:p>
    <w:p w14:paraId="496ABAB5" w14:textId="1424F74C" w:rsidR="00356E38" w:rsidRPr="00351957" w:rsidRDefault="00356E38" w:rsidP="00351957">
      <w:pPr>
        <w:pStyle w:val="Pa28"/>
        <w:ind w:right="-46"/>
        <w:jc w:val="both"/>
        <w:rPr>
          <w:rFonts w:ascii="Arial" w:hAnsi="Arial" w:cs="Arial"/>
          <w:b/>
          <w:bCs/>
          <w:color w:val="000000"/>
          <w:sz w:val="22"/>
          <w:szCs w:val="22"/>
        </w:rPr>
      </w:pPr>
      <w:r w:rsidRPr="00351957">
        <w:rPr>
          <w:rFonts w:ascii="Arial" w:hAnsi="Arial" w:cs="Arial"/>
          <w:b/>
          <w:bCs/>
          <w:color w:val="000000"/>
          <w:sz w:val="22"/>
          <w:szCs w:val="22"/>
        </w:rPr>
        <w:t xml:space="preserve">Financial Liabilities </w:t>
      </w:r>
    </w:p>
    <w:p w14:paraId="692FE45E" w14:textId="77777777" w:rsidR="00351957" w:rsidRPr="00351957" w:rsidRDefault="00351957" w:rsidP="00351957">
      <w:pPr>
        <w:pStyle w:val="Default"/>
        <w:rPr>
          <w:rFonts w:ascii="Arial" w:hAnsi="Arial" w:cs="Arial"/>
          <w:sz w:val="22"/>
          <w:szCs w:val="22"/>
        </w:rPr>
      </w:pPr>
    </w:p>
    <w:p w14:paraId="1E899D9E" w14:textId="77777777" w:rsidR="00356E38" w:rsidRPr="00351957" w:rsidRDefault="00356E38" w:rsidP="00351957">
      <w:pPr>
        <w:pStyle w:val="Pa12"/>
        <w:ind w:right="-46"/>
        <w:jc w:val="both"/>
        <w:rPr>
          <w:rFonts w:ascii="Arial" w:hAnsi="Arial" w:cs="Arial"/>
          <w:color w:val="000000"/>
          <w:sz w:val="22"/>
          <w:szCs w:val="22"/>
        </w:rPr>
      </w:pPr>
      <w:r w:rsidRPr="00351957">
        <w:rPr>
          <w:rFonts w:ascii="Arial" w:hAnsi="Arial" w:cs="Arial"/>
          <w:color w:val="000000"/>
          <w:sz w:val="22"/>
          <w:szCs w:val="22"/>
        </w:rPr>
        <w:t xml:space="preserve">Financial liabilities are recognised on the Balance Sheet when the authority becomes a party to the contractual provisions of a financial instrument and are initially measured at fair value and are carried at their amortised cost. Annual charges to the Financing and Investment Income and Expenditure line in the Comprehensive Income and Expenditure Statement (CIES)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207068C1" w14:textId="77777777" w:rsidR="00356E38" w:rsidRPr="000D67C6" w:rsidRDefault="00356E38" w:rsidP="00356E38">
      <w:pPr>
        <w:pStyle w:val="Pa12"/>
        <w:spacing w:before="120"/>
        <w:ind w:right="-46"/>
        <w:jc w:val="both"/>
        <w:rPr>
          <w:rFonts w:ascii="Arial" w:hAnsi="Arial" w:cs="Arial"/>
          <w:color w:val="000000"/>
          <w:sz w:val="22"/>
          <w:szCs w:val="22"/>
        </w:rPr>
      </w:pPr>
      <w:r w:rsidRPr="000D67C6">
        <w:rPr>
          <w:rFonts w:ascii="Arial" w:hAnsi="Arial" w:cs="Arial"/>
          <w:color w:val="000000"/>
          <w:sz w:val="22"/>
          <w:szCs w:val="22"/>
        </w:rPr>
        <w:t xml:space="preserve">For most of the borrowings that the authority has, this means that the amount presented in the Balance Sheet is the outstanding principal repayable (plus accrued interest); and interest charged to the CIES is the amount payable for the year according to the loan agreement. </w:t>
      </w:r>
    </w:p>
    <w:p w14:paraId="37392FD7" w14:textId="77777777" w:rsidR="00C95F2F" w:rsidRPr="000D67C6" w:rsidRDefault="00C95F2F">
      <w:pPr>
        <w:rPr>
          <w:rFonts w:ascii="Arial" w:hAnsi="Arial" w:cs="Arial"/>
          <w:b/>
          <w:bCs/>
          <w:color w:val="000000"/>
          <w:sz w:val="22"/>
          <w:szCs w:val="22"/>
          <w:lang w:val="en-GB"/>
        </w:rPr>
      </w:pPr>
      <w:r w:rsidRPr="000D67C6">
        <w:rPr>
          <w:rFonts w:ascii="Arial" w:hAnsi="Arial" w:cs="Arial"/>
          <w:b/>
          <w:bCs/>
          <w:color w:val="000000"/>
          <w:sz w:val="22"/>
          <w:szCs w:val="22"/>
        </w:rPr>
        <w:br w:type="page"/>
      </w:r>
    </w:p>
    <w:p w14:paraId="136F69FD" w14:textId="36F2FD08" w:rsidR="00356E38" w:rsidRPr="00FA7D39" w:rsidRDefault="00356E38" w:rsidP="00FA7D39">
      <w:pPr>
        <w:pStyle w:val="Pa28"/>
        <w:ind w:right="-46"/>
        <w:jc w:val="both"/>
        <w:rPr>
          <w:rFonts w:ascii="Arial" w:hAnsi="Arial" w:cs="Arial"/>
          <w:b/>
          <w:bCs/>
          <w:color w:val="000000"/>
          <w:sz w:val="22"/>
          <w:szCs w:val="22"/>
        </w:rPr>
      </w:pPr>
      <w:r w:rsidRPr="00FA7D39">
        <w:rPr>
          <w:rFonts w:ascii="Arial" w:hAnsi="Arial" w:cs="Arial"/>
          <w:b/>
          <w:bCs/>
          <w:color w:val="000000"/>
          <w:sz w:val="22"/>
          <w:szCs w:val="22"/>
        </w:rPr>
        <w:t xml:space="preserve">Financial Assets </w:t>
      </w:r>
    </w:p>
    <w:p w14:paraId="22E1E783" w14:textId="77777777" w:rsidR="00FA7D39" w:rsidRPr="00FA7D39" w:rsidRDefault="00FA7D39" w:rsidP="00FA7D39">
      <w:pPr>
        <w:pStyle w:val="Default"/>
        <w:rPr>
          <w:rFonts w:ascii="Arial" w:hAnsi="Arial" w:cs="Arial"/>
          <w:sz w:val="22"/>
          <w:szCs w:val="22"/>
        </w:rPr>
      </w:pPr>
    </w:p>
    <w:p w14:paraId="679F8EB1" w14:textId="77777777" w:rsidR="00FA7D39" w:rsidRDefault="00356E38" w:rsidP="00FA7D39">
      <w:pPr>
        <w:pStyle w:val="Pa12"/>
        <w:ind w:right="-46"/>
        <w:jc w:val="both"/>
        <w:rPr>
          <w:rFonts w:ascii="Arial" w:hAnsi="Arial" w:cs="Arial"/>
          <w:color w:val="000000"/>
          <w:sz w:val="22"/>
          <w:szCs w:val="22"/>
        </w:rPr>
      </w:pPr>
      <w:r w:rsidRPr="00FA7D39">
        <w:rPr>
          <w:rFonts w:ascii="Arial" w:hAnsi="Arial" w:cs="Arial"/>
          <w:color w:val="000000"/>
          <w:sz w:val="22"/>
          <w:szCs w:val="22"/>
        </w:rPr>
        <w:t>Financial assets are classified based on a classification and measurement approach that reflects the business model for holding the financial assets and their cashflow characteristics.</w:t>
      </w:r>
    </w:p>
    <w:p w14:paraId="6D9F5383" w14:textId="77777777" w:rsidR="00FA7D39" w:rsidRDefault="00FA7D39" w:rsidP="00FA7D39">
      <w:pPr>
        <w:pStyle w:val="Pa12"/>
        <w:ind w:right="-46"/>
        <w:jc w:val="both"/>
        <w:rPr>
          <w:rFonts w:ascii="Arial" w:hAnsi="Arial" w:cs="Arial"/>
          <w:color w:val="000000"/>
          <w:sz w:val="22"/>
          <w:szCs w:val="22"/>
        </w:rPr>
      </w:pPr>
    </w:p>
    <w:p w14:paraId="3441D964" w14:textId="69BE8E5C" w:rsidR="00356E38" w:rsidRDefault="00356E38" w:rsidP="00FA7D39">
      <w:pPr>
        <w:pStyle w:val="Pa12"/>
        <w:ind w:right="-46"/>
        <w:jc w:val="both"/>
        <w:rPr>
          <w:rFonts w:ascii="Arial" w:hAnsi="Arial" w:cs="Arial"/>
          <w:color w:val="000000"/>
          <w:sz w:val="22"/>
          <w:szCs w:val="22"/>
        </w:rPr>
      </w:pPr>
      <w:r w:rsidRPr="00FA7D39">
        <w:rPr>
          <w:rFonts w:ascii="Arial" w:hAnsi="Arial" w:cs="Arial"/>
          <w:color w:val="000000"/>
          <w:sz w:val="22"/>
          <w:szCs w:val="22"/>
        </w:rPr>
        <w:t xml:space="preserve">There are three main classes of financial assets measured at: </w:t>
      </w:r>
    </w:p>
    <w:p w14:paraId="4E683DAE" w14:textId="77777777" w:rsidR="00FA7D39" w:rsidRPr="00FA7D39" w:rsidRDefault="00FA7D39" w:rsidP="00FA7D39">
      <w:pPr>
        <w:pStyle w:val="Default"/>
        <w:rPr>
          <w:rFonts w:ascii="Arial" w:hAnsi="Arial" w:cs="Arial"/>
          <w:sz w:val="22"/>
        </w:rPr>
      </w:pPr>
    </w:p>
    <w:p w14:paraId="5D3D99EF" w14:textId="77777777" w:rsidR="00356E38" w:rsidRPr="00FA7D39" w:rsidRDefault="00356E38" w:rsidP="00FA7D39">
      <w:pPr>
        <w:pStyle w:val="Default"/>
        <w:numPr>
          <w:ilvl w:val="0"/>
          <w:numId w:val="36"/>
        </w:numPr>
        <w:ind w:left="567" w:right="-46" w:hanging="425"/>
        <w:jc w:val="both"/>
        <w:rPr>
          <w:rFonts w:ascii="Arial" w:hAnsi="Arial" w:cs="Arial"/>
          <w:sz w:val="22"/>
          <w:szCs w:val="22"/>
        </w:rPr>
      </w:pPr>
      <w:r w:rsidRPr="00FA7D39">
        <w:rPr>
          <w:rFonts w:ascii="Arial" w:hAnsi="Arial" w:cs="Arial"/>
          <w:sz w:val="22"/>
          <w:szCs w:val="22"/>
        </w:rPr>
        <w:t xml:space="preserve">amortised cost </w:t>
      </w:r>
    </w:p>
    <w:p w14:paraId="5B11C0B6" w14:textId="77777777" w:rsidR="00C06317" w:rsidRDefault="00356E38" w:rsidP="00C06317">
      <w:pPr>
        <w:pStyle w:val="Default"/>
        <w:numPr>
          <w:ilvl w:val="0"/>
          <w:numId w:val="36"/>
        </w:numPr>
        <w:ind w:left="567" w:right="-46" w:hanging="425"/>
        <w:jc w:val="both"/>
        <w:rPr>
          <w:rFonts w:ascii="Arial" w:hAnsi="Arial" w:cs="Arial"/>
          <w:sz w:val="22"/>
          <w:szCs w:val="22"/>
        </w:rPr>
      </w:pPr>
      <w:r w:rsidRPr="00FA7D39">
        <w:rPr>
          <w:rFonts w:ascii="Arial" w:hAnsi="Arial" w:cs="Arial"/>
          <w:sz w:val="22"/>
          <w:szCs w:val="22"/>
        </w:rPr>
        <w:t xml:space="preserve">fair value through profit or loss (FVPL), and </w:t>
      </w:r>
    </w:p>
    <w:p w14:paraId="0B708DC9" w14:textId="6517BF46" w:rsidR="00356E38" w:rsidRPr="00C06317" w:rsidRDefault="00356E38" w:rsidP="00C06317">
      <w:pPr>
        <w:pStyle w:val="Default"/>
        <w:numPr>
          <w:ilvl w:val="0"/>
          <w:numId w:val="36"/>
        </w:numPr>
        <w:ind w:left="567" w:right="-46" w:hanging="425"/>
        <w:jc w:val="both"/>
        <w:rPr>
          <w:rFonts w:ascii="Arial" w:hAnsi="Arial" w:cs="Arial"/>
          <w:sz w:val="22"/>
          <w:szCs w:val="22"/>
        </w:rPr>
      </w:pPr>
      <w:r w:rsidRPr="00C06317">
        <w:rPr>
          <w:rFonts w:ascii="Arial" w:hAnsi="Arial" w:cs="Arial"/>
          <w:sz w:val="22"/>
          <w:szCs w:val="22"/>
        </w:rPr>
        <w:t xml:space="preserve">fair value through other comprehensive income (FVOCI) [separate accounting policy is required where an authority holds financial instruments at fair value through other comprehensive income]. </w:t>
      </w:r>
    </w:p>
    <w:p w14:paraId="77FC1CCD" w14:textId="77777777" w:rsidR="00356E38" w:rsidRPr="00FA7D39" w:rsidRDefault="00356E38" w:rsidP="00C06317">
      <w:pPr>
        <w:pStyle w:val="Default"/>
        <w:jc w:val="both"/>
        <w:rPr>
          <w:rFonts w:ascii="Arial" w:hAnsi="Arial" w:cs="Arial"/>
          <w:sz w:val="22"/>
          <w:szCs w:val="22"/>
        </w:rPr>
      </w:pPr>
    </w:p>
    <w:p w14:paraId="1DE9DAF0" w14:textId="3F97BFAB" w:rsidR="00356E38" w:rsidRDefault="00356E38" w:rsidP="00C06317">
      <w:pPr>
        <w:pStyle w:val="Pa12"/>
        <w:spacing w:line="240" w:lineRule="auto"/>
        <w:jc w:val="both"/>
        <w:rPr>
          <w:rFonts w:ascii="Arial" w:hAnsi="Arial" w:cs="Arial"/>
          <w:color w:val="000000"/>
          <w:sz w:val="22"/>
          <w:szCs w:val="22"/>
        </w:rPr>
      </w:pPr>
      <w:r w:rsidRPr="00FA7D39">
        <w:rPr>
          <w:rFonts w:ascii="Arial" w:hAnsi="Arial" w:cs="Arial"/>
          <w:color w:val="000000"/>
          <w:sz w:val="22"/>
          <w:szCs w:val="22"/>
        </w:rPr>
        <w:t>The authority’s business model is to hold investments to collect contractual cash flows. Financial assets are therefore classified as amortised cost.</w:t>
      </w:r>
    </w:p>
    <w:p w14:paraId="3BA0C80E" w14:textId="77777777" w:rsidR="00C06317" w:rsidRPr="00C06317" w:rsidRDefault="00C06317" w:rsidP="00C06317">
      <w:pPr>
        <w:pStyle w:val="Default"/>
        <w:rPr>
          <w:rFonts w:ascii="Arial" w:hAnsi="Arial" w:cs="Arial"/>
          <w:sz w:val="22"/>
          <w:szCs w:val="22"/>
        </w:rPr>
      </w:pPr>
    </w:p>
    <w:p w14:paraId="2F80E368" w14:textId="167D160F" w:rsidR="00356E38" w:rsidRDefault="00356E38" w:rsidP="00C06317">
      <w:pPr>
        <w:pStyle w:val="Pa28"/>
        <w:spacing w:line="240" w:lineRule="auto"/>
        <w:jc w:val="both"/>
        <w:rPr>
          <w:rFonts w:ascii="Arial" w:hAnsi="Arial" w:cs="Arial"/>
          <w:b/>
          <w:bCs/>
          <w:color w:val="000000"/>
          <w:sz w:val="22"/>
          <w:szCs w:val="22"/>
        </w:rPr>
      </w:pPr>
      <w:r w:rsidRPr="00FA7D39">
        <w:rPr>
          <w:rFonts w:ascii="Arial" w:hAnsi="Arial" w:cs="Arial"/>
          <w:b/>
          <w:bCs/>
          <w:color w:val="000000"/>
          <w:sz w:val="22"/>
          <w:szCs w:val="22"/>
        </w:rPr>
        <w:t xml:space="preserve">Financial Assets Measured at Amortised Cost </w:t>
      </w:r>
    </w:p>
    <w:p w14:paraId="57C40BAC" w14:textId="77777777" w:rsidR="00FA7D39" w:rsidRPr="00C06317" w:rsidRDefault="00FA7D39" w:rsidP="00C06317">
      <w:pPr>
        <w:pStyle w:val="Default"/>
        <w:rPr>
          <w:rFonts w:ascii="Arial" w:hAnsi="Arial" w:cs="Arial"/>
          <w:sz w:val="22"/>
        </w:rPr>
      </w:pPr>
    </w:p>
    <w:p w14:paraId="7EA0EBC9" w14:textId="77777777" w:rsidR="00356E38" w:rsidRPr="000D67C6" w:rsidRDefault="00356E38" w:rsidP="00C06317">
      <w:pPr>
        <w:pStyle w:val="Pa12"/>
        <w:spacing w:line="240" w:lineRule="auto"/>
        <w:jc w:val="both"/>
        <w:rPr>
          <w:rFonts w:ascii="Arial" w:hAnsi="Arial" w:cs="Arial"/>
          <w:color w:val="000000"/>
          <w:sz w:val="22"/>
          <w:szCs w:val="22"/>
        </w:rPr>
      </w:pPr>
      <w:r w:rsidRPr="000D67C6">
        <w:rPr>
          <w:rFonts w:ascii="Arial" w:hAnsi="Arial" w:cs="Arial"/>
          <w:color w:val="000000"/>
          <w:sz w:val="22"/>
          <w:szCs w:val="22"/>
        </w:rPr>
        <w:t xml:space="preserve">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 </w:t>
      </w:r>
    </w:p>
    <w:p w14:paraId="7E828A82" w14:textId="77777777" w:rsidR="00356E38" w:rsidRPr="00C06317" w:rsidRDefault="00356E38" w:rsidP="00356E38">
      <w:pPr>
        <w:rPr>
          <w:rFonts w:ascii="Arial" w:hAnsi="Arial" w:cs="Arial"/>
          <w:sz w:val="22"/>
        </w:rPr>
      </w:pPr>
    </w:p>
    <w:p w14:paraId="71088D3E" w14:textId="49ECF141" w:rsidR="00356E38" w:rsidRDefault="00356E38" w:rsidP="00356E38">
      <w:pPr>
        <w:ind w:right="-46"/>
        <w:jc w:val="both"/>
        <w:rPr>
          <w:rFonts w:ascii="Arial" w:hAnsi="Arial" w:cs="Arial"/>
          <w:color w:val="000000"/>
          <w:sz w:val="22"/>
          <w:szCs w:val="22"/>
        </w:rPr>
      </w:pPr>
      <w:r w:rsidRPr="000D67C6">
        <w:rPr>
          <w:rFonts w:ascii="Arial" w:hAnsi="Arial" w:cs="Arial"/>
          <w:color w:val="000000"/>
          <w:sz w:val="22"/>
          <w:szCs w:val="22"/>
        </w:rPr>
        <w:t>Any gains and losses that arise on the derecognition of an asset are credited or debited to the Financing and Investment Income and Expenditure line in the CIES.</w:t>
      </w:r>
    </w:p>
    <w:p w14:paraId="21F016AB" w14:textId="77777777" w:rsidR="00C06317" w:rsidRPr="000D67C6" w:rsidRDefault="00C06317" w:rsidP="00356E38">
      <w:pPr>
        <w:ind w:right="-46"/>
        <w:jc w:val="both"/>
        <w:rPr>
          <w:rFonts w:ascii="Arial" w:hAnsi="Arial" w:cs="Arial"/>
          <w:color w:val="000000"/>
          <w:sz w:val="22"/>
          <w:szCs w:val="22"/>
        </w:rPr>
      </w:pPr>
    </w:p>
    <w:p w14:paraId="701F72A4" w14:textId="12A25F9D" w:rsidR="00356E38" w:rsidRDefault="00356E38" w:rsidP="00C06317">
      <w:pPr>
        <w:autoSpaceDE w:val="0"/>
        <w:autoSpaceDN w:val="0"/>
        <w:adjustRightInd w:val="0"/>
        <w:spacing w:line="231" w:lineRule="atLeast"/>
        <w:ind w:right="-46"/>
        <w:jc w:val="both"/>
        <w:rPr>
          <w:rFonts w:ascii="Arial" w:hAnsi="Arial" w:cs="Arial"/>
          <w:b/>
          <w:bCs/>
          <w:color w:val="000000"/>
          <w:sz w:val="22"/>
          <w:szCs w:val="22"/>
        </w:rPr>
      </w:pPr>
      <w:r w:rsidRPr="000D67C6">
        <w:rPr>
          <w:rFonts w:ascii="Arial" w:hAnsi="Arial" w:cs="Arial"/>
          <w:b/>
          <w:bCs/>
          <w:color w:val="000000"/>
          <w:sz w:val="22"/>
          <w:szCs w:val="22"/>
        </w:rPr>
        <w:t xml:space="preserve">Expected Credit Loss Model </w:t>
      </w:r>
    </w:p>
    <w:p w14:paraId="7A3AB411" w14:textId="77777777" w:rsidR="00C06317" w:rsidRPr="000D67C6" w:rsidRDefault="00C06317" w:rsidP="00C06317">
      <w:pPr>
        <w:autoSpaceDE w:val="0"/>
        <w:autoSpaceDN w:val="0"/>
        <w:adjustRightInd w:val="0"/>
        <w:spacing w:line="231" w:lineRule="atLeast"/>
        <w:ind w:right="-46"/>
        <w:jc w:val="both"/>
        <w:rPr>
          <w:rFonts w:ascii="Arial" w:hAnsi="Arial" w:cs="Arial"/>
          <w:color w:val="000000"/>
          <w:sz w:val="22"/>
          <w:szCs w:val="22"/>
        </w:rPr>
      </w:pPr>
    </w:p>
    <w:p w14:paraId="017DE5CF" w14:textId="77777777" w:rsidR="00356E38" w:rsidRPr="000D67C6" w:rsidRDefault="00356E38" w:rsidP="00C06317">
      <w:pPr>
        <w:autoSpaceDE w:val="0"/>
        <w:autoSpaceDN w:val="0"/>
        <w:adjustRightInd w:val="0"/>
        <w:spacing w:line="231" w:lineRule="atLeast"/>
        <w:ind w:right="-46"/>
        <w:jc w:val="both"/>
        <w:rPr>
          <w:rFonts w:ascii="Arial" w:hAnsi="Arial" w:cs="Arial"/>
          <w:color w:val="000000"/>
          <w:sz w:val="22"/>
          <w:szCs w:val="22"/>
        </w:rPr>
      </w:pPr>
      <w:r w:rsidRPr="000D67C6">
        <w:rPr>
          <w:rFonts w:ascii="Arial" w:hAnsi="Arial" w:cs="Arial"/>
          <w:color w:val="000000"/>
          <w:sz w:val="22"/>
          <w:szCs w:val="22"/>
        </w:rPr>
        <w:t>The authority has adopted a simple approach to impairment and measures the loss of Trade Debtors and Loans to Third Party at an amount equal to expected lifetime loss using a provision based on a combination of age of debt and historic collection rates. This method ensures early recognition of the impairment of financial assets.</w:t>
      </w:r>
    </w:p>
    <w:p w14:paraId="00CF2D2F" w14:textId="77777777" w:rsidR="00356E38" w:rsidRPr="000D67C6" w:rsidRDefault="00356E38" w:rsidP="004F7CCB">
      <w:pPr>
        <w:pStyle w:val="Normal0"/>
        <w:spacing w:line="22" w:lineRule="atLeast"/>
        <w:jc w:val="both"/>
        <w:rPr>
          <w:rFonts w:ascii="Arial" w:hAnsi="Arial" w:cs="Arial"/>
          <w:b/>
          <w:sz w:val="22"/>
          <w:szCs w:val="22"/>
          <w:lang w:val="en-GB"/>
        </w:rPr>
      </w:pPr>
    </w:p>
    <w:p w14:paraId="58FD8975"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Government Grants and Contributions</w:t>
      </w:r>
    </w:p>
    <w:p w14:paraId="118F3B21"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3EDC0A80"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Whether paid on account, by instalments or in arrears, government grants and </w:t>
      </w:r>
      <w:proofErr w:type="gramStart"/>
      <w:r w:rsidRPr="000D67C6">
        <w:rPr>
          <w:rFonts w:ascii="Arial" w:hAnsi="Arial" w:cs="Arial"/>
          <w:sz w:val="22"/>
          <w:szCs w:val="22"/>
          <w:lang w:val="en-GB"/>
        </w:rPr>
        <w:t>third party</w:t>
      </w:r>
      <w:proofErr w:type="gramEnd"/>
      <w:r w:rsidRPr="000D67C6">
        <w:rPr>
          <w:rFonts w:ascii="Arial" w:hAnsi="Arial" w:cs="Arial"/>
          <w:sz w:val="22"/>
          <w:szCs w:val="22"/>
          <w:lang w:val="en-GB"/>
        </w:rPr>
        <w:t xml:space="preserve"> contributions and donations are recognised as due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when there is reasonable assurance that: </w:t>
      </w:r>
    </w:p>
    <w:p w14:paraId="1A8B9C1B" w14:textId="77777777" w:rsidR="00F54FD2" w:rsidRPr="000D67C6" w:rsidRDefault="00F54FD2" w:rsidP="004F7CCB">
      <w:pPr>
        <w:pStyle w:val="Normal0"/>
        <w:spacing w:line="22" w:lineRule="atLeast"/>
        <w:jc w:val="both"/>
        <w:rPr>
          <w:rFonts w:ascii="Arial" w:hAnsi="Arial" w:cs="Arial"/>
          <w:sz w:val="22"/>
          <w:szCs w:val="22"/>
          <w:lang w:val="en-GB"/>
        </w:rPr>
      </w:pPr>
    </w:p>
    <w:p w14:paraId="78F075D9" w14:textId="77777777" w:rsidR="008F013B" w:rsidRPr="000D67C6" w:rsidRDefault="008F013B" w:rsidP="00C4608B">
      <w:pPr>
        <w:pStyle w:val="Normal0"/>
        <w:numPr>
          <w:ilvl w:val="0"/>
          <w:numId w:val="1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will comply with the conditions attached to the payments, and </w:t>
      </w:r>
    </w:p>
    <w:p w14:paraId="3BE5EEF5" w14:textId="77777777" w:rsidR="008F013B" w:rsidRPr="000D67C6" w:rsidRDefault="008F013B" w:rsidP="00C4608B">
      <w:pPr>
        <w:pStyle w:val="Normal0"/>
        <w:numPr>
          <w:ilvl w:val="0"/>
          <w:numId w:val="15"/>
        </w:numPr>
        <w:spacing w:line="22" w:lineRule="atLeast"/>
        <w:jc w:val="both"/>
        <w:rPr>
          <w:rFonts w:ascii="Arial" w:hAnsi="Arial" w:cs="Arial"/>
          <w:sz w:val="22"/>
          <w:szCs w:val="22"/>
          <w:lang w:val="en-GB"/>
        </w:rPr>
      </w:pPr>
      <w:r w:rsidRPr="000D67C6">
        <w:rPr>
          <w:rFonts w:ascii="Arial" w:hAnsi="Arial" w:cs="Arial"/>
          <w:sz w:val="22"/>
          <w:szCs w:val="22"/>
          <w:lang w:val="en-GB"/>
        </w:rPr>
        <w:t xml:space="preserve">the grants or contributions will be received. </w:t>
      </w:r>
    </w:p>
    <w:p w14:paraId="7F0D00D8" w14:textId="77777777" w:rsidR="008F013B" w:rsidRPr="000D67C6" w:rsidRDefault="008F013B" w:rsidP="004F7CCB">
      <w:pPr>
        <w:pStyle w:val="Normal0"/>
        <w:spacing w:line="22" w:lineRule="atLeast"/>
        <w:jc w:val="both"/>
        <w:rPr>
          <w:rFonts w:ascii="Arial" w:hAnsi="Arial" w:cs="Arial"/>
          <w:sz w:val="22"/>
          <w:szCs w:val="22"/>
          <w:lang w:val="en-GB"/>
        </w:rPr>
      </w:pPr>
    </w:p>
    <w:p w14:paraId="30E6687D" w14:textId="77777777" w:rsidR="00FB3036"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Amounts recognised as due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are not credited to the Comprehensive Income and Expenditure Statement until conditions attached to the grant or contribution have been satisfied. Conditions are stipulations that specify that the future economic benefits or service potential embodied in the asset in the form of the grant or contribution are required to be consumed by the recipient as specified, or future economic benefits or service potential must be returned to the transferor. </w:t>
      </w:r>
    </w:p>
    <w:p w14:paraId="12434D5E" w14:textId="77777777" w:rsidR="00FB3036" w:rsidRPr="000D67C6" w:rsidRDefault="00FB3036" w:rsidP="004F7CCB">
      <w:pPr>
        <w:pStyle w:val="Normal0"/>
        <w:spacing w:line="22" w:lineRule="atLeast"/>
        <w:jc w:val="both"/>
        <w:rPr>
          <w:rFonts w:ascii="Arial" w:hAnsi="Arial" w:cs="Arial"/>
          <w:sz w:val="22"/>
          <w:szCs w:val="22"/>
          <w:lang w:val="en-GB"/>
        </w:rPr>
      </w:pPr>
    </w:p>
    <w:p w14:paraId="3AFBCD57" w14:textId="77777777" w:rsidR="00FB3036"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Monies advanced as grants and contributions for which conditions have not been satisfied are carried in the Balance Sheet as creditors. When conditions are satisfied, the grant or contribution is credited to the relevant service line (attributable revenue grants and contributions) or Taxation and Non-specific Grant Income and Expenditure (non-ringfenced revenue grants and all capital grants) in the Comprehensive Income and Expenditure Statement. </w:t>
      </w:r>
    </w:p>
    <w:p w14:paraId="6901534D" w14:textId="77777777" w:rsidR="00FB3036" w:rsidRPr="000D67C6" w:rsidRDefault="00FB3036" w:rsidP="004F7CCB">
      <w:pPr>
        <w:pStyle w:val="Normal0"/>
        <w:spacing w:line="22" w:lineRule="atLeast"/>
        <w:jc w:val="both"/>
        <w:rPr>
          <w:rFonts w:ascii="Arial" w:hAnsi="Arial" w:cs="Arial"/>
          <w:sz w:val="22"/>
          <w:szCs w:val="22"/>
          <w:lang w:val="en-GB"/>
        </w:rPr>
      </w:pPr>
    </w:p>
    <w:p w14:paraId="72E5A2DC"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reserve. Where it has been applied, it is posted to the Capital Adjustment Account. Amounts in the Capital Grants Unapplied reserve are transferred to the Capital Adjustment Account once they have been applied to fund capital expenditure. </w:t>
      </w:r>
    </w:p>
    <w:p w14:paraId="6EA5D5B8" w14:textId="77777777" w:rsidR="00061FB5" w:rsidRPr="000D67C6" w:rsidRDefault="00061FB5" w:rsidP="004F7CCB">
      <w:pPr>
        <w:pStyle w:val="Normal0"/>
        <w:spacing w:line="22" w:lineRule="atLeast"/>
        <w:jc w:val="both"/>
        <w:rPr>
          <w:rFonts w:ascii="Arial" w:hAnsi="Arial" w:cs="Arial"/>
          <w:sz w:val="22"/>
          <w:szCs w:val="22"/>
          <w:lang w:val="en-GB"/>
        </w:rPr>
      </w:pPr>
    </w:p>
    <w:p w14:paraId="6B04E129"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Intangible Assets</w:t>
      </w:r>
    </w:p>
    <w:p w14:paraId="353EE2B2"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488BA9CB"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Expenditure on non-monetary assets that do not have physical substance but are controlled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as a result of past events (e</w:t>
      </w:r>
      <w:r w:rsidR="00294166" w:rsidRPr="000D67C6">
        <w:rPr>
          <w:rFonts w:ascii="Arial" w:hAnsi="Arial" w:cs="Arial"/>
          <w:sz w:val="22"/>
          <w:szCs w:val="22"/>
          <w:lang w:val="en-GB"/>
        </w:rPr>
        <w:t>.</w:t>
      </w:r>
      <w:r w:rsidRPr="000D67C6">
        <w:rPr>
          <w:rFonts w:ascii="Arial" w:hAnsi="Arial" w:cs="Arial"/>
          <w:sz w:val="22"/>
          <w:szCs w:val="22"/>
          <w:lang w:val="en-GB"/>
        </w:rPr>
        <w:t>g</w:t>
      </w:r>
      <w:r w:rsidR="00294166" w:rsidRPr="000D67C6">
        <w:rPr>
          <w:rFonts w:ascii="Arial" w:hAnsi="Arial" w:cs="Arial"/>
          <w:sz w:val="22"/>
          <w:szCs w:val="22"/>
          <w:lang w:val="en-GB"/>
        </w:rPr>
        <w:t>.</w:t>
      </w:r>
      <w:r w:rsidRPr="000D67C6">
        <w:rPr>
          <w:rFonts w:ascii="Arial" w:hAnsi="Arial" w:cs="Arial"/>
          <w:sz w:val="22"/>
          <w:szCs w:val="22"/>
          <w:lang w:val="en-GB"/>
        </w:rPr>
        <w:t xml:space="preserve"> software licences) is capitalised when it is expected that future economic benefits or service potential will flow from the intangible asset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t>
      </w:r>
    </w:p>
    <w:p w14:paraId="30FDB680" w14:textId="77777777" w:rsidR="008F013B" w:rsidRPr="000D67C6" w:rsidRDefault="008F013B" w:rsidP="004F7CCB">
      <w:pPr>
        <w:pStyle w:val="Normal0"/>
        <w:spacing w:line="22" w:lineRule="atLeast"/>
        <w:jc w:val="both"/>
        <w:rPr>
          <w:rFonts w:ascii="Arial" w:hAnsi="Arial" w:cs="Arial"/>
          <w:sz w:val="22"/>
          <w:szCs w:val="22"/>
          <w:lang w:val="en-GB"/>
        </w:rPr>
      </w:pPr>
    </w:p>
    <w:p w14:paraId="104F199B" w14:textId="77777777" w:rsidR="00FB3036"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Internally generated assets are capitalised where it is demonstrable that the project is technically feasible and is intended to be completed (with adequate resources being available) and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 </w:t>
      </w:r>
    </w:p>
    <w:p w14:paraId="4595FF43" w14:textId="77777777" w:rsidR="00FB3036" w:rsidRPr="000D67C6" w:rsidRDefault="00FB3036" w:rsidP="004F7CCB">
      <w:pPr>
        <w:pStyle w:val="Normal0"/>
        <w:spacing w:line="22" w:lineRule="atLeast"/>
        <w:jc w:val="both"/>
        <w:rPr>
          <w:rFonts w:ascii="Arial" w:hAnsi="Arial" w:cs="Arial"/>
          <w:sz w:val="22"/>
          <w:szCs w:val="22"/>
          <w:lang w:val="en-GB"/>
        </w:rPr>
      </w:pPr>
    </w:p>
    <w:p w14:paraId="266E90C6"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Intangible assets are measured initially at cost. Amounts are only revalued where the fair value of the assets held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can be determined by reference to an active market. In practice, no intangible asset held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meets this criterion, and they are therefore carried at amortised cost. The depreciable amount of an intangible asset is amortised over its useful life in the Comprehensive Income and Expenditure Statement over a range of 3 to 15 years. </w:t>
      </w:r>
    </w:p>
    <w:p w14:paraId="7AB4B0D3" w14:textId="77777777" w:rsidR="001B2935" w:rsidRPr="000D67C6" w:rsidRDefault="001B2935" w:rsidP="004F7CCB">
      <w:pPr>
        <w:pStyle w:val="Normal0"/>
        <w:spacing w:line="22" w:lineRule="atLeast"/>
        <w:jc w:val="both"/>
        <w:rPr>
          <w:rFonts w:ascii="Arial" w:hAnsi="Arial" w:cs="Arial"/>
          <w:sz w:val="22"/>
          <w:szCs w:val="22"/>
          <w:lang w:val="en-GB"/>
        </w:rPr>
      </w:pPr>
    </w:p>
    <w:p w14:paraId="00F09800"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Inventories and Long-term Contracts</w:t>
      </w:r>
    </w:p>
    <w:p w14:paraId="2903E988"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1622BC5C"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Inventories are included in the Balance Sheet at the lower of cost and net realisable value. The cost of inventories is assigned using the First in, First Out (FIFO) costing formula. </w:t>
      </w:r>
    </w:p>
    <w:p w14:paraId="4DA0CC02" w14:textId="77777777" w:rsidR="00FB3036" w:rsidRPr="000D67C6" w:rsidRDefault="00FB3036" w:rsidP="004F7CCB">
      <w:pPr>
        <w:pStyle w:val="Normal0"/>
        <w:spacing w:line="22" w:lineRule="atLeast"/>
        <w:jc w:val="both"/>
        <w:rPr>
          <w:rFonts w:ascii="Arial" w:hAnsi="Arial" w:cs="Arial"/>
          <w:sz w:val="22"/>
          <w:szCs w:val="22"/>
          <w:lang w:val="en-GB"/>
        </w:rPr>
      </w:pPr>
    </w:p>
    <w:p w14:paraId="2CBF3BDC"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Long-term contracts are accounted for on the basis of charging the Surplus or Deficit on the Provision of Services with the value of works and services received under the contract during the financial year. </w:t>
      </w:r>
    </w:p>
    <w:p w14:paraId="3F6841E3" w14:textId="77777777" w:rsidR="008F013B" w:rsidRPr="000D67C6" w:rsidRDefault="008F013B" w:rsidP="004F7CCB">
      <w:pPr>
        <w:pStyle w:val="Normal0"/>
        <w:spacing w:line="22" w:lineRule="atLeast"/>
        <w:jc w:val="both"/>
        <w:rPr>
          <w:rFonts w:ascii="Arial" w:hAnsi="Arial" w:cs="Arial"/>
          <w:sz w:val="22"/>
          <w:szCs w:val="22"/>
          <w:lang w:val="en-GB"/>
        </w:rPr>
      </w:pPr>
    </w:p>
    <w:p w14:paraId="1DB46893"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 xml:space="preserve">Leases </w:t>
      </w:r>
    </w:p>
    <w:p w14:paraId="2D1C9157" w14:textId="77777777" w:rsidR="00F54FD2" w:rsidRPr="000D67C6" w:rsidRDefault="00F54FD2" w:rsidP="00F54FD2">
      <w:pPr>
        <w:pStyle w:val="Normal0"/>
        <w:spacing w:line="22" w:lineRule="atLeast"/>
        <w:ind w:left="360"/>
        <w:jc w:val="both"/>
        <w:rPr>
          <w:rFonts w:ascii="Arial" w:hAnsi="Arial" w:cs="Arial"/>
          <w:sz w:val="22"/>
          <w:szCs w:val="22"/>
          <w:lang w:val="en-GB"/>
        </w:rPr>
      </w:pPr>
    </w:p>
    <w:p w14:paraId="3C008A73" w14:textId="77777777" w:rsidR="00FB3036"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Leases are classified as finance leases where the terms of the lease transfer substantially all the risks and rewards incidental to ownership of the property, plant or equipment from the lessor to the lessee. All other leases are classified as operating leases. </w:t>
      </w:r>
    </w:p>
    <w:p w14:paraId="7BCC416E" w14:textId="77777777" w:rsidR="00FB3036" w:rsidRPr="000D67C6" w:rsidRDefault="00FB3036" w:rsidP="004F7CCB">
      <w:pPr>
        <w:pStyle w:val="Normal0"/>
        <w:spacing w:line="22" w:lineRule="atLeast"/>
        <w:jc w:val="both"/>
        <w:rPr>
          <w:rFonts w:ascii="Arial" w:hAnsi="Arial" w:cs="Arial"/>
          <w:sz w:val="22"/>
          <w:szCs w:val="22"/>
          <w:lang w:val="en-GB"/>
        </w:rPr>
      </w:pPr>
    </w:p>
    <w:p w14:paraId="65F70920" w14:textId="77777777" w:rsidR="00FB3036"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a lease covers both land and buildings, the land and buildings elements are considered separately for classification. </w:t>
      </w:r>
    </w:p>
    <w:p w14:paraId="51260DAE" w14:textId="77777777" w:rsidR="00FB3036" w:rsidRPr="000D67C6" w:rsidRDefault="00FB3036" w:rsidP="004F7CCB">
      <w:pPr>
        <w:pStyle w:val="Normal0"/>
        <w:spacing w:line="22" w:lineRule="atLeast"/>
        <w:jc w:val="both"/>
        <w:rPr>
          <w:rFonts w:ascii="Arial" w:hAnsi="Arial" w:cs="Arial"/>
          <w:sz w:val="22"/>
          <w:szCs w:val="22"/>
          <w:lang w:val="en-GB"/>
        </w:rPr>
      </w:pPr>
    </w:p>
    <w:p w14:paraId="3BE7AC1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Arrangements that do not have the legal status of a lease but convey a right to use an asset in return for payment are accounted for under this policy where fulfilment of the arrangement is dependent on the use of specific assets. </w:t>
      </w:r>
    </w:p>
    <w:p w14:paraId="41C2E7EB"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4DE33E47" w14:textId="77777777" w:rsidR="00C95F2F" w:rsidRPr="000D67C6" w:rsidRDefault="00C95F2F">
      <w:pPr>
        <w:rPr>
          <w:rFonts w:ascii="Arial" w:hAnsi="Arial" w:cs="Arial"/>
          <w:b/>
          <w:sz w:val="22"/>
          <w:szCs w:val="22"/>
          <w:lang w:val="en-GB"/>
        </w:rPr>
      </w:pPr>
      <w:r w:rsidRPr="000D67C6">
        <w:rPr>
          <w:rFonts w:ascii="Arial" w:hAnsi="Arial" w:cs="Arial"/>
          <w:b/>
          <w:sz w:val="22"/>
          <w:szCs w:val="22"/>
          <w:lang w:val="en-GB"/>
        </w:rPr>
        <w:br w:type="page"/>
      </w:r>
    </w:p>
    <w:p w14:paraId="6D480739" w14:textId="27ED18F5"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The Authority as Lessee </w:t>
      </w:r>
    </w:p>
    <w:p w14:paraId="7F4A0246" w14:textId="77777777" w:rsidR="00F54FD2" w:rsidRPr="000D67C6" w:rsidRDefault="00F54FD2" w:rsidP="004F7CCB">
      <w:pPr>
        <w:pStyle w:val="Normal0"/>
        <w:spacing w:line="22" w:lineRule="atLeast"/>
        <w:jc w:val="both"/>
        <w:rPr>
          <w:rFonts w:ascii="Arial" w:hAnsi="Arial" w:cs="Arial"/>
          <w:b/>
          <w:sz w:val="22"/>
          <w:szCs w:val="22"/>
          <w:lang w:val="en-GB"/>
        </w:rPr>
      </w:pPr>
    </w:p>
    <w:p w14:paraId="55463F46"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Finance Leases </w:t>
      </w:r>
    </w:p>
    <w:p w14:paraId="02F64669" w14:textId="77777777" w:rsidR="00F54FD2" w:rsidRPr="000D67C6" w:rsidRDefault="00F54FD2" w:rsidP="004F7CCB">
      <w:pPr>
        <w:pStyle w:val="Normal0"/>
        <w:spacing w:line="22" w:lineRule="atLeast"/>
        <w:jc w:val="both"/>
        <w:rPr>
          <w:rFonts w:ascii="Arial" w:hAnsi="Arial" w:cs="Arial"/>
          <w:sz w:val="22"/>
          <w:szCs w:val="22"/>
          <w:lang w:val="en-GB"/>
        </w:rPr>
      </w:pPr>
    </w:p>
    <w:p w14:paraId="3CF7E5C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Property, plant and 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Initial direct costs of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are added to the carrying amount of the asset. Premiums paid on entry into a lease are applied to writing down the lease liability. Contingent rents are charged as expenses in the periods in which they are incurred. Lease payments are apportioned between: </w:t>
      </w:r>
    </w:p>
    <w:p w14:paraId="0D374058" w14:textId="77777777" w:rsidR="00D00E4E" w:rsidRPr="000D67C6" w:rsidRDefault="00D00E4E" w:rsidP="004F7CCB">
      <w:pPr>
        <w:pStyle w:val="Normal0"/>
        <w:spacing w:line="22" w:lineRule="atLeast"/>
        <w:jc w:val="both"/>
        <w:rPr>
          <w:rFonts w:ascii="Arial" w:hAnsi="Arial" w:cs="Arial"/>
          <w:sz w:val="22"/>
          <w:szCs w:val="22"/>
          <w:lang w:val="en-GB"/>
        </w:rPr>
      </w:pPr>
    </w:p>
    <w:p w14:paraId="1BAC1ECD" w14:textId="77777777" w:rsidR="008F013B" w:rsidRPr="000D67C6" w:rsidRDefault="008F013B" w:rsidP="00C4608B">
      <w:pPr>
        <w:pStyle w:val="Normal0"/>
        <w:numPr>
          <w:ilvl w:val="0"/>
          <w:numId w:val="13"/>
        </w:numPr>
        <w:spacing w:line="22" w:lineRule="atLeast"/>
        <w:jc w:val="both"/>
        <w:rPr>
          <w:rFonts w:ascii="Arial" w:hAnsi="Arial" w:cs="Arial"/>
          <w:sz w:val="22"/>
          <w:szCs w:val="22"/>
          <w:lang w:val="en-GB"/>
        </w:rPr>
      </w:pPr>
      <w:r w:rsidRPr="000D67C6">
        <w:rPr>
          <w:rFonts w:ascii="Arial" w:hAnsi="Arial" w:cs="Arial"/>
          <w:sz w:val="22"/>
          <w:szCs w:val="22"/>
          <w:lang w:val="en-GB"/>
        </w:rPr>
        <w:t xml:space="preserve">a charge for the acquisition of the interest in the property, plant or equipment – applied to write down the lease liability, and </w:t>
      </w:r>
    </w:p>
    <w:p w14:paraId="3526661B" w14:textId="77777777" w:rsidR="008F013B" w:rsidRPr="000D67C6" w:rsidRDefault="008F013B" w:rsidP="00C4608B">
      <w:pPr>
        <w:pStyle w:val="Normal0"/>
        <w:numPr>
          <w:ilvl w:val="0"/>
          <w:numId w:val="13"/>
        </w:numPr>
        <w:spacing w:line="22" w:lineRule="atLeast"/>
        <w:jc w:val="both"/>
        <w:rPr>
          <w:rFonts w:ascii="Arial" w:hAnsi="Arial" w:cs="Arial"/>
          <w:sz w:val="22"/>
          <w:szCs w:val="22"/>
          <w:lang w:val="en-GB"/>
        </w:rPr>
      </w:pPr>
      <w:r w:rsidRPr="000D67C6">
        <w:rPr>
          <w:rFonts w:ascii="Arial" w:hAnsi="Arial" w:cs="Arial"/>
          <w:sz w:val="22"/>
          <w:szCs w:val="22"/>
          <w:lang w:val="en-GB"/>
        </w:rPr>
        <w:t>a finance charge (debited to the Financing and Investment Income and Expenditure line in the Comprehensive Income and Expenditure Statement).</w:t>
      </w:r>
    </w:p>
    <w:p w14:paraId="1D27E62A" w14:textId="77777777" w:rsidR="00FB3036" w:rsidRPr="000D67C6" w:rsidRDefault="00FB3036" w:rsidP="00FB3036">
      <w:pPr>
        <w:pStyle w:val="Normal0"/>
        <w:spacing w:line="22" w:lineRule="atLeast"/>
        <w:ind w:left="360"/>
        <w:jc w:val="both"/>
        <w:rPr>
          <w:rFonts w:ascii="Arial" w:hAnsi="Arial" w:cs="Arial"/>
          <w:sz w:val="22"/>
          <w:szCs w:val="22"/>
          <w:lang w:val="en-GB"/>
        </w:rPr>
      </w:pPr>
    </w:p>
    <w:p w14:paraId="1EB59042" w14:textId="77777777" w:rsidR="008F013B" w:rsidRPr="000D67C6" w:rsidRDefault="008F013B" w:rsidP="00FB3036">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Property, plant and equipment recognised under finance leases is accounted for using the policies applied generally to such assets, subject to depreciation being charged over the lease term if this is shorter than the asset’s estimated useful life (where ownership of the asset does not transfer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at the end of the lease period). </w:t>
      </w:r>
    </w:p>
    <w:p w14:paraId="366BF3E4" w14:textId="77777777" w:rsidR="008F013B" w:rsidRPr="000D67C6" w:rsidRDefault="008F013B" w:rsidP="004F7CCB">
      <w:pPr>
        <w:pStyle w:val="Normal0"/>
        <w:spacing w:line="22" w:lineRule="atLeast"/>
        <w:jc w:val="both"/>
        <w:rPr>
          <w:rFonts w:ascii="Arial" w:hAnsi="Arial" w:cs="Arial"/>
          <w:sz w:val="22"/>
          <w:szCs w:val="22"/>
          <w:lang w:val="en-GB"/>
        </w:rPr>
      </w:pPr>
    </w:p>
    <w:p w14:paraId="66784958"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Operating Leases </w:t>
      </w:r>
    </w:p>
    <w:p w14:paraId="2FA294CE" w14:textId="77777777" w:rsidR="00D00E4E" w:rsidRPr="000D67C6" w:rsidRDefault="00D00E4E" w:rsidP="004F7CCB">
      <w:pPr>
        <w:pStyle w:val="Normal0"/>
        <w:spacing w:line="22" w:lineRule="atLeast"/>
        <w:jc w:val="both"/>
        <w:rPr>
          <w:rFonts w:ascii="Arial" w:hAnsi="Arial" w:cs="Arial"/>
          <w:sz w:val="22"/>
          <w:szCs w:val="22"/>
          <w:lang w:val="en-GB"/>
        </w:rPr>
      </w:pPr>
    </w:p>
    <w:p w14:paraId="0B336287"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Rentals paid under operating leases are charged to the Comprehensive Income and Expenditure Statement as an expense of the services benefi</w:t>
      </w:r>
      <w:r w:rsidR="00FB3036" w:rsidRPr="000D67C6">
        <w:rPr>
          <w:rFonts w:ascii="Arial" w:hAnsi="Arial" w:cs="Arial"/>
          <w:sz w:val="22"/>
          <w:szCs w:val="22"/>
          <w:lang w:val="en-GB"/>
        </w:rPr>
        <w:t>t</w:t>
      </w:r>
      <w:r w:rsidRPr="000D67C6">
        <w:rPr>
          <w:rFonts w:ascii="Arial" w:hAnsi="Arial" w:cs="Arial"/>
          <w:sz w:val="22"/>
          <w:szCs w:val="22"/>
          <w:lang w:val="en-GB"/>
        </w:rPr>
        <w:t>ting from use of the leased property, plant or equipment. Charges are made on a straight-line basis over the life of the lease, even if this does not match the pattern of payments (e</w:t>
      </w:r>
      <w:r w:rsidR="00294166" w:rsidRPr="000D67C6">
        <w:rPr>
          <w:rFonts w:ascii="Arial" w:hAnsi="Arial" w:cs="Arial"/>
          <w:sz w:val="22"/>
          <w:szCs w:val="22"/>
          <w:lang w:val="en-GB"/>
        </w:rPr>
        <w:t>.</w:t>
      </w:r>
      <w:r w:rsidRPr="000D67C6">
        <w:rPr>
          <w:rFonts w:ascii="Arial" w:hAnsi="Arial" w:cs="Arial"/>
          <w:sz w:val="22"/>
          <w:szCs w:val="22"/>
          <w:lang w:val="en-GB"/>
        </w:rPr>
        <w:t>g</w:t>
      </w:r>
      <w:r w:rsidR="00294166" w:rsidRPr="000D67C6">
        <w:rPr>
          <w:rFonts w:ascii="Arial" w:hAnsi="Arial" w:cs="Arial"/>
          <w:sz w:val="22"/>
          <w:szCs w:val="22"/>
          <w:lang w:val="en-GB"/>
        </w:rPr>
        <w:t>.</w:t>
      </w:r>
      <w:r w:rsidRPr="000D67C6">
        <w:rPr>
          <w:rFonts w:ascii="Arial" w:hAnsi="Arial" w:cs="Arial"/>
          <w:sz w:val="22"/>
          <w:szCs w:val="22"/>
          <w:lang w:val="en-GB"/>
        </w:rPr>
        <w:t xml:space="preserve"> there is a rent-free period at the commencement of the lease). </w:t>
      </w:r>
    </w:p>
    <w:p w14:paraId="7485306F" w14:textId="77777777" w:rsidR="00AA51BB" w:rsidRPr="000D67C6" w:rsidRDefault="00AA51BB" w:rsidP="004F7CCB">
      <w:pPr>
        <w:pStyle w:val="Normal0"/>
        <w:spacing w:line="22" w:lineRule="atLeast"/>
        <w:jc w:val="both"/>
        <w:rPr>
          <w:rFonts w:ascii="Arial" w:hAnsi="Arial" w:cs="Arial"/>
          <w:sz w:val="22"/>
          <w:szCs w:val="22"/>
          <w:lang w:val="en-GB"/>
        </w:rPr>
      </w:pPr>
    </w:p>
    <w:p w14:paraId="3461CDDE"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Property, Plant and Equipment</w:t>
      </w:r>
    </w:p>
    <w:p w14:paraId="27237C37" w14:textId="77777777" w:rsidR="00D00E4E" w:rsidRPr="000D67C6" w:rsidRDefault="00D00E4E" w:rsidP="00D00E4E">
      <w:pPr>
        <w:pStyle w:val="Normal0"/>
        <w:spacing w:line="22" w:lineRule="atLeast"/>
        <w:ind w:left="360"/>
        <w:jc w:val="both"/>
        <w:rPr>
          <w:rFonts w:ascii="Arial" w:hAnsi="Arial" w:cs="Arial"/>
          <w:sz w:val="22"/>
          <w:szCs w:val="22"/>
          <w:lang w:val="en-GB"/>
        </w:rPr>
      </w:pPr>
    </w:p>
    <w:p w14:paraId="17611729" w14:textId="14AC10EB"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Assets that have physical substance and are held for use in the production or supply of goods or services, or for administrative purposes and that are expected to be used during more than one financial year are classified as property, plant and equipment. </w:t>
      </w:r>
    </w:p>
    <w:p w14:paraId="02C236D2" w14:textId="77777777" w:rsidR="008F013B" w:rsidRPr="000D67C6" w:rsidRDefault="008F013B" w:rsidP="004F7CCB">
      <w:pPr>
        <w:pStyle w:val="Normal0"/>
        <w:spacing w:line="22" w:lineRule="atLeast"/>
        <w:jc w:val="both"/>
        <w:rPr>
          <w:rFonts w:ascii="Arial" w:hAnsi="Arial" w:cs="Arial"/>
          <w:sz w:val="22"/>
          <w:szCs w:val="22"/>
          <w:lang w:val="en-GB"/>
        </w:rPr>
      </w:pPr>
    </w:p>
    <w:p w14:paraId="6FBDCF3B"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 Recognition </w:t>
      </w:r>
    </w:p>
    <w:p w14:paraId="5FC40C6F" w14:textId="77777777" w:rsidR="00D00E4E" w:rsidRPr="000D67C6" w:rsidRDefault="00D00E4E" w:rsidP="004F7CCB">
      <w:pPr>
        <w:pStyle w:val="Normal0"/>
        <w:spacing w:line="22" w:lineRule="atLeast"/>
        <w:jc w:val="both"/>
        <w:rPr>
          <w:rFonts w:ascii="Arial" w:hAnsi="Arial" w:cs="Arial"/>
          <w:sz w:val="22"/>
          <w:szCs w:val="22"/>
          <w:lang w:val="en-GB"/>
        </w:rPr>
      </w:pPr>
    </w:p>
    <w:p w14:paraId="7F1DF4C8"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Expenditure on the acquisition, creation or enhancement of property, plant and equipment is capitalised on an accruals basis, provided that it is probable that the future economic benefits or service potential associated with the item will flow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and the cost of the item can be measured reliably. Expenditure that maintains but does not add to an asset’s potential to deliver future economic benefits or service potential (i</w:t>
      </w:r>
      <w:r w:rsidR="00FB3036" w:rsidRPr="000D67C6">
        <w:rPr>
          <w:rFonts w:ascii="Arial" w:hAnsi="Arial" w:cs="Arial"/>
          <w:sz w:val="22"/>
          <w:szCs w:val="22"/>
          <w:lang w:val="en-GB"/>
        </w:rPr>
        <w:t>.</w:t>
      </w:r>
      <w:r w:rsidRPr="000D67C6">
        <w:rPr>
          <w:rFonts w:ascii="Arial" w:hAnsi="Arial" w:cs="Arial"/>
          <w:sz w:val="22"/>
          <w:szCs w:val="22"/>
          <w:lang w:val="en-GB"/>
        </w:rPr>
        <w:t>e</w:t>
      </w:r>
      <w:r w:rsidR="00FB3036" w:rsidRPr="000D67C6">
        <w:rPr>
          <w:rFonts w:ascii="Arial" w:hAnsi="Arial" w:cs="Arial"/>
          <w:sz w:val="22"/>
          <w:szCs w:val="22"/>
          <w:lang w:val="en-GB"/>
        </w:rPr>
        <w:t>.</w:t>
      </w:r>
      <w:r w:rsidRPr="000D67C6">
        <w:rPr>
          <w:rFonts w:ascii="Arial" w:hAnsi="Arial" w:cs="Arial"/>
          <w:sz w:val="22"/>
          <w:szCs w:val="22"/>
          <w:lang w:val="en-GB"/>
        </w:rPr>
        <w:t xml:space="preserve"> repairs and maintenance) is charged as an expense when it is incurred. </w:t>
      </w:r>
    </w:p>
    <w:p w14:paraId="3B44A387" w14:textId="77777777" w:rsidR="000C0AED" w:rsidRPr="000D67C6" w:rsidRDefault="000C0AED" w:rsidP="004F7CCB">
      <w:pPr>
        <w:pStyle w:val="Normal0"/>
        <w:spacing w:line="22" w:lineRule="atLeast"/>
        <w:jc w:val="both"/>
        <w:rPr>
          <w:rFonts w:ascii="Arial" w:hAnsi="Arial" w:cs="Arial"/>
          <w:sz w:val="22"/>
          <w:szCs w:val="22"/>
          <w:lang w:val="en-GB"/>
        </w:rPr>
      </w:pPr>
    </w:p>
    <w:p w14:paraId="53424A15" w14:textId="77777777" w:rsidR="000C0AED" w:rsidRPr="000D67C6" w:rsidRDefault="000C0AED"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de-minimis level for capitalising assets, with a useful life exceeding 12 months, is £5,000. </w:t>
      </w:r>
    </w:p>
    <w:p w14:paraId="3120F1E1" w14:textId="77777777" w:rsidR="008F013B" w:rsidRPr="000D67C6" w:rsidRDefault="008F013B" w:rsidP="004F7CCB">
      <w:pPr>
        <w:pStyle w:val="Normal0"/>
        <w:spacing w:line="22" w:lineRule="atLeast"/>
        <w:jc w:val="both"/>
        <w:rPr>
          <w:rFonts w:ascii="Arial" w:hAnsi="Arial" w:cs="Arial"/>
          <w:sz w:val="22"/>
          <w:szCs w:val="22"/>
          <w:lang w:val="en-GB"/>
        </w:rPr>
      </w:pPr>
    </w:p>
    <w:p w14:paraId="57EC0DF1"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 Measurement </w:t>
      </w:r>
    </w:p>
    <w:p w14:paraId="15DFC227" w14:textId="77777777" w:rsidR="00D00E4E" w:rsidRPr="000D67C6" w:rsidRDefault="00D00E4E" w:rsidP="004F7CCB">
      <w:pPr>
        <w:pStyle w:val="Normal0"/>
        <w:spacing w:line="22" w:lineRule="atLeast"/>
        <w:jc w:val="both"/>
        <w:rPr>
          <w:rFonts w:ascii="Arial" w:hAnsi="Arial" w:cs="Arial"/>
          <w:sz w:val="22"/>
          <w:szCs w:val="22"/>
          <w:lang w:val="en-GB"/>
        </w:rPr>
      </w:pPr>
    </w:p>
    <w:p w14:paraId="4427FF5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Assets are initially measured at cost, comprising: </w:t>
      </w:r>
    </w:p>
    <w:p w14:paraId="4D7BE77A" w14:textId="77777777" w:rsidR="00D00E4E" w:rsidRPr="000D67C6" w:rsidRDefault="00D00E4E" w:rsidP="004F7CCB">
      <w:pPr>
        <w:pStyle w:val="Normal0"/>
        <w:spacing w:line="22" w:lineRule="atLeast"/>
        <w:jc w:val="both"/>
        <w:rPr>
          <w:rFonts w:ascii="Arial" w:hAnsi="Arial" w:cs="Arial"/>
          <w:sz w:val="22"/>
          <w:szCs w:val="22"/>
          <w:lang w:val="en-GB"/>
        </w:rPr>
      </w:pPr>
    </w:p>
    <w:p w14:paraId="256C0D9C" w14:textId="77777777" w:rsidR="008F013B" w:rsidRPr="000D67C6" w:rsidRDefault="008F013B" w:rsidP="00C4608B">
      <w:pPr>
        <w:pStyle w:val="Normal0"/>
        <w:numPr>
          <w:ilvl w:val="0"/>
          <w:numId w:val="14"/>
        </w:numPr>
        <w:spacing w:line="22" w:lineRule="atLeast"/>
        <w:jc w:val="both"/>
        <w:rPr>
          <w:rFonts w:ascii="Arial" w:hAnsi="Arial" w:cs="Arial"/>
          <w:sz w:val="22"/>
          <w:szCs w:val="22"/>
          <w:lang w:val="en-GB"/>
        </w:rPr>
      </w:pPr>
      <w:r w:rsidRPr="000D67C6">
        <w:rPr>
          <w:rFonts w:ascii="Arial" w:hAnsi="Arial" w:cs="Arial"/>
          <w:sz w:val="22"/>
          <w:szCs w:val="22"/>
          <w:lang w:val="en-GB"/>
        </w:rPr>
        <w:t>the purchase price</w:t>
      </w:r>
      <w:r w:rsidR="00D00E4E" w:rsidRPr="000D67C6">
        <w:rPr>
          <w:rFonts w:ascii="Arial" w:hAnsi="Arial" w:cs="Arial"/>
          <w:sz w:val="22"/>
          <w:szCs w:val="22"/>
          <w:lang w:val="en-GB"/>
        </w:rPr>
        <w:t>,</w:t>
      </w:r>
      <w:r w:rsidRPr="000D67C6">
        <w:rPr>
          <w:rFonts w:ascii="Arial" w:hAnsi="Arial" w:cs="Arial"/>
          <w:sz w:val="22"/>
          <w:szCs w:val="22"/>
          <w:lang w:val="en-GB"/>
        </w:rPr>
        <w:t xml:space="preserve"> </w:t>
      </w:r>
    </w:p>
    <w:p w14:paraId="3D52EECA" w14:textId="77777777" w:rsidR="008F013B" w:rsidRPr="000D67C6" w:rsidRDefault="008F013B" w:rsidP="00C4608B">
      <w:pPr>
        <w:pStyle w:val="Normal0"/>
        <w:numPr>
          <w:ilvl w:val="0"/>
          <w:numId w:val="14"/>
        </w:numPr>
        <w:spacing w:line="22" w:lineRule="atLeast"/>
        <w:jc w:val="both"/>
        <w:rPr>
          <w:rFonts w:ascii="Arial" w:hAnsi="Arial" w:cs="Arial"/>
          <w:sz w:val="22"/>
          <w:szCs w:val="22"/>
          <w:lang w:val="en-GB"/>
        </w:rPr>
      </w:pPr>
      <w:r w:rsidRPr="000D67C6">
        <w:rPr>
          <w:rFonts w:ascii="Arial" w:hAnsi="Arial" w:cs="Arial"/>
          <w:sz w:val="22"/>
          <w:szCs w:val="22"/>
          <w:lang w:val="en-GB"/>
        </w:rPr>
        <w:t xml:space="preserve">any costs attributable to bringing the asset to the location and condition necessary for it to be capable of operating in the manner intended by management </w:t>
      </w:r>
    </w:p>
    <w:p w14:paraId="319FA269" w14:textId="77777777" w:rsidR="008F013B" w:rsidRPr="000D67C6" w:rsidRDefault="008F013B" w:rsidP="004F7CCB">
      <w:pPr>
        <w:pStyle w:val="Normal0"/>
        <w:spacing w:line="22" w:lineRule="atLeast"/>
        <w:jc w:val="both"/>
        <w:rPr>
          <w:rFonts w:ascii="Arial" w:hAnsi="Arial" w:cs="Arial"/>
          <w:sz w:val="22"/>
          <w:szCs w:val="22"/>
          <w:lang w:val="en-GB"/>
        </w:rPr>
      </w:pPr>
    </w:p>
    <w:p w14:paraId="5426669E"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does not capitalise borrowing costs incurred whilst assets are under construction. The cost of assets acquired other than by purchase is deemed to be its fair value, unless the acquisition does not have commercial substance (i</w:t>
      </w:r>
      <w:r w:rsidR="00AF0480" w:rsidRPr="000D67C6">
        <w:rPr>
          <w:rFonts w:ascii="Arial" w:hAnsi="Arial" w:cs="Arial"/>
          <w:sz w:val="22"/>
          <w:szCs w:val="22"/>
          <w:lang w:val="en-GB"/>
        </w:rPr>
        <w:t>.</w:t>
      </w:r>
      <w:r w:rsidRPr="000D67C6">
        <w:rPr>
          <w:rFonts w:ascii="Arial" w:hAnsi="Arial" w:cs="Arial"/>
          <w:sz w:val="22"/>
          <w:szCs w:val="22"/>
          <w:lang w:val="en-GB"/>
        </w:rPr>
        <w:t>e</w:t>
      </w:r>
      <w:r w:rsidR="00AF0480" w:rsidRPr="000D67C6">
        <w:rPr>
          <w:rFonts w:ascii="Arial" w:hAnsi="Arial" w:cs="Arial"/>
          <w:sz w:val="22"/>
          <w:szCs w:val="22"/>
          <w:lang w:val="en-GB"/>
        </w:rPr>
        <w:t>.</w:t>
      </w:r>
      <w:r w:rsidRPr="000D67C6">
        <w:rPr>
          <w:rFonts w:ascii="Arial" w:hAnsi="Arial" w:cs="Arial"/>
          <w:sz w:val="22"/>
          <w:szCs w:val="22"/>
          <w:lang w:val="en-GB"/>
        </w:rPr>
        <w:t xml:space="preserve"> it will not lead to a variation in the cash flows of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In the latter case, where an asset is acquired via an exchange, the cost of the acquisition is the carrying amount of the asset given up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t>
      </w:r>
    </w:p>
    <w:p w14:paraId="603B9862"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6951D166"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Donated assets are measured initially at fair value. The difference between fair value and any consideration paid is credited to the Taxation and Non-specific Grant Income and Expenditure line of the Comprehensive Income and Expenditure Statement, unless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 </w:t>
      </w:r>
    </w:p>
    <w:p w14:paraId="02DB222E" w14:textId="77777777" w:rsidR="008F013B" w:rsidRPr="000D67C6" w:rsidRDefault="008F013B" w:rsidP="004F7CCB">
      <w:pPr>
        <w:pStyle w:val="Normal0"/>
        <w:spacing w:line="22" w:lineRule="atLeast"/>
        <w:jc w:val="both"/>
        <w:rPr>
          <w:rFonts w:ascii="Arial" w:hAnsi="Arial" w:cs="Arial"/>
          <w:sz w:val="22"/>
          <w:szCs w:val="22"/>
          <w:lang w:val="en-GB"/>
        </w:rPr>
      </w:pPr>
    </w:p>
    <w:p w14:paraId="2BBAF64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Assets are then carried in the Balance Sheet using the following measurement bases: </w:t>
      </w:r>
    </w:p>
    <w:p w14:paraId="3E880600" w14:textId="77777777" w:rsidR="00D00E4E" w:rsidRPr="000D67C6" w:rsidRDefault="00D00E4E" w:rsidP="004F7CCB">
      <w:pPr>
        <w:pStyle w:val="Normal0"/>
        <w:spacing w:line="22" w:lineRule="atLeast"/>
        <w:jc w:val="both"/>
        <w:rPr>
          <w:rFonts w:ascii="Arial" w:hAnsi="Arial" w:cs="Arial"/>
          <w:sz w:val="22"/>
          <w:szCs w:val="22"/>
          <w:lang w:val="en-GB"/>
        </w:rPr>
      </w:pPr>
    </w:p>
    <w:p w14:paraId="035AFB8E" w14:textId="77777777" w:rsidR="008F013B" w:rsidRPr="000D67C6" w:rsidRDefault="002B5DF8" w:rsidP="00C4608B">
      <w:pPr>
        <w:pStyle w:val="Normal0"/>
        <w:numPr>
          <w:ilvl w:val="0"/>
          <w:numId w:val="1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infrastructure </w:t>
      </w:r>
      <w:r w:rsidR="008F013B" w:rsidRPr="000D67C6">
        <w:rPr>
          <w:rFonts w:ascii="Arial" w:hAnsi="Arial" w:cs="Arial"/>
          <w:sz w:val="22"/>
          <w:szCs w:val="22"/>
          <w:lang w:val="en-GB"/>
        </w:rPr>
        <w:t xml:space="preserve">– depreciated historical cost </w:t>
      </w:r>
    </w:p>
    <w:p w14:paraId="547129FC" w14:textId="77777777" w:rsidR="002B5DF8" w:rsidRPr="000D67C6" w:rsidRDefault="002B5DF8" w:rsidP="00C4608B">
      <w:pPr>
        <w:pStyle w:val="Normal0"/>
        <w:numPr>
          <w:ilvl w:val="0"/>
          <w:numId w:val="16"/>
        </w:numPr>
        <w:spacing w:line="22" w:lineRule="atLeast"/>
        <w:jc w:val="both"/>
        <w:rPr>
          <w:rFonts w:ascii="Arial" w:hAnsi="Arial" w:cs="Arial"/>
          <w:sz w:val="22"/>
          <w:szCs w:val="22"/>
          <w:lang w:val="en-GB"/>
        </w:rPr>
      </w:pPr>
      <w:r w:rsidRPr="000D67C6">
        <w:rPr>
          <w:rFonts w:ascii="Arial" w:hAnsi="Arial" w:cs="Arial"/>
          <w:sz w:val="22"/>
          <w:szCs w:val="22"/>
          <w:lang w:val="en-GB"/>
        </w:rPr>
        <w:t>assets under construction – historical cost</w:t>
      </w:r>
    </w:p>
    <w:p w14:paraId="1464999E" w14:textId="77777777" w:rsidR="008F013B" w:rsidRPr="000D67C6" w:rsidRDefault="00197018" w:rsidP="00C4608B">
      <w:pPr>
        <w:pStyle w:val="Normal0"/>
        <w:numPr>
          <w:ilvl w:val="0"/>
          <w:numId w:val="16"/>
        </w:numPr>
        <w:spacing w:line="22" w:lineRule="atLeast"/>
        <w:jc w:val="both"/>
        <w:rPr>
          <w:rFonts w:ascii="Arial" w:hAnsi="Arial" w:cs="Arial"/>
          <w:sz w:val="22"/>
          <w:szCs w:val="22"/>
          <w:lang w:val="en-GB"/>
        </w:rPr>
      </w:pPr>
      <w:r w:rsidRPr="000D67C6">
        <w:rPr>
          <w:rFonts w:ascii="Arial" w:hAnsi="Arial" w:cs="Arial"/>
          <w:sz w:val="22"/>
          <w:szCs w:val="22"/>
          <w:lang w:val="en-GB"/>
        </w:rPr>
        <w:t>Authority</w:t>
      </w:r>
      <w:r w:rsidR="008F013B" w:rsidRPr="000D67C6">
        <w:rPr>
          <w:rFonts w:ascii="Arial" w:hAnsi="Arial" w:cs="Arial"/>
          <w:sz w:val="22"/>
          <w:szCs w:val="22"/>
          <w:lang w:val="en-GB"/>
        </w:rPr>
        <w:t xml:space="preserve"> offices – current value, determined as the amount that would be paid for the asset in its existing use (existing use value – EUV) </w:t>
      </w:r>
    </w:p>
    <w:p w14:paraId="7265F98B" w14:textId="77777777" w:rsidR="008F013B" w:rsidRPr="000D67C6" w:rsidRDefault="008F013B" w:rsidP="00C4608B">
      <w:pPr>
        <w:pStyle w:val="Normal0"/>
        <w:numPr>
          <w:ilvl w:val="0"/>
          <w:numId w:val="1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surplus assets – the current value measurement base is fair value, estimated at highest and best use from a market participant’s perspective </w:t>
      </w:r>
    </w:p>
    <w:p w14:paraId="4D233DB6" w14:textId="77777777" w:rsidR="008F013B" w:rsidRPr="000D67C6" w:rsidRDefault="008F013B" w:rsidP="00C4608B">
      <w:pPr>
        <w:pStyle w:val="Normal0"/>
        <w:numPr>
          <w:ilvl w:val="0"/>
          <w:numId w:val="1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all other assets – current value, determined as the amount that would be paid for the asset in its existing use (existing use value – EUV). </w:t>
      </w:r>
    </w:p>
    <w:p w14:paraId="5C033E77" w14:textId="77777777" w:rsidR="008F013B" w:rsidRPr="000D67C6" w:rsidRDefault="008F013B" w:rsidP="004F7CCB">
      <w:pPr>
        <w:pStyle w:val="Normal0"/>
        <w:spacing w:line="22" w:lineRule="atLeast"/>
        <w:jc w:val="both"/>
        <w:rPr>
          <w:rFonts w:ascii="Arial" w:hAnsi="Arial" w:cs="Arial"/>
          <w:sz w:val="22"/>
          <w:szCs w:val="22"/>
          <w:lang w:val="en-GB"/>
        </w:rPr>
      </w:pPr>
    </w:p>
    <w:p w14:paraId="038042C9"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there is no market-based evidence of current value because of the specialist nature of an asset, depreciated replacement cost (DRC) is used as an estimate of current value. </w:t>
      </w:r>
    </w:p>
    <w:p w14:paraId="6A8ECD8B" w14:textId="77777777" w:rsidR="008F013B" w:rsidRPr="000D67C6" w:rsidRDefault="008F013B" w:rsidP="004F7CCB">
      <w:pPr>
        <w:pStyle w:val="Normal0"/>
        <w:spacing w:line="22" w:lineRule="atLeast"/>
        <w:jc w:val="both"/>
        <w:rPr>
          <w:rFonts w:ascii="Arial" w:hAnsi="Arial" w:cs="Arial"/>
          <w:sz w:val="22"/>
          <w:szCs w:val="22"/>
          <w:lang w:val="en-GB"/>
        </w:rPr>
      </w:pPr>
    </w:p>
    <w:p w14:paraId="03703401" w14:textId="77777777" w:rsidR="00AF0480"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non-property assets that have short useful lives or low values (or both), depreciated historical cost basis is used as a proxy for current value. </w:t>
      </w:r>
    </w:p>
    <w:p w14:paraId="0287AA10" w14:textId="77777777" w:rsidR="00AF0480" w:rsidRPr="000D67C6" w:rsidRDefault="00AF0480" w:rsidP="004F7CCB">
      <w:pPr>
        <w:pStyle w:val="Normal0"/>
        <w:spacing w:line="22" w:lineRule="atLeast"/>
        <w:jc w:val="both"/>
        <w:rPr>
          <w:rFonts w:ascii="Arial" w:hAnsi="Arial" w:cs="Arial"/>
          <w:sz w:val="22"/>
          <w:szCs w:val="22"/>
          <w:lang w:val="en-GB"/>
        </w:rPr>
      </w:pPr>
    </w:p>
    <w:p w14:paraId="2993D4EC" w14:textId="77777777" w:rsidR="00AF0480"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Assets included in the Balance Sheet at current value are revalued sufficiently regularly to ensure that their carrying amount is not materially different from their current value at the year-end, but as a minimum every five years. Increases in valuations are matched by credits to the Revaluation Reserve to recognise unrealised gains. </w:t>
      </w:r>
    </w:p>
    <w:p w14:paraId="275C228D" w14:textId="77777777" w:rsidR="00AF0480" w:rsidRPr="000D67C6" w:rsidRDefault="00AF0480" w:rsidP="004F7CCB">
      <w:pPr>
        <w:pStyle w:val="Normal0"/>
        <w:spacing w:line="22" w:lineRule="atLeast"/>
        <w:jc w:val="both"/>
        <w:rPr>
          <w:rFonts w:ascii="Arial" w:hAnsi="Arial" w:cs="Arial"/>
          <w:sz w:val="22"/>
          <w:szCs w:val="22"/>
          <w:lang w:val="en-GB"/>
        </w:rPr>
      </w:pPr>
    </w:p>
    <w:p w14:paraId="14A64A46"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decreases in value are identified, they are accounted for by: </w:t>
      </w:r>
    </w:p>
    <w:p w14:paraId="4A7C2B1B" w14:textId="77777777" w:rsidR="00D00E4E" w:rsidRPr="000D67C6" w:rsidRDefault="00D00E4E" w:rsidP="004F7CCB">
      <w:pPr>
        <w:pStyle w:val="Normal0"/>
        <w:spacing w:line="22" w:lineRule="atLeast"/>
        <w:jc w:val="both"/>
        <w:rPr>
          <w:rFonts w:ascii="Arial" w:hAnsi="Arial" w:cs="Arial"/>
          <w:sz w:val="22"/>
          <w:szCs w:val="22"/>
          <w:lang w:val="en-GB"/>
        </w:rPr>
      </w:pPr>
    </w:p>
    <w:p w14:paraId="188E962F" w14:textId="77777777" w:rsidR="008F013B" w:rsidRPr="000D67C6" w:rsidRDefault="008F013B" w:rsidP="00C4608B">
      <w:pPr>
        <w:pStyle w:val="Normal0"/>
        <w:numPr>
          <w:ilvl w:val="0"/>
          <w:numId w:val="17"/>
        </w:numPr>
        <w:spacing w:line="22" w:lineRule="atLeast"/>
        <w:jc w:val="both"/>
        <w:rPr>
          <w:rFonts w:ascii="Arial" w:hAnsi="Arial" w:cs="Arial"/>
          <w:sz w:val="22"/>
          <w:szCs w:val="22"/>
          <w:lang w:val="en-GB"/>
        </w:rPr>
      </w:pPr>
      <w:r w:rsidRPr="000D67C6">
        <w:rPr>
          <w:rFonts w:ascii="Arial" w:hAnsi="Arial" w:cs="Arial"/>
          <w:sz w:val="22"/>
          <w:szCs w:val="22"/>
          <w:lang w:val="en-GB"/>
        </w:rPr>
        <w:t>where there is a balance of revaluation gains for the asset in the Revaluation Reserve, the carrying amount of the asset is written down against that balance (up to the amount of the accumulated gains)</w:t>
      </w:r>
      <w:r w:rsidR="00D00E4E" w:rsidRPr="000D67C6">
        <w:rPr>
          <w:rFonts w:ascii="Arial" w:hAnsi="Arial" w:cs="Arial"/>
          <w:sz w:val="22"/>
          <w:szCs w:val="22"/>
          <w:lang w:val="en-GB"/>
        </w:rPr>
        <w:t>.</w:t>
      </w:r>
      <w:r w:rsidRPr="000D67C6">
        <w:rPr>
          <w:rFonts w:ascii="Arial" w:hAnsi="Arial" w:cs="Arial"/>
          <w:sz w:val="22"/>
          <w:szCs w:val="22"/>
          <w:lang w:val="en-GB"/>
        </w:rPr>
        <w:t xml:space="preserve"> </w:t>
      </w:r>
    </w:p>
    <w:p w14:paraId="312447B7" w14:textId="77777777" w:rsidR="008F013B" w:rsidRPr="000D67C6" w:rsidRDefault="008F013B" w:rsidP="00C4608B">
      <w:pPr>
        <w:pStyle w:val="Normal0"/>
        <w:numPr>
          <w:ilvl w:val="0"/>
          <w:numId w:val="17"/>
        </w:numPr>
        <w:spacing w:line="22" w:lineRule="atLeast"/>
        <w:jc w:val="both"/>
        <w:rPr>
          <w:rFonts w:ascii="Arial" w:hAnsi="Arial" w:cs="Arial"/>
          <w:sz w:val="22"/>
          <w:szCs w:val="22"/>
          <w:lang w:val="en-GB"/>
        </w:rPr>
      </w:pPr>
      <w:r w:rsidRPr="000D67C6">
        <w:rPr>
          <w:rFonts w:ascii="Arial" w:hAnsi="Arial" w:cs="Arial"/>
          <w:sz w:val="22"/>
          <w:szCs w:val="22"/>
          <w:lang w:val="en-GB"/>
        </w:rPr>
        <w:t xml:space="preserve">where there is no balance in the Revaluation Reserve or an insufficient balance, the carrying amount of the asset is written down against the relevant service line in the Comprehensive Income and Expenditure Statement. </w:t>
      </w:r>
    </w:p>
    <w:p w14:paraId="57E00BA0" w14:textId="77777777" w:rsidR="008F013B" w:rsidRPr="000D67C6" w:rsidRDefault="008F013B" w:rsidP="004F7CCB">
      <w:pPr>
        <w:pStyle w:val="Normal0"/>
        <w:spacing w:line="22" w:lineRule="atLeast"/>
        <w:jc w:val="both"/>
        <w:rPr>
          <w:rFonts w:ascii="Arial" w:hAnsi="Arial" w:cs="Arial"/>
          <w:sz w:val="22"/>
          <w:szCs w:val="22"/>
          <w:lang w:val="en-GB"/>
        </w:rPr>
      </w:pPr>
    </w:p>
    <w:p w14:paraId="492AD24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Revaluation Reserve contains revaluation gains recognised since 1 April 2007 only, the date of its formal implementation. Gains arising before that date have been consolidated into the Capital Adjustment Account. </w:t>
      </w:r>
    </w:p>
    <w:p w14:paraId="0AD24092" w14:textId="77777777" w:rsidR="008F013B" w:rsidRPr="000D67C6" w:rsidRDefault="008F013B" w:rsidP="004F7CCB">
      <w:pPr>
        <w:pStyle w:val="Normal0"/>
        <w:spacing w:line="22" w:lineRule="atLeast"/>
        <w:jc w:val="both"/>
        <w:rPr>
          <w:rFonts w:ascii="Arial" w:hAnsi="Arial" w:cs="Arial"/>
          <w:sz w:val="22"/>
          <w:szCs w:val="22"/>
          <w:lang w:val="en-GB"/>
        </w:rPr>
      </w:pPr>
    </w:p>
    <w:p w14:paraId="3F03D2CB"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 Impairment </w:t>
      </w:r>
    </w:p>
    <w:p w14:paraId="10BA809A" w14:textId="77777777" w:rsidR="008F013B" w:rsidRPr="000D67C6" w:rsidRDefault="008F013B" w:rsidP="004F7CCB">
      <w:pPr>
        <w:pStyle w:val="Normal0"/>
        <w:spacing w:line="22" w:lineRule="atLeast"/>
        <w:jc w:val="both"/>
        <w:rPr>
          <w:rFonts w:ascii="Arial" w:hAnsi="Arial" w:cs="Arial"/>
          <w:sz w:val="22"/>
          <w:szCs w:val="22"/>
          <w:lang w:val="en-GB"/>
        </w:rPr>
      </w:pPr>
    </w:p>
    <w:p w14:paraId="5DE45907" w14:textId="20F78FC9"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Assets are assessed at each year-end as to whether there is any indication that an asset may be impaired. Where indications exist</w:t>
      </w:r>
      <w:r w:rsidR="00AF0480" w:rsidRPr="000D67C6">
        <w:rPr>
          <w:rFonts w:ascii="Arial" w:hAnsi="Arial" w:cs="Arial"/>
          <w:sz w:val="22"/>
          <w:szCs w:val="22"/>
          <w:lang w:val="en-GB"/>
        </w:rPr>
        <w:t>,</w:t>
      </w:r>
      <w:r w:rsidRPr="000D67C6">
        <w:rPr>
          <w:rFonts w:ascii="Arial" w:hAnsi="Arial" w:cs="Arial"/>
          <w:sz w:val="22"/>
          <w:szCs w:val="22"/>
          <w:lang w:val="en-GB"/>
        </w:rPr>
        <w:t xml:space="preserve"> and any possible differences are estimated to be </w:t>
      </w:r>
      <w:r w:rsidR="00245FFA" w:rsidRPr="000D67C6">
        <w:rPr>
          <w:rFonts w:ascii="Arial" w:hAnsi="Arial" w:cs="Arial"/>
          <w:sz w:val="22"/>
          <w:szCs w:val="22"/>
          <w:lang w:val="en-GB"/>
        </w:rPr>
        <w:t>not insignificant</w:t>
      </w:r>
      <w:r w:rsidRPr="000D67C6">
        <w:rPr>
          <w:rFonts w:ascii="Arial" w:hAnsi="Arial" w:cs="Arial"/>
          <w:sz w:val="22"/>
          <w:szCs w:val="22"/>
          <w:lang w:val="en-GB"/>
        </w:rPr>
        <w:t xml:space="preserve">, the recoverable amount of the asset is estimated and, where this is less than the carrying amount of the asset, an impairment loss is recognised for the shortfall. </w:t>
      </w:r>
    </w:p>
    <w:p w14:paraId="1C384D84" w14:textId="77777777" w:rsidR="008F013B" w:rsidRPr="000D67C6" w:rsidRDefault="008F013B" w:rsidP="004F7CCB">
      <w:pPr>
        <w:pStyle w:val="Normal0"/>
        <w:spacing w:line="22" w:lineRule="atLeast"/>
        <w:jc w:val="both"/>
        <w:rPr>
          <w:rFonts w:ascii="Arial" w:hAnsi="Arial" w:cs="Arial"/>
          <w:sz w:val="22"/>
          <w:szCs w:val="22"/>
          <w:lang w:val="en-GB"/>
        </w:rPr>
      </w:pPr>
    </w:p>
    <w:p w14:paraId="370290F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impairment losses are identified, they are accounted for by: </w:t>
      </w:r>
    </w:p>
    <w:p w14:paraId="7880A05B" w14:textId="77777777" w:rsidR="00D00E4E" w:rsidRPr="000D67C6" w:rsidRDefault="00D00E4E" w:rsidP="004F7CCB">
      <w:pPr>
        <w:pStyle w:val="Normal0"/>
        <w:spacing w:line="22" w:lineRule="atLeast"/>
        <w:jc w:val="both"/>
        <w:rPr>
          <w:rFonts w:ascii="Arial" w:hAnsi="Arial" w:cs="Arial"/>
          <w:sz w:val="22"/>
          <w:szCs w:val="22"/>
          <w:lang w:val="en-GB"/>
        </w:rPr>
      </w:pPr>
    </w:p>
    <w:p w14:paraId="7994C595" w14:textId="77777777" w:rsidR="008F013B" w:rsidRPr="000D67C6" w:rsidRDefault="008F013B" w:rsidP="00C4608B">
      <w:pPr>
        <w:pStyle w:val="Normal0"/>
        <w:numPr>
          <w:ilvl w:val="0"/>
          <w:numId w:val="18"/>
        </w:numPr>
        <w:spacing w:line="22" w:lineRule="atLeast"/>
        <w:jc w:val="both"/>
        <w:rPr>
          <w:rFonts w:ascii="Arial" w:hAnsi="Arial" w:cs="Arial"/>
          <w:sz w:val="22"/>
          <w:szCs w:val="22"/>
          <w:lang w:val="en-GB"/>
        </w:rPr>
      </w:pPr>
      <w:r w:rsidRPr="000D67C6">
        <w:rPr>
          <w:rFonts w:ascii="Arial" w:hAnsi="Arial" w:cs="Arial"/>
          <w:sz w:val="22"/>
          <w:szCs w:val="22"/>
          <w:lang w:val="en-GB"/>
        </w:rPr>
        <w:t>where there is a balance of revaluation gains for the asset in the Revaluation Reserve, the carrying amount of the asset is written down against that balance (up to the amount of the accumulated gains)</w:t>
      </w:r>
      <w:r w:rsidR="00D00E4E" w:rsidRPr="000D67C6">
        <w:rPr>
          <w:rFonts w:ascii="Arial" w:hAnsi="Arial" w:cs="Arial"/>
          <w:sz w:val="22"/>
          <w:szCs w:val="22"/>
          <w:lang w:val="en-GB"/>
        </w:rPr>
        <w:t>.</w:t>
      </w:r>
      <w:r w:rsidRPr="000D67C6">
        <w:rPr>
          <w:rFonts w:ascii="Arial" w:hAnsi="Arial" w:cs="Arial"/>
          <w:sz w:val="22"/>
          <w:szCs w:val="22"/>
          <w:lang w:val="en-GB"/>
        </w:rPr>
        <w:t xml:space="preserve"> </w:t>
      </w:r>
    </w:p>
    <w:p w14:paraId="5B6CCF27" w14:textId="77777777" w:rsidR="008F013B" w:rsidRPr="000D67C6" w:rsidRDefault="008F013B" w:rsidP="00C4608B">
      <w:pPr>
        <w:pStyle w:val="Normal0"/>
        <w:numPr>
          <w:ilvl w:val="0"/>
          <w:numId w:val="18"/>
        </w:numPr>
        <w:spacing w:line="22" w:lineRule="atLeast"/>
        <w:jc w:val="both"/>
        <w:rPr>
          <w:rFonts w:ascii="Arial" w:hAnsi="Arial" w:cs="Arial"/>
          <w:sz w:val="22"/>
          <w:szCs w:val="22"/>
          <w:lang w:val="en-GB"/>
        </w:rPr>
      </w:pPr>
      <w:r w:rsidRPr="000D67C6">
        <w:rPr>
          <w:rFonts w:ascii="Arial" w:hAnsi="Arial" w:cs="Arial"/>
          <w:sz w:val="22"/>
          <w:szCs w:val="22"/>
          <w:lang w:val="en-GB"/>
        </w:rPr>
        <w:t xml:space="preserve">where there is no balance in the Revaluation Reserve or an insufficient balance, the carrying amount of the asset is written down against the relevant service line in the Comprehensive Income and Expenditure Statement. </w:t>
      </w:r>
    </w:p>
    <w:p w14:paraId="7853E5E7" w14:textId="77777777" w:rsidR="008F013B" w:rsidRPr="000D67C6" w:rsidRDefault="008F013B" w:rsidP="004F7CCB">
      <w:pPr>
        <w:pStyle w:val="Normal0"/>
        <w:spacing w:line="22" w:lineRule="atLeast"/>
        <w:jc w:val="both"/>
        <w:rPr>
          <w:rFonts w:ascii="Arial" w:hAnsi="Arial" w:cs="Arial"/>
          <w:sz w:val="22"/>
          <w:szCs w:val="22"/>
          <w:lang w:val="en-GB"/>
        </w:rPr>
      </w:pPr>
    </w:p>
    <w:p w14:paraId="45A7CDD9"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an impairment loss is reversed subsequently, the reversal is credited to the relevant service line in the Comprehensive Income and Expenditure Statement, up to the amount of the original loss, adjusted for depreciation that would have been charged if the loss had not been recognised. </w:t>
      </w:r>
    </w:p>
    <w:p w14:paraId="5190CC48"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3AF9C6D0"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 Depreciation </w:t>
      </w:r>
    </w:p>
    <w:p w14:paraId="1B4CFF8B" w14:textId="77777777" w:rsidR="00D00E4E" w:rsidRPr="000D67C6" w:rsidRDefault="00D00E4E" w:rsidP="004F7CCB">
      <w:pPr>
        <w:pStyle w:val="Normal0"/>
        <w:spacing w:line="22" w:lineRule="atLeast"/>
        <w:jc w:val="both"/>
        <w:rPr>
          <w:rFonts w:ascii="Arial" w:hAnsi="Arial" w:cs="Arial"/>
          <w:sz w:val="22"/>
          <w:szCs w:val="22"/>
          <w:lang w:val="en-GB"/>
        </w:rPr>
      </w:pPr>
    </w:p>
    <w:p w14:paraId="73F43323"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Depreciation is provided for on all property, plant and equipment assets by the systematic allocation of their depreciable amounts over their useful lives. An exception is made for assets without a determinable finite useful life (i</w:t>
      </w:r>
      <w:r w:rsidR="00AF0480" w:rsidRPr="000D67C6">
        <w:rPr>
          <w:rFonts w:ascii="Arial" w:hAnsi="Arial" w:cs="Arial"/>
          <w:sz w:val="22"/>
          <w:szCs w:val="22"/>
          <w:lang w:val="en-GB"/>
        </w:rPr>
        <w:t>.</w:t>
      </w:r>
      <w:r w:rsidRPr="000D67C6">
        <w:rPr>
          <w:rFonts w:ascii="Arial" w:hAnsi="Arial" w:cs="Arial"/>
          <w:sz w:val="22"/>
          <w:szCs w:val="22"/>
          <w:lang w:val="en-GB"/>
        </w:rPr>
        <w:t>e</w:t>
      </w:r>
      <w:r w:rsidR="00AF0480" w:rsidRPr="000D67C6">
        <w:rPr>
          <w:rFonts w:ascii="Arial" w:hAnsi="Arial" w:cs="Arial"/>
          <w:sz w:val="22"/>
          <w:szCs w:val="22"/>
          <w:lang w:val="en-GB"/>
        </w:rPr>
        <w:t>.</w:t>
      </w:r>
      <w:r w:rsidRPr="000D67C6">
        <w:rPr>
          <w:rFonts w:ascii="Arial" w:hAnsi="Arial" w:cs="Arial"/>
          <w:sz w:val="22"/>
          <w:szCs w:val="22"/>
          <w:lang w:val="en-GB"/>
        </w:rPr>
        <w:t xml:space="preserve"> freehold land and certain community assets) and assets that are not yet available for use (i</w:t>
      </w:r>
      <w:r w:rsidR="00AF0480" w:rsidRPr="000D67C6">
        <w:rPr>
          <w:rFonts w:ascii="Arial" w:hAnsi="Arial" w:cs="Arial"/>
          <w:sz w:val="22"/>
          <w:szCs w:val="22"/>
          <w:lang w:val="en-GB"/>
        </w:rPr>
        <w:t>.</w:t>
      </w:r>
      <w:r w:rsidRPr="000D67C6">
        <w:rPr>
          <w:rFonts w:ascii="Arial" w:hAnsi="Arial" w:cs="Arial"/>
          <w:sz w:val="22"/>
          <w:szCs w:val="22"/>
          <w:lang w:val="en-GB"/>
        </w:rPr>
        <w:t>e</w:t>
      </w:r>
      <w:r w:rsidR="00AF0480" w:rsidRPr="000D67C6">
        <w:rPr>
          <w:rFonts w:ascii="Arial" w:hAnsi="Arial" w:cs="Arial"/>
          <w:sz w:val="22"/>
          <w:szCs w:val="22"/>
          <w:lang w:val="en-GB"/>
        </w:rPr>
        <w:t>.</w:t>
      </w:r>
      <w:r w:rsidRPr="000D67C6">
        <w:rPr>
          <w:rFonts w:ascii="Arial" w:hAnsi="Arial" w:cs="Arial"/>
          <w:sz w:val="22"/>
          <w:szCs w:val="22"/>
          <w:lang w:val="en-GB"/>
        </w:rPr>
        <w:t xml:space="preserve"> assets under construction). </w:t>
      </w:r>
    </w:p>
    <w:p w14:paraId="7A5AB607" w14:textId="77777777" w:rsidR="008F013B" w:rsidRPr="000D67C6" w:rsidRDefault="008F013B" w:rsidP="004F7CCB">
      <w:pPr>
        <w:pStyle w:val="Normal0"/>
        <w:spacing w:line="22" w:lineRule="atLeast"/>
        <w:jc w:val="both"/>
        <w:rPr>
          <w:rFonts w:ascii="Arial" w:hAnsi="Arial" w:cs="Arial"/>
          <w:sz w:val="22"/>
          <w:szCs w:val="22"/>
          <w:lang w:val="en-GB"/>
        </w:rPr>
      </w:pPr>
    </w:p>
    <w:p w14:paraId="0506358A"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Deprecation is calculated on the following bases: </w:t>
      </w:r>
    </w:p>
    <w:p w14:paraId="5A40A082" w14:textId="77777777" w:rsidR="00D00E4E" w:rsidRPr="000D67C6" w:rsidRDefault="00D00E4E" w:rsidP="004F7CCB">
      <w:pPr>
        <w:pStyle w:val="Normal0"/>
        <w:spacing w:line="22" w:lineRule="atLeast"/>
        <w:jc w:val="both"/>
        <w:rPr>
          <w:rFonts w:ascii="Arial" w:hAnsi="Arial" w:cs="Arial"/>
          <w:sz w:val="22"/>
          <w:szCs w:val="22"/>
          <w:lang w:val="en-GB"/>
        </w:rPr>
      </w:pPr>
    </w:p>
    <w:p w14:paraId="7C5A8FF6" w14:textId="77777777" w:rsidR="008F013B" w:rsidRPr="000D67C6" w:rsidRDefault="008F013B"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dwellings and other buildings – straight-line allocation over the useful life of the property as estimated by the valuer (10-80 years) </w:t>
      </w:r>
    </w:p>
    <w:p w14:paraId="3951D06C" w14:textId="77777777" w:rsidR="008F013B" w:rsidRPr="000D67C6" w:rsidRDefault="008F013B"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vehicles, plant, furniture and equipment – straight-line allocation (3-15 years)</w:t>
      </w:r>
    </w:p>
    <w:p w14:paraId="12B5830C" w14:textId="77777777" w:rsidR="008F013B" w:rsidRPr="000D67C6" w:rsidRDefault="008F013B"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infrastructure – straight-line allocation (5-40 years)</w:t>
      </w:r>
    </w:p>
    <w:p w14:paraId="58712598" w14:textId="77777777" w:rsidR="008F013B" w:rsidRPr="000D67C6" w:rsidRDefault="008F013B" w:rsidP="004F7CCB">
      <w:pPr>
        <w:pStyle w:val="Normal0"/>
        <w:spacing w:line="22" w:lineRule="atLeast"/>
        <w:jc w:val="both"/>
        <w:rPr>
          <w:rFonts w:ascii="Arial" w:hAnsi="Arial" w:cs="Arial"/>
          <w:sz w:val="22"/>
          <w:szCs w:val="22"/>
          <w:lang w:val="en-GB"/>
        </w:rPr>
      </w:pPr>
    </w:p>
    <w:p w14:paraId="07BC27F1" w14:textId="77777777" w:rsidR="00AF0480"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Where an item of property, plant and equipment asset has major components whose cost is significant in relation to the total cost of the item, the components are depreciated separately. </w:t>
      </w:r>
    </w:p>
    <w:p w14:paraId="5854F55B" w14:textId="77777777" w:rsidR="00AF0480" w:rsidRPr="000D67C6" w:rsidRDefault="00AF0480" w:rsidP="004F7CCB">
      <w:pPr>
        <w:pStyle w:val="Normal0"/>
        <w:spacing w:line="22" w:lineRule="atLeast"/>
        <w:jc w:val="both"/>
        <w:rPr>
          <w:rFonts w:ascii="Arial" w:hAnsi="Arial" w:cs="Arial"/>
          <w:sz w:val="22"/>
          <w:szCs w:val="22"/>
          <w:lang w:val="en-GB"/>
        </w:rPr>
      </w:pPr>
    </w:p>
    <w:p w14:paraId="4E5595B9"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 </w:t>
      </w:r>
    </w:p>
    <w:p w14:paraId="445DC91A" w14:textId="77777777" w:rsidR="008F013B" w:rsidRPr="000D67C6" w:rsidRDefault="008F013B" w:rsidP="004F7CCB">
      <w:pPr>
        <w:pStyle w:val="Normal0"/>
        <w:spacing w:line="22" w:lineRule="atLeast"/>
        <w:jc w:val="both"/>
        <w:rPr>
          <w:rFonts w:ascii="Arial" w:hAnsi="Arial" w:cs="Arial"/>
          <w:sz w:val="22"/>
          <w:szCs w:val="22"/>
          <w:lang w:val="en-GB"/>
        </w:rPr>
      </w:pPr>
    </w:p>
    <w:p w14:paraId="5CF8BDB0"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Disposals and Non-</w:t>
      </w:r>
      <w:r w:rsidR="00277E46" w:rsidRPr="000D67C6">
        <w:rPr>
          <w:rFonts w:ascii="Arial" w:hAnsi="Arial" w:cs="Arial"/>
          <w:b/>
          <w:sz w:val="22"/>
          <w:szCs w:val="22"/>
          <w:lang w:val="en-GB"/>
        </w:rPr>
        <w:t>Current</w:t>
      </w:r>
      <w:r w:rsidRPr="000D67C6">
        <w:rPr>
          <w:rFonts w:ascii="Arial" w:hAnsi="Arial" w:cs="Arial"/>
          <w:b/>
          <w:sz w:val="22"/>
          <w:szCs w:val="22"/>
          <w:lang w:val="en-GB"/>
        </w:rPr>
        <w:t xml:space="preserve"> Assets Held for Sale </w:t>
      </w:r>
    </w:p>
    <w:p w14:paraId="4D920192" w14:textId="77777777" w:rsidR="00D00E4E" w:rsidRPr="000D67C6" w:rsidRDefault="00D00E4E" w:rsidP="004F7CCB">
      <w:pPr>
        <w:pStyle w:val="Normal0"/>
        <w:spacing w:line="22" w:lineRule="atLeast"/>
        <w:jc w:val="both"/>
        <w:rPr>
          <w:rFonts w:ascii="Arial" w:hAnsi="Arial" w:cs="Arial"/>
          <w:sz w:val="22"/>
          <w:szCs w:val="22"/>
          <w:lang w:val="en-GB"/>
        </w:rPr>
      </w:pPr>
    </w:p>
    <w:p w14:paraId="755328CF"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losses </w:t>
      </w:r>
      <w:r w:rsidR="00277E46" w:rsidRPr="000D67C6">
        <w:rPr>
          <w:rFonts w:ascii="Arial" w:hAnsi="Arial" w:cs="Arial"/>
          <w:sz w:val="22"/>
          <w:szCs w:val="22"/>
          <w:lang w:val="en-GB"/>
        </w:rPr>
        <w:t xml:space="preserve">previously </w:t>
      </w:r>
      <w:r w:rsidRPr="000D67C6">
        <w:rPr>
          <w:rFonts w:ascii="Arial" w:hAnsi="Arial" w:cs="Arial"/>
          <w:sz w:val="22"/>
          <w:szCs w:val="22"/>
          <w:lang w:val="en-GB"/>
        </w:rPr>
        <w:t xml:space="preserve">recognised in the Surplus or Deficit on Provision of Services. Depreciation is not charged on assets held for sale. </w:t>
      </w:r>
    </w:p>
    <w:p w14:paraId="12518730" w14:textId="77777777" w:rsidR="008F013B" w:rsidRPr="000D67C6" w:rsidRDefault="008F013B" w:rsidP="004F7CCB">
      <w:pPr>
        <w:pStyle w:val="Normal0"/>
        <w:spacing w:line="22" w:lineRule="atLeast"/>
        <w:jc w:val="both"/>
        <w:rPr>
          <w:rFonts w:ascii="Arial" w:hAnsi="Arial" w:cs="Arial"/>
          <w:sz w:val="22"/>
          <w:szCs w:val="22"/>
          <w:lang w:val="en-GB"/>
        </w:rPr>
      </w:pPr>
    </w:p>
    <w:p w14:paraId="5CBBE4D3"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Assets that are to be abandoned or scrapped are not reclassified as assets held for sale. </w:t>
      </w:r>
    </w:p>
    <w:p w14:paraId="2F4648D2" w14:textId="77777777" w:rsidR="008F013B" w:rsidRPr="000D67C6" w:rsidRDefault="008F013B" w:rsidP="004F7CCB">
      <w:pPr>
        <w:pStyle w:val="Normal0"/>
        <w:spacing w:line="22" w:lineRule="atLeast"/>
        <w:jc w:val="both"/>
        <w:rPr>
          <w:rFonts w:ascii="Arial" w:hAnsi="Arial" w:cs="Arial"/>
          <w:sz w:val="22"/>
          <w:szCs w:val="22"/>
          <w:lang w:val="en-GB"/>
        </w:rPr>
      </w:pPr>
    </w:p>
    <w:p w14:paraId="366475C8"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(i</w:t>
      </w:r>
      <w:r w:rsidR="00AF0480" w:rsidRPr="000D67C6">
        <w:rPr>
          <w:rFonts w:ascii="Arial" w:hAnsi="Arial" w:cs="Arial"/>
          <w:sz w:val="22"/>
          <w:szCs w:val="22"/>
          <w:lang w:val="en-GB"/>
        </w:rPr>
        <w:t>.</w:t>
      </w:r>
      <w:r w:rsidRPr="000D67C6">
        <w:rPr>
          <w:rFonts w:ascii="Arial" w:hAnsi="Arial" w:cs="Arial"/>
          <w:sz w:val="22"/>
          <w:szCs w:val="22"/>
          <w:lang w:val="en-GB"/>
        </w:rPr>
        <w:t>e</w:t>
      </w:r>
      <w:r w:rsidR="00AF0480" w:rsidRPr="000D67C6">
        <w:rPr>
          <w:rFonts w:ascii="Arial" w:hAnsi="Arial" w:cs="Arial"/>
          <w:sz w:val="22"/>
          <w:szCs w:val="22"/>
          <w:lang w:val="en-GB"/>
        </w:rPr>
        <w:t>.</w:t>
      </w:r>
      <w:r w:rsidRPr="000D67C6">
        <w:rPr>
          <w:rFonts w:ascii="Arial" w:hAnsi="Arial" w:cs="Arial"/>
          <w:sz w:val="22"/>
          <w:szCs w:val="22"/>
          <w:lang w:val="en-GB"/>
        </w:rPr>
        <w:t xml:space="preserve"> netted off against the carrying value of the asset at the time of disposal). Any revaluation gains accumulated for the asset in the Revaluation Reserve are transferred to the Capital Adjustment Account. </w:t>
      </w:r>
    </w:p>
    <w:p w14:paraId="47075D29" w14:textId="77777777" w:rsidR="00D00E4E" w:rsidRPr="000D67C6" w:rsidRDefault="00D00E4E" w:rsidP="004F7CCB">
      <w:pPr>
        <w:pStyle w:val="Normal0"/>
        <w:spacing w:line="22" w:lineRule="atLeast"/>
        <w:jc w:val="both"/>
        <w:rPr>
          <w:rFonts w:ascii="Arial" w:hAnsi="Arial" w:cs="Arial"/>
          <w:sz w:val="22"/>
          <w:szCs w:val="22"/>
          <w:lang w:val="en-GB"/>
        </w:rPr>
      </w:pPr>
    </w:p>
    <w:p w14:paraId="008DD021" w14:textId="77777777" w:rsidR="005D0D3A" w:rsidRPr="000D67C6" w:rsidRDefault="008F013B" w:rsidP="005D0D3A">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Amounts received for a disposal are categorised as capital receipts. The balance of receipts remains within the Capital Receipts </w:t>
      </w:r>
      <w:r w:rsidR="00110799" w:rsidRPr="000D67C6">
        <w:rPr>
          <w:rFonts w:ascii="Arial" w:hAnsi="Arial" w:cs="Arial"/>
          <w:sz w:val="22"/>
          <w:szCs w:val="22"/>
          <w:lang w:val="en-GB"/>
        </w:rPr>
        <w:t>Reserve and</w:t>
      </w:r>
      <w:r w:rsidRPr="000D67C6">
        <w:rPr>
          <w:rFonts w:ascii="Arial" w:hAnsi="Arial" w:cs="Arial"/>
          <w:sz w:val="22"/>
          <w:szCs w:val="22"/>
          <w:lang w:val="en-GB"/>
        </w:rPr>
        <w:t xml:space="preserve"> can then only be u</w:t>
      </w:r>
      <w:r w:rsidR="00AF0480" w:rsidRPr="000D67C6">
        <w:rPr>
          <w:rFonts w:ascii="Arial" w:hAnsi="Arial" w:cs="Arial"/>
          <w:sz w:val="22"/>
          <w:szCs w:val="22"/>
          <w:lang w:val="en-GB"/>
        </w:rPr>
        <w:t xml:space="preserve">sed for new capital investment </w:t>
      </w:r>
      <w:r w:rsidRPr="000D67C6">
        <w:rPr>
          <w:rFonts w:ascii="Arial" w:hAnsi="Arial" w:cs="Arial"/>
          <w:sz w:val="22"/>
          <w:szCs w:val="22"/>
          <w:lang w:val="en-GB"/>
        </w:rPr>
        <w:t xml:space="preserve">or set aside to reduce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’s underlying need to borrow (the capital financing requirement). Receipts are appropriated to the Reserve from the General Fund Balance in the Movement in Reserves Statement. </w:t>
      </w:r>
      <w:r w:rsidR="005D0D3A" w:rsidRPr="000D67C6">
        <w:rPr>
          <w:rFonts w:ascii="Arial" w:hAnsi="Arial" w:cs="Arial"/>
          <w:sz w:val="22"/>
          <w:szCs w:val="22"/>
          <w:lang w:val="en-GB"/>
        </w:rPr>
        <w:t xml:space="preserve">Receipts under £10,000 and miscellaneous receipts not related to disposal of assets cannot be treated as capital items and shall be credited to the CIES. </w:t>
      </w:r>
    </w:p>
    <w:p w14:paraId="5B763A7C" w14:textId="77777777" w:rsidR="005D0D3A" w:rsidRPr="000D67C6" w:rsidRDefault="005D0D3A" w:rsidP="004F7CCB">
      <w:pPr>
        <w:pStyle w:val="Normal0"/>
        <w:spacing w:line="22" w:lineRule="atLeast"/>
        <w:jc w:val="both"/>
        <w:rPr>
          <w:rFonts w:ascii="Arial" w:hAnsi="Arial" w:cs="Arial"/>
          <w:sz w:val="22"/>
          <w:szCs w:val="22"/>
          <w:lang w:val="en-GB"/>
        </w:rPr>
      </w:pPr>
    </w:p>
    <w:p w14:paraId="61AE7F3D"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 xml:space="preserve">Provisions, Contingent Liabilities and Contingent Assets </w:t>
      </w:r>
    </w:p>
    <w:p w14:paraId="7E542471" w14:textId="77777777" w:rsidR="008F013B" w:rsidRPr="000D67C6" w:rsidRDefault="008F013B" w:rsidP="004F7CCB">
      <w:pPr>
        <w:pStyle w:val="Normal0"/>
        <w:spacing w:line="22" w:lineRule="atLeast"/>
        <w:jc w:val="both"/>
        <w:rPr>
          <w:rFonts w:ascii="Arial" w:hAnsi="Arial" w:cs="Arial"/>
          <w:sz w:val="22"/>
          <w:szCs w:val="22"/>
          <w:lang w:val="en-GB"/>
        </w:rPr>
      </w:pPr>
    </w:p>
    <w:p w14:paraId="7D0708B8"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Provisions</w:t>
      </w:r>
    </w:p>
    <w:p w14:paraId="11E67CD9" w14:textId="77777777" w:rsidR="00D00E4E" w:rsidRPr="000D67C6" w:rsidRDefault="00D00E4E" w:rsidP="004F7CCB">
      <w:pPr>
        <w:pStyle w:val="Normal0"/>
        <w:spacing w:line="22" w:lineRule="atLeast"/>
        <w:jc w:val="both"/>
        <w:rPr>
          <w:rFonts w:ascii="Arial" w:hAnsi="Arial" w:cs="Arial"/>
          <w:sz w:val="22"/>
          <w:szCs w:val="22"/>
          <w:lang w:val="en-GB"/>
        </w:rPr>
      </w:pPr>
    </w:p>
    <w:p w14:paraId="52504A00"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Provisions are made where an event has taken place that gives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 legal or constructive obligation that probably requires settlement by a transfer of economic benefits or service potential, and a reliable estimate can be made of the amount of the obligation. Provisions are charged as an expense to the appropriate service line in the Comprehensive Income and Expenditure Statement when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has an obligation and are measured at the best estimate at the balance sheet date of the expenditure required to settle the obligation, taking into account relevant risks and uncertainties. </w:t>
      </w:r>
    </w:p>
    <w:p w14:paraId="6D33D28A" w14:textId="77777777" w:rsidR="008F013B" w:rsidRPr="000D67C6" w:rsidRDefault="008F013B" w:rsidP="004F7CCB">
      <w:pPr>
        <w:pStyle w:val="Normal0"/>
        <w:spacing w:line="22" w:lineRule="atLeast"/>
        <w:jc w:val="both"/>
        <w:rPr>
          <w:rFonts w:ascii="Arial" w:hAnsi="Arial" w:cs="Arial"/>
          <w:sz w:val="22"/>
          <w:szCs w:val="22"/>
          <w:lang w:val="en-GB"/>
        </w:rPr>
      </w:pPr>
    </w:p>
    <w:p w14:paraId="7820F197"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 Where some or all of the payment required to settle a provision is expected to be recovered from another party (e</w:t>
      </w:r>
      <w:r w:rsidR="00294166" w:rsidRPr="000D67C6">
        <w:rPr>
          <w:rFonts w:ascii="Arial" w:hAnsi="Arial" w:cs="Arial"/>
          <w:sz w:val="22"/>
          <w:szCs w:val="22"/>
          <w:lang w:val="en-GB"/>
        </w:rPr>
        <w:t>.</w:t>
      </w:r>
      <w:r w:rsidRPr="000D67C6">
        <w:rPr>
          <w:rFonts w:ascii="Arial" w:hAnsi="Arial" w:cs="Arial"/>
          <w:sz w:val="22"/>
          <w:szCs w:val="22"/>
          <w:lang w:val="en-GB"/>
        </w:rPr>
        <w:t>g</w:t>
      </w:r>
      <w:r w:rsidR="00294166" w:rsidRPr="000D67C6">
        <w:rPr>
          <w:rFonts w:ascii="Arial" w:hAnsi="Arial" w:cs="Arial"/>
          <w:sz w:val="22"/>
          <w:szCs w:val="22"/>
          <w:lang w:val="en-GB"/>
        </w:rPr>
        <w:t>.</w:t>
      </w:r>
      <w:r w:rsidRPr="000D67C6">
        <w:rPr>
          <w:rFonts w:ascii="Arial" w:hAnsi="Arial" w:cs="Arial"/>
          <w:sz w:val="22"/>
          <w:szCs w:val="22"/>
          <w:lang w:val="en-GB"/>
        </w:rPr>
        <w:t xml:space="preserve"> from an insurance claim), this is only recognised as income for the relevant service if it is virtually certain that reimbursement will be received if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settles the obligation. </w:t>
      </w:r>
    </w:p>
    <w:p w14:paraId="22E118A1"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307AAC2F"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Contingent Liabilities</w:t>
      </w:r>
    </w:p>
    <w:p w14:paraId="6D2C5CCA" w14:textId="77777777" w:rsidR="00D00E4E" w:rsidRPr="000D67C6" w:rsidRDefault="00D00E4E" w:rsidP="004F7CCB">
      <w:pPr>
        <w:pStyle w:val="Normal0"/>
        <w:spacing w:line="22" w:lineRule="atLeast"/>
        <w:jc w:val="both"/>
        <w:rPr>
          <w:rFonts w:ascii="Arial" w:hAnsi="Arial" w:cs="Arial"/>
          <w:sz w:val="22"/>
          <w:szCs w:val="22"/>
          <w:lang w:val="en-GB"/>
        </w:rPr>
      </w:pPr>
    </w:p>
    <w:p w14:paraId="59F0A9CB"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contingent liability arises where an event has taken place that gives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 possible obligation whose existence will only be confirmed by the occurrence or otherwise of uncertain future events not wholly within the control of the </w:t>
      </w:r>
      <w:r w:rsidR="00197018" w:rsidRPr="000D67C6">
        <w:rPr>
          <w:rFonts w:ascii="Arial" w:hAnsi="Arial" w:cs="Arial"/>
          <w:sz w:val="22"/>
          <w:szCs w:val="22"/>
          <w:lang w:val="en-GB"/>
        </w:rPr>
        <w:t>Authority</w:t>
      </w:r>
      <w:r w:rsidRPr="000D67C6">
        <w:rPr>
          <w:rFonts w:ascii="Arial" w:hAnsi="Arial" w:cs="Arial"/>
          <w:sz w:val="22"/>
          <w:szCs w:val="22"/>
          <w:lang w:val="en-GB"/>
        </w:rPr>
        <w:t>. Contingent liabilities also arise in circumstances where a provision would otherwise be made but either it is not probable that an outflow of resources will be required</w:t>
      </w:r>
      <w:r w:rsidR="001B2935" w:rsidRPr="000D67C6">
        <w:rPr>
          <w:rFonts w:ascii="Arial" w:hAnsi="Arial" w:cs="Arial"/>
          <w:sz w:val="22"/>
          <w:szCs w:val="22"/>
          <w:lang w:val="en-GB"/>
        </w:rPr>
        <w:t>,</w:t>
      </w:r>
      <w:r w:rsidRPr="000D67C6">
        <w:rPr>
          <w:rFonts w:ascii="Arial" w:hAnsi="Arial" w:cs="Arial"/>
          <w:sz w:val="22"/>
          <w:szCs w:val="22"/>
          <w:lang w:val="en-GB"/>
        </w:rPr>
        <w:t xml:space="preserve"> or the amount of the obligation cannot be measured reliably. </w:t>
      </w:r>
    </w:p>
    <w:p w14:paraId="00AEA6B1" w14:textId="77777777" w:rsidR="008F013B" w:rsidRPr="000D67C6" w:rsidRDefault="008F013B" w:rsidP="004F7CCB">
      <w:pPr>
        <w:pStyle w:val="Normal0"/>
        <w:spacing w:line="22" w:lineRule="atLeast"/>
        <w:jc w:val="both"/>
        <w:rPr>
          <w:rFonts w:ascii="Arial" w:hAnsi="Arial" w:cs="Arial"/>
          <w:sz w:val="22"/>
          <w:szCs w:val="22"/>
          <w:lang w:val="en-GB"/>
        </w:rPr>
      </w:pPr>
    </w:p>
    <w:p w14:paraId="473D94E4"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Contingent liabilities are not recognised in the Balance Sheet but disclosed in a note to the accounts. </w:t>
      </w:r>
    </w:p>
    <w:p w14:paraId="2085B856" w14:textId="77777777" w:rsidR="008F013B" w:rsidRPr="000D67C6" w:rsidRDefault="008F013B" w:rsidP="004F7CCB">
      <w:pPr>
        <w:pStyle w:val="Normal0"/>
        <w:spacing w:line="22" w:lineRule="atLeast"/>
        <w:jc w:val="both"/>
        <w:rPr>
          <w:rFonts w:ascii="Arial" w:hAnsi="Arial" w:cs="Arial"/>
          <w:sz w:val="22"/>
          <w:szCs w:val="22"/>
          <w:lang w:val="en-GB"/>
        </w:rPr>
      </w:pPr>
    </w:p>
    <w:p w14:paraId="44FD8173" w14:textId="77777777" w:rsidR="008F013B" w:rsidRPr="000D67C6" w:rsidRDefault="008F013B" w:rsidP="004F7CCB">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 xml:space="preserve">- Contingent Assets </w:t>
      </w:r>
    </w:p>
    <w:p w14:paraId="4C5BFA2F" w14:textId="77777777" w:rsidR="00D00E4E" w:rsidRPr="000D67C6" w:rsidRDefault="00D00E4E" w:rsidP="004F7CCB">
      <w:pPr>
        <w:pStyle w:val="Normal0"/>
        <w:spacing w:line="22" w:lineRule="atLeast"/>
        <w:jc w:val="both"/>
        <w:rPr>
          <w:rFonts w:ascii="Arial" w:hAnsi="Arial" w:cs="Arial"/>
          <w:sz w:val="22"/>
          <w:szCs w:val="22"/>
          <w:lang w:val="en-GB"/>
        </w:rPr>
      </w:pPr>
    </w:p>
    <w:p w14:paraId="7F99BC01"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contingent asset arises where an event has taken place that gives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 possible asset whose existence will only be confirmed by the occurrence or otherwise of uncertain future events not wholly within the control of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w:t>
      </w:r>
    </w:p>
    <w:p w14:paraId="47CE77E3" w14:textId="77777777" w:rsidR="008F013B" w:rsidRPr="000D67C6" w:rsidRDefault="008F013B" w:rsidP="004F7CCB">
      <w:pPr>
        <w:pStyle w:val="Normal0"/>
        <w:spacing w:line="22" w:lineRule="atLeast"/>
        <w:jc w:val="both"/>
        <w:rPr>
          <w:rFonts w:ascii="Arial" w:hAnsi="Arial" w:cs="Arial"/>
          <w:sz w:val="22"/>
          <w:szCs w:val="22"/>
          <w:lang w:val="en-GB"/>
        </w:rPr>
      </w:pPr>
    </w:p>
    <w:p w14:paraId="56DA0D50"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Contingent assets are not recognised in the Balance Sheet but disclosed in a note to the accounts where it is probable that there will be an inflow of economic benefits or service potential. </w:t>
      </w:r>
    </w:p>
    <w:p w14:paraId="063DABB4" w14:textId="77777777" w:rsidR="008F013B" w:rsidRPr="000D67C6" w:rsidRDefault="008F013B" w:rsidP="004F7CCB">
      <w:pPr>
        <w:pStyle w:val="Normal0"/>
        <w:spacing w:line="22" w:lineRule="atLeast"/>
        <w:jc w:val="both"/>
        <w:rPr>
          <w:rFonts w:ascii="Arial" w:hAnsi="Arial" w:cs="Arial"/>
          <w:color w:val="5B9BD5" w:themeColor="accent1"/>
          <w:sz w:val="22"/>
          <w:szCs w:val="22"/>
          <w:lang w:val="en-GB"/>
        </w:rPr>
      </w:pPr>
    </w:p>
    <w:p w14:paraId="06F0D29D"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 xml:space="preserve">Reserves </w:t>
      </w:r>
    </w:p>
    <w:p w14:paraId="5FCC89AE" w14:textId="77777777" w:rsidR="00D00E4E" w:rsidRPr="000D67C6" w:rsidRDefault="00D00E4E" w:rsidP="00D00E4E">
      <w:pPr>
        <w:pStyle w:val="Normal0"/>
        <w:spacing w:line="22" w:lineRule="atLeast"/>
        <w:ind w:left="360"/>
        <w:jc w:val="both"/>
        <w:rPr>
          <w:rFonts w:ascii="Arial" w:hAnsi="Arial" w:cs="Arial"/>
          <w:sz w:val="22"/>
          <w:szCs w:val="22"/>
          <w:lang w:val="en-GB"/>
        </w:rPr>
      </w:pPr>
    </w:p>
    <w:p w14:paraId="44CABE57" w14:textId="77777777" w:rsidR="008F013B" w:rsidRPr="000D67C6" w:rsidRDefault="008F013B" w:rsidP="004F7CCB">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sets aside specific amounts as reserves for future policy purposes or to cover contingencies. Reserves are created by transferring amounts out of the General Fund Balance. These reserves are explained in the relevant notes to the Balance Sheet.  </w:t>
      </w:r>
      <w:r w:rsidR="00061FB5" w:rsidRPr="000D67C6">
        <w:rPr>
          <w:rFonts w:ascii="Arial" w:hAnsi="Arial" w:cs="Arial"/>
          <w:sz w:val="22"/>
          <w:szCs w:val="22"/>
          <w:lang w:val="en-GB"/>
        </w:rPr>
        <w:t>Certain reserves are kept</w:t>
      </w:r>
      <w:r w:rsidR="000621C6" w:rsidRPr="000D67C6">
        <w:rPr>
          <w:rFonts w:ascii="Arial" w:hAnsi="Arial" w:cs="Arial"/>
          <w:sz w:val="22"/>
          <w:szCs w:val="22"/>
          <w:lang w:val="en-GB"/>
        </w:rPr>
        <w:t xml:space="preserve"> </w:t>
      </w:r>
      <w:proofErr w:type="gramStart"/>
      <w:r w:rsidR="00061FB5" w:rsidRPr="000D67C6">
        <w:rPr>
          <w:rFonts w:ascii="Arial" w:hAnsi="Arial" w:cs="Arial"/>
          <w:sz w:val="22"/>
          <w:szCs w:val="22"/>
          <w:lang w:val="en-GB"/>
        </w:rPr>
        <w:t>to</w:t>
      </w:r>
      <w:r w:rsidR="00ED3C27" w:rsidRPr="000D67C6">
        <w:rPr>
          <w:rFonts w:ascii="Arial" w:hAnsi="Arial" w:cs="Arial"/>
          <w:sz w:val="22"/>
          <w:szCs w:val="22"/>
          <w:lang w:val="en-GB"/>
        </w:rPr>
        <w:t xml:space="preserve"> </w:t>
      </w:r>
      <w:r w:rsidRPr="000D67C6">
        <w:rPr>
          <w:rFonts w:ascii="Arial" w:hAnsi="Arial" w:cs="Arial"/>
          <w:sz w:val="22"/>
          <w:szCs w:val="22"/>
          <w:lang w:val="en-GB"/>
        </w:rPr>
        <w:t>manage</w:t>
      </w:r>
      <w:proofErr w:type="gramEnd"/>
      <w:r w:rsidRPr="000D67C6">
        <w:rPr>
          <w:rFonts w:ascii="Arial" w:hAnsi="Arial" w:cs="Arial"/>
          <w:sz w:val="22"/>
          <w:szCs w:val="22"/>
          <w:lang w:val="en-GB"/>
        </w:rPr>
        <w:t xml:space="preserve"> the accounting processes for non-current assets, financial instruments, local taxation, retirement and employee benefits and do not represent usable resources for the </w:t>
      </w:r>
      <w:r w:rsidR="00197018" w:rsidRPr="000D67C6">
        <w:rPr>
          <w:rFonts w:ascii="Arial" w:hAnsi="Arial" w:cs="Arial"/>
          <w:sz w:val="22"/>
          <w:szCs w:val="22"/>
          <w:lang w:val="en-GB"/>
        </w:rPr>
        <w:t>Authority</w:t>
      </w:r>
      <w:r w:rsidRPr="000D67C6">
        <w:rPr>
          <w:rFonts w:ascii="Arial" w:hAnsi="Arial" w:cs="Arial"/>
          <w:sz w:val="22"/>
          <w:szCs w:val="22"/>
          <w:lang w:val="en-GB"/>
        </w:rPr>
        <w:t>.</w:t>
      </w:r>
    </w:p>
    <w:p w14:paraId="3C3CC826" w14:textId="77777777" w:rsidR="00061FB5" w:rsidRPr="000D67C6" w:rsidRDefault="00061FB5" w:rsidP="00C06317">
      <w:pPr>
        <w:pStyle w:val="Normal0"/>
        <w:jc w:val="both"/>
        <w:rPr>
          <w:rFonts w:ascii="Arial" w:hAnsi="Arial" w:cs="Arial"/>
          <w:sz w:val="22"/>
          <w:szCs w:val="22"/>
          <w:lang w:val="en-GB"/>
        </w:rPr>
      </w:pPr>
    </w:p>
    <w:p w14:paraId="02D73F1D" w14:textId="77777777" w:rsidR="008F013B" w:rsidRPr="000D67C6" w:rsidRDefault="008F013B" w:rsidP="001704E6">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Value Added Tax (VAT)</w:t>
      </w:r>
    </w:p>
    <w:p w14:paraId="169CDED4" w14:textId="77777777" w:rsidR="00D00E4E" w:rsidRPr="000D67C6" w:rsidRDefault="00D00E4E" w:rsidP="00C06317">
      <w:pPr>
        <w:pStyle w:val="Normal0"/>
        <w:ind w:left="360"/>
        <w:jc w:val="both"/>
        <w:rPr>
          <w:rFonts w:ascii="Arial" w:hAnsi="Arial" w:cs="Arial"/>
          <w:sz w:val="22"/>
          <w:szCs w:val="22"/>
          <w:lang w:val="en-GB"/>
        </w:rPr>
      </w:pPr>
    </w:p>
    <w:p w14:paraId="1B1D33B3" w14:textId="77777777" w:rsidR="00432B60" w:rsidRPr="000D67C6" w:rsidRDefault="008F013B" w:rsidP="00432B60">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VAT payable is included as an expense only to the extent that it is not recoverable from Her Majesty’s Revenue and Customs</w:t>
      </w:r>
      <w:r w:rsidR="00225FFE" w:rsidRPr="000D67C6">
        <w:rPr>
          <w:rFonts w:ascii="Arial" w:hAnsi="Arial" w:cs="Arial"/>
          <w:sz w:val="22"/>
          <w:szCs w:val="22"/>
          <w:lang w:val="en-GB"/>
        </w:rPr>
        <w:t xml:space="preserve"> (HMRC)</w:t>
      </w:r>
      <w:r w:rsidRPr="000D67C6">
        <w:rPr>
          <w:rFonts w:ascii="Arial" w:hAnsi="Arial" w:cs="Arial"/>
          <w:sz w:val="22"/>
          <w:szCs w:val="22"/>
          <w:lang w:val="en-GB"/>
        </w:rPr>
        <w:t xml:space="preserve">. VAT receivable is excluded from income. </w:t>
      </w:r>
    </w:p>
    <w:p w14:paraId="4A552BD9" w14:textId="77777777" w:rsidR="00B373D6" w:rsidRPr="000D67C6" w:rsidRDefault="00B373D6" w:rsidP="00432B60">
      <w:pPr>
        <w:pStyle w:val="Normal0"/>
        <w:spacing w:line="22" w:lineRule="atLeast"/>
        <w:jc w:val="both"/>
        <w:rPr>
          <w:rFonts w:ascii="Arial" w:hAnsi="Arial" w:cs="Arial"/>
          <w:sz w:val="22"/>
          <w:szCs w:val="22"/>
          <w:lang w:val="en-GB"/>
        </w:rPr>
      </w:pPr>
    </w:p>
    <w:p w14:paraId="40800B29" w14:textId="77777777" w:rsidR="00B373D6" w:rsidRPr="000D67C6" w:rsidRDefault="007D0EAF" w:rsidP="007D0EAF">
      <w:pPr>
        <w:pStyle w:val="Normal0"/>
        <w:numPr>
          <w:ilvl w:val="0"/>
          <w:numId w:val="4"/>
        </w:numPr>
        <w:spacing w:line="22" w:lineRule="atLeast"/>
        <w:jc w:val="both"/>
        <w:rPr>
          <w:rFonts w:ascii="Arial" w:hAnsi="Arial" w:cs="Arial"/>
          <w:b/>
          <w:sz w:val="22"/>
          <w:szCs w:val="22"/>
          <w:lang w:val="en-GB"/>
        </w:rPr>
      </w:pPr>
      <w:r w:rsidRPr="000D67C6">
        <w:rPr>
          <w:rFonts w:ascii="Arial" w:hAnsi="Arial" w:cs="Arial"/>
          <w:b/>
          <w:sz w:val="22"/>
          <w:szCs w:val="22"/>
          <w:lang w:val="en-GB"/>
        </w:rPr>
        <w:t>Joint Operations</w:t>
      </w:r>
    </w:p>
    <w:p w14:paraId="0B38E9E2" w14:textId="77777777" w:rsidR="008F013B" w:rsidRPr="000D67C6" w:rsidRDefault="008F013B" w:rsidP="00161B98">
      <w:pPr>
        <w:pStyle w:val="T1TableStyle"/>
        <w:rPr>
          <w:rFonts w:ascii="Arial" w:hAnsi="Arial" w:cs="Arial"/>
          <w:sz w:val="20"/>
          <w:szCs w:val="22"/>
          <w:lang w:val="en-GB"/>
        </w:rPr>
      </w:pPr>
    </w:p>
    <w:p w14:paraId="2171293E" w14:textId="77777777" w:rsidR="005C7A06" w:rsidRPr="000D67C6" w:rsidRDefault="005C7A06" w:rsidP="005C7A06">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Joint operations are arrangements where the parties that have joint control of the arrangement have rights to the assets and obligations for the liabilities relating to the arrangement. The activities undertaken by the authority in conjunction with other joint operators involve the use of the assets and resources of those joint operators. In relation to its interest in a joint operation, the authority as a joint operator recognises: </w:t>
      </w:r>
    </w:p>
    <w:p w14:paraId="0D47F476" w14:textId="77777777" w:rsidR="005C7A06" w:rsidRPr="000D67C6" w:rsidRDefault="005C7A06" w:rsidP="005C7A06">
      <w:pPr>
        <w:pStyle w:val="Default"/>
      </w:pPr>
    </w:p>
    <w:p w14:paraId="1C7A0A8B" w14:textId="77777777" w:rsidR="005C7A06" w:rsidRPr="000D67C6" w:rsidRDefault="005C7A06"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its assets, including its share of any assets held jointly </w:t>
      </w:r>
    </w:p>
    <w:p w14:paraId="10F32867" w14:textId="77777777" w:rsidR="005C7A06" w:rsidRPr="000D67C6" w:rsidRDefault="005C7A06"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its liabilities, including its share of any liabilities incurred jointly </w:t>
      </w:r>
    </w:p>
    <w:p w14:paraId="5B61A9D8" w14:textId="77777777" w:rsidR="005C7A06" w:rsidRPr="000D67C6" w:rsidRDefault="005C7A06"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its revenue from the sale of its share of the output arising from the joint operation </w:t>
      </w:r>
    </w:p>
    <w:p w14:paraId="4CBDA6AC" w14:textId="77777777" w:rsidR="005C7A06" w:rsidRPr="000D67C6" w:rsidRDefault="005C7A06"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its share of the revenue from the sale of the output by the joint operation </w:t>
      </w:r>
    </w:p>
    <w:p w14:paraId="22B00135" w14:textId="77777777" w:rsidR="005C7A06" w:rsidRPr="000D67C6" w:rsidRDefault="005C7A06"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 xml:space="preserve">its expenses, including its share of any expenses incurred jointly. </w:t>
      </w:r>
    </w:p>
    <w:p w14:paraId="552B173C" w14:textId="77777777" w:rsidR="007D0EAF" w:rsidRPr="000D67C6" w:rsidRDefault="007D0EAF" w:rsidP="00161B98">
      <w:pPr>
        <w:pStyle w:val="T1TableStyle"/>
        <w:rPr>
          <w:rFonts w:ascii="Arial" w:hAnsi="Arial" w:cs="Arial"/>
          <w:sz w:val="20"/>
          <w:szCs w:val="22"/>
          <w:lang w:val="en-GB"/>
        </w:rPr>
      </w:pPr>
    </w:p>
    <w:p w14:paraId="71272F7C" w14:textId="77777777" w:rsidR="00161B98" w:rsidRPr="000D67C6" w:rsidRDefault="00161B98" w:rsidP="00161B98">
      <w:pPr>
        <w:pStyle w:val="T1TableStyle"/>
        <w:rPr>
          <w:rFonts w:ascii="Arial" w:hAnsi="Arial" w:cs="Arial"/>
          <w:sz w:val="22"/>
          <w:szCs w:val="22"/>
          <w:lang w:val="en-GB"/>
        </w:rPr>
      </w:pPr>
    </w:p>
    <w:p w14:paraId="0755AE52" w14:textId="77777777" w:rsidR="008F013B" w:rsidRPr="000D67C6" w:rsidRDefault="005F2756" w:rsidP="00161B98">
      <w:pPr>
        <w:pStyle w:val="Heading1"/>
        <w:spacing w:before="0"/>
        <w:rPr>
          <w:rFonts w:ascii="Arial" w:hAnsi="Arial" w:cs="Arial"/>
          <w:sz w:val="28"/>
          <w:lang w:val="en-GB"/>
        </w:rPr>
      </w:pPr>
      <w:r w:rsidRPr="000D67C6">
        <w:rPr>
          <w:rFonts w:ascii="Arial" w:hAnsi="Arial" w:cs="Arial"/>
          <w:sz w:val="28"/>
          <w:lang w:val="en-GB"/>
        </w:rPr>
        <w:t>Note 2</w:t>
      </w:r>
      <w:r w:rsidR="008F013B" w:rsidRPr="000D67C6">
        <w:rPr>
          <w:rFonts w:ascii="Arial" w:hAnsi="Arial" w:cs="Arial"/>
          <w:sz w:val="28"/>
          <w:lang w:val="en-GB"/>
        </w:rPr>
        <w:t xml:space="preserve"> - Accounting Standards Issued, Not Adopted </w:t>
      </w:r>
    </w:p>
    <w:p w14:paraId="7D0D4671" w14:textId="77777777" w:rsidR="008F013B" w:rsidRPr="000D67C6" w:rsidRDefault="008F013B" w:rsidP="00D00E4E">
      <w:pPr>
        <w:pStyle w:val="Normal0"/>
        <w:spacing w:line="259" w:lineRule="auto"/>
        <w:rPr>
          <w:rFonts w:ascii="Arial" w:hAnsi="Arial" w:cs="Arial"/>
          <w:sz w:val="22"/>
          <w:szCs w:val="22"/>
          <w:lang w:val="en-GB"/>
        </w:rPr>
      </w:pPr>
    </w:p>
    <w:p w14:paraId="01546846" w14:textId="77777777" w:rsidR="000C78D2" w:rsidRPr="000D67C6" w:rsidRDefault="000C78D2" w:rsidP="006140A1">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Where a new Standard has been published but has not yet been adopted by the Code, the Authority is required to disclose information relating to the impact of the accounting change. The changes that are introduced in the 201</w:t>
      </w:r>
      <w:r w:rsidR="00C952C2" w:rsidRPr="000D67C6">
        <w:rPr>
          <w:rFonts w:ascii="Arial" w:hAnsi="Arial" w:cs="Arial"/>
          <w:sz w:val="22"/>
          <w:szCs w:val="22"/>
          <w:lang w:val="en-GB"/>
        </w:rPr>
        <w:t>9/20</w:t>
      </w:r>
      <w:r w:rsidRPr="000D67C6">
        <w:rPr>
          <w:rFonts w:ascii="Arial" w:hAnsi="Arial" w:cs="Arial"/>
          <w:sz w:val="22"/>
          <w:szCs w:val="22"/>
          <w:lang w:val="en-GB"/>
        </w:rPr>
        <w:t xml:space="preserve"> Code are: </w:t>
      </w:r>
    </w:p>
    <w:p w14:paraId="1E30E56D" w14:textId="77777777" w:rsidR="00C273C3" w:rsidRPr="000D67C6" w:rsidRDefault="00C273C3" w:rsidP="006140A1">
      <w:pPr>
        <w:pStyle w:val="Normal0"/>
        <w:spacing w:line="22" w:lineRule="atLeast"/>
        <w:jc w:val="both"/>
        <w:rPr>
          <w:rFonts w:ascii="Arial" w:hAnsi="Arial" w:cs="Arial"/>
          <w:sz w:val="22"/>
          <w:szCs w:val="22"/>
          <w:lang w:val="en-GB"/>
        </w:rPr>
      </w:pPr>
    </w:p>
    <w:p w14:paraId="54DE4F94" w14:textId="77777777" w:rsidR="00C0161F" w:rsidRPr="000D67C6" w:rsidRDefault="00C0161F"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Amendments to IAS 40 Investment Property: Transfers of Investment Property</w:t>
      </w:r>
      <w:r w:rsidR="00F82933" w:rsidRPr="000D67C6">
        <w:rPr>
          <w:rFonts w:ascii="Arial" w:hAnsi="Arial" w:cs="Arial"/>
          <w:sz w:val="22"/>
          <w:szCs w:val="22"/>
          <w:lang w:val="en-GB"/>
        </w:rPr>
        <w:t>.</w:t>
      </w:r>
    </w:p>
    <w:p w14:paraId="6F9FC2F5" w14:textId="77777777" w:rsidR="00C0161F" w:rsidRPr="000D67C6" w:rsidRDefault="00C0161F"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Annual Improvements to IFRS Standards 2014-2016 Cycle</w:t>
      </w:r>
      <w:r w:rsidR="00B45074" w:rsidRPr="000D67C6">
        <w:rPr>
          <w:rFonts w:ascii="Arial" w:hAnsi="Arial" w:cs="Arial"/>
          <w:sz w:val="22"/>
          <w:szCs w:val="22"/>
          <w:lang w:val="en-GB"/>
        </w:rPr>
        <w:t>.</w:t>
      </w:r>
      <w:r w:rsidRPr="000D67C6">
        <w:rPr>
          <w:rFonts w:ascii="Arial" w:hAnsi="Arial" w:cs="Arial"/>
          <w:sz w:val="22"/>
          <w:szCs w:val="22"/>
          <w:lang w:val="en-GB"/>
        </w:rPr>
        <w:t xml:space="preserve"> </w:t>
      </w:r>
    </w:p>
    <w:p w14:paraId="5F071F99" w14:textId="77777777" w:rsidR="00C0161F" w:rsidRPr="000D67C6" w:rsidRDefault="00C0161F"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IFRIC 22 Foreign Currency Transactions and Advance Consideration</w:t>
      </w:r>
      <w:r w:rsidR="00B45074" w:rsidRPr="000D67C6">
        <w:rPr>
          <w:rFonts w:ascii="Arial" w:hAnsi="Arial" w:cs="Arial"/>
          <w:sz w:val="22"/>
          <w:szCs w:val="22"/>
          <w:lang w:val="en-GB"/>
        </w:rPr>
        <w:t>.</w:t>
      </w:r>
      <w:r w:rsidRPr="000D67C6">
        <w:rPr>
          <w:rFonts w:ascii="Arial" w:hAnsi="Arial" w:cs="Arial"/>
          <w:sz w:val="22"/>
          <w:szCs w:val="22"/>
          <w:lang w:val="en-GB"/>
        </w:rPr>
        <w:t xml:space="preserve"> </w:t>
      </w:r>
    </w:p>
    <w:p w14:paraId="2F540E52" w14:textId="77777777" w:rsidR="00C0161F" w:rsidRPr="000D67C6" w:rsidRDefault="00C0161F"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IFRIC 23 Uncertainty over Income Tax Treatments</w:t>
      </w:r>
      <w:r w:rsidR="00B45074" w:rsidRPr="000D67C6">
        <w:rPr>
          <w:rFonts w:ascii="Arial" w:hAnsi="Arial" w:cs="Arial"/>
          <w:sz w:val="22"/>
          <w:szCs w:val="22"/>
          <w:lang w:val="en-GB"/>
        </w:rPr>
        <w:t>.</w:t>
      </w:r>
      <w:r w:rsidRPr="000D67C6">
        <w:rPr>
          <w:rFonts w:ascii="Arial" w:hAnsi="Arial" w:cs="Arial"/>
          <w:sz w:val="22"/>
          <w:szCs w:val="22"/>
          <w:lang w:val="en-GB"/>
        </w:rPr>
        <w:t xml:space="preserve"> </w:t>
      </w:r>
    </w:p>
    <w:p w14:paraId="46B61C2E" w14:textId="77777777" w:rsidR="00A62917" w:rsidRPr="000D67C6" w:rsidRDefault="00B45074" w:rsidP="00C4608B">
      <w:pPr>
        <w:pStyle w:val="Normal0"/>
        <w:numPr>
          <w:ilvl w:val="0"/>
          <w:numId w:val="19"/>
        </w:numPr>
        <w:spacing w:line="22" w:lineRule="atLeast"/>
        <w:jc w:val="both"/>
        <w:rPr>
          <w:rFonts w:ascii="Arial" w:hAnsi="Arial" w:cs="Arial"/>
          <w:sz w:val="22"/>
          <w:szCs w:val="22"/>
          <w:lang w:val="en-GB"/>
        </w:rPr>
      </w:pPr>
      <w:r w:rsidRPr="000D67C6">
        <w:rPr>
          <w:rFonts w:ascii="Arial" w:hAnsi="Arial" w:cs="Arial"/>
          <w:sz w:val="22"/>
          <w:szCs w:val="22"/>
          <w:lang w:val="en-GB"/>
        </w:rPr>
        <w:t>A</w:t>
      </w:r>
      <w:r w:rsidR="00C0161F" w:rsidRPr="000D67C6">
        <w:rPr>
          <w:rFonts w:ascii="Arial" w:hAnsi="Arial" w:cs="Arial"/>
          <w:sz w:val="22"/>
          <w:szCs w:val="22"/>
          <w:lang w:val="en-GB"/>
        </w:rPr>
        <w:t>mendments to IFRS 9 Financial Instruments: Prepayment Features with Negative Compensation.</w:t>
      </w:r>
    </w:p>
    <w:p w14:paraId="0116BE2E" w14:textId="77777777" w:rsidR="00EE531D" w:rsidRPr="000D67C6" w:rsidRDefault="00EE531D" w:rsidP="00EE531D">
      <w:pPr>
        <w:pStyle w:val="Normal0"/>
        <w:spacing w:line="22" w:lineRule="atLeast"/>
        <w:jc w:val="both"/>
        <w:rPr>
          <w:rFonts w:ascii="Arial" w:hAnsi="Arial" w:cs="Arial"/>
          <w:sz w:val="22"/>
          <w:szCs w:val="22"/>
          <w:lang w:val="en-GB"/>
        </w:rPr>
      </w:pPr>
    </w:p>
    <w:p w14:paraId="608A8A8E" w14:textId="30648BF2" w:rsidR="00EE531D" w:rsidRPr="000D67C6" w:rsidRDefault="00BA2968" w:rsidP="00EE531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As reported in the 2017/18 Statement of Accounts i</w:t>
      </w:r>
      <w:r w:rsidR="00EE531D" w:rsidRPr="000D67C6">
        <w:rPr>
          <w:rFonts w:ascii="Arial" w:hAnsi="Arial" w:cs="Arial"/>
          <w:sz w:val="22"/>
          <w:szCs w:val="22"/>
          <w:lang w:val="en-GB"/>
        </w:rPr>
        <w:t>mplementation of IFRS 16 Leases</w:t>
      </w:r>
      <w:r w:rsidRPr="000D67C6">
        <w:rPr>
          <w:rFonts w:ascii="Arial" w:hAnsi="Arial" w:cs="Arial"/>
          <w:sz w:val="22"/>
          <w:szCs w:val="22"/>
          <w:lang w:val="en-GB"/>
        </w:rPr>
        <w:t xml:space="preserve"> </w:t>
      </w:r>
      <w:r w:rsidR="00EE531D" w:rsidRPr="000D67C6">
        <w:rPr>
          <w:rFonts w:ascii="Arial" w:hAnsi="Arial" w:cs="Arial"/>
          <w:sz w:val="22"/>
          <w:szCs w:val="22"/>
          <w:lang w:val="en-GB"/>
        </w:rPr>
        <w:t>has been deferred, by CIPFA/LASAAC local authority accounting Code Board, until 1</w:t>
      </w:r>
      <w:r w:rsidR="00EE531D" w:rsidRPr="000D67C6">
        <w:rPr>
          <w:rFonts w:ascii="Arial" w:hAnsi="Arial" w:cs="Arial"/>
          <w:sz w:val="22"/>
          <w:szCs w:val="22"/>
          <w:vertAlign w:val="superscript"/>
          <w:lang w:val="en-GB"/>
        </w:rPr>
        <w:t>st</w:t>
      </w:r>
      <w:r w:rsidR="00EE531D" w:rsidRPr="000D67C6">
        <w:rPr>
          <w:rFonts w:ascii="Arial" w:hAnsi="Arial" w:cs="Arial"/>
          <w:sz w:val="22"/>
          <w:szCs w:val="22"/>
          <w:lang w:val="en-GB"/>
        </w:rPr>
        <w:t xml:space="preserve"> April 2020.</w:t>
      </w:r>
    </w:p>
    <w:p w14:paraId="3DF24AFF" w14:textId="77777777" w:rsidR="00EE531D" w:rsidRPr="000D67C6" w:rsidRDefault="00EE531D" w:rsidP="00EE531D">
      <w:pPr>
        <w:pStyle w:val="Normal0"/>
        <w:spacing w:line="22" w:lineRule="atLeast"/>
        <w:jc w:val="both"/>
        <w:rPr>
          <w:rFonts w:ascii="Arial" w:hAnsi="Arial" w:cs="Arial"/>
          <w:sz w:val="22"/>
          <w:szCs w:val="22"/>
          <w:lang w:val="en-GB"/>
        </w:rPr>
      </w:pPr>
    </w:p>
    <w:p w14:paraId="3D7A1A41" w14:textId="77777777" w:rsidR="000C78D2" w:rsidRPr="000D67C6" w:rsidRDefault="006140A1" w:rsidP="006140A1">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It is not anticipated that the above amendments will have a material impact on the information provided in the </w:t>
      </w:r>
      <w:r w:rsidR="00380776" w:rsidRPr="000D67C6">
        <w:rPr>
          <w:rFonts w:ascii="Arial" w:hAnsi="Arial" w:cs="Arial"/>
          <w:sz w:val="22"/>
          <w:szCs w:val="22"/>
          <w:lang w:val="en-GB"/>
        </w:rPr>
        <w:t>Authority’s</w:t>
      </w:r>
      <w:r w:rsidRPr="000D67C6">
        <w:rPr>
          <w:rFonts w:ascii="Arial" w:hAnsi="Arial" w:cs="Arial"/>
          <w:sz w:val="22"/>
          <w:szCs w:val="22"/>
          <w:lang w:val="en-GB"/>
        </w:rPr>
        <w:t xml:space="preserve"> financial statements</w:t>
      </w:r>
      <w:r w:rsidR="001B575F" w:rsidRPr="000D67C6">
        <w:rPr>
          <w:rFonts w:ascii="Arial" w:hAnsi="Arial" w:cs="Arial"/>
          <w:sz w:val="22"/>
          <w:szCs w:val="22"/>
          <w:lang w:val="en-GB"/>
        </w:rPr>
        <w:t>.</w:t>
      </w:r>
    </w:p>
    <w:p w14:paraId="104E0410" w14:textId="77777777" w:rsidR="00460A0D" w:rsidRPr="000D67C6" w:rsidRDefault="00460A0D" w:rsidP="00460A0D">
      <w:pPr>
        <w:pStyle w:val="Normal0"/>
        <w:spacing w:line="22" w:lineRule="atLeast"/>
        <w:jc w:val="both"/>
        <w:rPr>
          <w:rFonts w:ascii="Arial" w:hAnsi="Arial" w:cs="Arial"/>
          <w:sz w:val="20"/>
          <w:szCs w:val="22"/>
          <w:lang w:val="en-GB"/>
        </w:rPr>
      </w:pPr>
    </w:p>
    <w:p w14:paraId="1BFE8220" w14:textId="77777777" w:rsidR="00A76C28" w:rsidRPr="000D67C6" w:rsidRDefault="00A76C28" w:rsidP="006140A1">
      <w:pPr>
        <w:pStyle w:val="Normal0"/>
        <w:spacing w:line="22" w:lineRule="atLeast"/>
        <w:jc w:val="both"/>
        <w:rPr>
          <w:rFonts w:ascii="Arial" w:hAnsi="Arial" w:cs="Arial"/>
          <w:sz w:val="22"/>
          <w:szCs w:val="22"/>
          <w:lang w:val="en-GB"/>
        </w:rPr>
      </w:pPr>
    </w:p>
    <w:p w14:paraId="14A4BE0C" w14:textId="77777777" w:rsidR="00C06317" w:rsidRDefault="00C06317">
      <w:pPr>
        <w:rPr>
          <w:rFonts w:ascii="Arial" w:eastAsiaTheme="majorEastAsia" w:hAnsi="Arial" w:cs="Arial"/>
          <w:b/>
          <w:sz w:val="28"/>
          <w:szCs w:val="32"/>
          <w:lang w:val="en-GB"/>
        </w:rPr>
      </w:pPr>
      <w:r>
        <w:rPr>
          <w:rFonts w:ascii="Arial" w:hAnsi="Arial" w:cs="Arial"/>
          <w:sz w:val="28"/>
          <w:lang w:val="en-GB"/>
        </w:rPr>
        <w:br w:type="page"/>
      </w:r>
    </w:p>
    <w:p w14:paraId="0DD2D4D4" w14:textId="4775FE2C" w:rsidR="008F013B" w:rsidRPr="000D67C6" w:rsidRDefault="005F2756" w:rsidP="00161B98">
      <w:pPr>
        <w:pStyle w:val="Heading1"/>
        <w:spacing w:before="0" w:line="259" w:lineRule="auto"/>
        <w:rPr>
          <w:rFonts w:ascii="Arial" w:hAnsi="Arial" w:cs="Arial"/>
          <w:sz w:val="28"/>
          <w:lang w:val="en-GB"/>
        </w:rPr>
      </w:pPr>
      <w:r w:rsidRPr="000D67C6">
        <w:rPr>
          <w:rFonts w:ascii="Arial" w:hAnsi="Arial" w:cs="Arial"/>
          <w:sz w:val="28"/>
          <w:lang w:val="en-GB"/>
        </w:rPr>
        <w:t>Note 3</w:t>
      </w:r>
      <w:r w:rsidR="008F013B" w:rsidRPr="000D67C6">
        <w:rPr>
          <w:rFonts w:ascii="Arial" w:hAnsi="Arial" w:cs="Arial"/>
          <w:sz w:val="28"/>
          <w:lang w:val="en-GB"/>
        </w:rPr>
        <w:t xml:space="preserve"> - Critical Judgements in Applying Accounting Policies </w:t>
      </w:r>
    </w:p>
    <w:p w14:paraId="6C3B7C44" w14:textId="77777777" w:rsidR="008F013B" w:rsidRPr="000D67C6" w:rsidRDefault="008F013B" w:rsidP="00D00E4E">
      <w:pPr>
        <w:pStyle w:val="Normal0"/>
        <w:spacing w:line="259" w:lineRule="auto"/>
        <w:rPr>
          <w:rFonts w:ascii="Arial" w:hAnsi="Arial" w:cs="Arial"/>
          <w:sz w:val="22"/>
          <w:szCs w:val="22"/>
          <w:lang w:val="en-GB"/>
        </w:rPr>
      </w:pPr>
    </w:p>
    <w:p w14:paraId="411B1FD5" w14:textId="77777777" w:rsidR="008F013B" w:rsidRPr="000D67C6" w:rsidRDefault="008F013B" w:rsidP="00D00E4E">
      <w:pPr>
        <w:pStyle w:val="Normal0"/>
        <w:spacing w:line="259" w:lineRule="auto"/>
        <w:jc w:val="both"/>
        <w:rPr>
          <w:rFonts w:ascii="Arial" w:hAnsi="Arial" w:cs="Arial"/>
          <w:sz w:val="22"/>
          <w:szCs w:val="22"/>
          <w:lang w:val="en-GB"/>
        </w:rPr>
      </w:pPr>
      <w:r w:rsidRPr="000D67C6">
        <w:rPr>
          <w:rFonts w:ascii="Arial" w:hAnsi="Arial" w:cs="Arial"/>
          <w:sz w:val="22"/>
          <w:szCs w:val="22"/>
          <w:lang w:val="en-GB"/>
        </w:rPr>
        <w:t xml:space="preserve">In applying the accounting policies set out </w:t>
      </w:r>
      <w:r w:rsidR="00DA1F9C" w:rsidRPr="000D67C6">
        <w:rPr>
          <w:rFonts w:ascii="Arial" w:hAnsi="Arial" w:cs="Arial"/>
          <w:sz w:val="22"/>
          <w:szCs w:val="22"/>
          <w:lang w:val="en-GB"/>
        </w:rPr>
        <w:t>in Note 1</w:t>
      </w:r>
      <w:r w:rsidRPr="000D67C6">
        <w:rPr>
          <w:rFonts w:ascii="Arial" w:hAnsi="Arial" w:cs="Arial"/>
          <w:sz w:val="22"/>
          <w:szCs w:val="22"/>
          <w:lang w:val="en-GB"/>
        </w:rPr>
        <w:t xml:space="preserve">,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has had to make certain judgements about complex transactions or those involving uncertainty about future events. The critical judgements made in the Statemen</w:t>
      </w:r>
      <w:r w:rsidR="00D00E4E" w:rsidRPr="000D67C6">
        <w:rPr>
          <w:rFonts w:ascii="Arial" w:hAnsi="Arial" w:cs="Arial"/>
          <w:sz w:val="22"/>
          <w:szCs w:val="22"/>
          <w:lang w:val="en-GB"/>
        </w:rPr>
        <w:t>t of Accounts are as follows:</w:t>
      </w:r>
    </w:p>
    <w:p w14:paraId="48A11435" w14:textId="77777777" w:rsidR="00D00E4E" w:rsidRPr="000D67C6" w:rsidRDefault="00D00E4E" w:rsidP="00D00E4E">
      <w:pPr>
        <w:pStyle w:val="Normal0"/>
        <w:spacing w:line="259" w:lineRule="auto"/>
        <w:jc w:val="both"/>
        <w:rPr>
          <w:rFonts w:ascii="Arial" w:hAnsi="Arial" w:cs="Arial"/>
          <w:sz w:val="22"/>
          <w:szCs w:val="22"/>
          <w:lang w:val="en-GB"/>
        </w:rPr>
      </w:pPr>
    </w:p>
    <w:p w14:paraId="66910952" w14:textId="251F1B85" w:rsidR="00432B60" w:rsidRPr="000D67C6" w:rsidRDefault="000F651A" w:rsidP="00C4608B">
      <w:pPr>
        <w:pStyle w:val="Normal0"/>
        <w:numPr>
          <w:ilvl w:val="0"/>
          <w:numId w:val="35"/>
        </w:numPr>
        <w:spacing w:line="259" w:lineRule="auto"/>
        <w:jc w:val="both"/>
        <w:rPr>
          <w:rFonts w:ascii="Arial" w:hAnsi="Arial" w:cs="Arial"/>
          <w:sz w:val="22"/>
          <w:szCs w:val="22"/>
          <w:lang w:val="en-GB"/>
        </w:rPr>
      </w:pPr>
      <w:r w:rsidRPr="000D67C6">
        <w:rPr>
          <w:rFonts w:ascii="Arial" w:hAnsi="Arial" w:cs="Arial"/>
          <w:sz w:val="22"/>
          <w:szCs w:val="22"/>
          <w:lang w:val="en-GB"/>
        </w:rPr>
        <w:t xml:space="preserve">Uncertainty continues about both future funding and </w:t>
      </w:r>
      <w:r w:rsidR="00F244A9" w:rsidRPr="000D67C6">
        <w:rPr>
          <w:rFonts w:ascii="Arial" w:hAnsi="Arial" w:cs="Arial"/>
          <w:sz w:val="22"/>
          <w:szCs w:val="22"/>
          <w:lang w:val="en-GB"/>
        </w:rPr>
        <w:t>Brexit</w:t>
      </w:r>
      <w:r w:rsidRPr="000D67C6">
        <w:rPr>
          <w:rFonts w:ascii="Arial" w:hAnsi="Arial" w:cs="Arial"/>
          <w:sz w:val="22"/>
          <w:szCs w:val="22"/>
          <w:lang w:val="en-GB"/>
        </w:rPr>
        <w:t>. However, the Authority has determined that this uncertainty is not yet sufficient to provide an indication that the assets of the Authority might be impaired as a result.</w:t>
      </w:r>
    </w:p>
    <w:p w14:paraId="1F65122B" w14:textId="12D0D3C6" w:rsidR="00AD35B2" w:rsidRPr="00C06317" w:rsidRDefault="00AD35B2" w:rsidP="00AD35B2">
      <w:pPr>
        <w:pStyle w:val="Normal0"/>
        <w:spacing w:line="259" w:lineRule="auto"/>
        <w:jc w:val="both"/>
        <w:rPr>
          <w:rFonts w:ascii="Arial" w:hAnsi="Arial" w:cs="Arial"/>
          <w:color w:val="5B9BD5" w:themeColor="accent1"/>
          <w:sz w:val="28"/>
          <w:szCs w:val="22"/>
          <w:lang w:val="en-GB"/>
        </w:rPr>
      </w:pPr>
    </w:p>
    <w:p w14:paraId="6A7381E0" w14:textId="77777777" w:rsidR="008F013B" w:rsidRPr="000D67C6" w:rsidRDefault="005F2756" w:rsidP="00161B98">
      <w:pPr>
        <w:pStyle w:val="Normal0"/>
        <w:spacing w:line="259" w:lineRule="auto"/>
        <w:rPr>
          <w:rFonts w:ascii="Arial" w:hAnsi="Arial" w:cs="Arial"/>
          <w:b/>
          <w:sz w:val="28"/>
          <w:lang w:val="en-GB"/>
        </w:rPr>
      </w:pPr>
      <w:r w:rsidRPr="000D67C6">
        <w:rPr>
          <w:rFonts w:ascii="Arial" w:hAnsi="Arial" w:cs="Arial"/>
          <w:b/>
          <w:sz w:val="28"/>
          <w:lang w:val="en-GB"/>
        </w:rPr>
        <w:t>Note 4</w:t>
      </w:r>
      <w:r w:rsidR="008F013B" w:rsidRPr="000D67C6">
        <w:rPr>
          <w:rFonts w:ascii="Arial" w:hAnsi="Arial" w:cs="Arial"/>
          <w:b/>
          <w:sz w:val="28"/>
          <w:lang w:val="en-GB"/>
        </w:rPr>
        <w:t xml:space="preserve"> - Assumptions Made about the Future and Other Major Sources of Estimation Uncertainty </w:t>
      </w:r>
    </w:p>
    <w:p w14:paraId="6C4A6E6D" w14:textId="77777777" w:rsidR="008F013B" w:rsidRPr="000D67C6" w:rsidRDefault="008F013B" w:rsidP="00161B98">
      <w:pPr>
        <w:pStyle w:val="Normal0"/>
        <w:spacing w:line="259" w:lineRule="auto"/>
        <w:jc w:val="both"/>
        <w:rPr>
          <w:rFonts w:ascii="Arial" w:hAnsi="Arial" w:cs="Arial"/>
          <w:sz w:val="22"/>
          <w:szCs w:val="22"/>
          <w:lang w:val="en-GB"/>
        </w:rPr>
      </w:pPr>
    </w:p>
    <w:p w14:paraId="7E7B35B1" w14:textId="77777777" w:rsidR="008F013B" w:rsidRPr="000D67C6" w:rsidRDefault="008F013B" w:rsidP="00D00E4E">
      <w:pPr>
        <w:pStyle w:val="Normal0"/>
        <w:spacing w:line="259" w:lineRule="auto"/>
        <w:jc w:val="both"/>
        <w:rPr>
          <w:rFonts w:ascii="Arial" w:hAnsi="Arial" w:cs="Arial"/>
          <w:sz w:val="22"/>
          <w:szCs w:val="22"/>
          <w:lang w:val="en-GB"/>
        </w:rPr>
      </w:pPr>
      <w:r w:rsidRPr="000D67C6">
        <w:rPr>
          <w:rFonts w:ascii="Arial" w:hAnsi="Arial" w:cs="Arial"/>
          <w:sz w:val="22"/>
          <w:szCs w:val="22"/>
          <w:lang w:val="en-GB"/>
        </w:rPr>
        <w:t xml:space="preserve">The Statement of Accounts contains estimated figures that are based on assumptions made by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w:t>
      </w:r>
    </w:p>
    <w:p w14:paraId="57C7CF4B" w14:textId="77777777" w:rsidR="008F013B" w:rsidRPr="000D67C6" w:rsidRDefault="008F013B" w:rsidP="00D00E4E">
      <w:pPr>
        <w:pStyle w:val="Normal0"/>
        <w:spacing w:line="259" w:lineRule="auto"/>
        <w:jc w:val="both"/>
        <w:rPr>
          <w:rFonts w:ascii="Arial" w:hAnsi="Arial" w:cs="Arial"/>
          <w:sz w:val="22"/>
          <w:szCs w:val="22"/>
          <w:lang w:val="en-GB"/>
        </w:rPr>
      </w:pPr>
    </w:p>
    <w:p w14:paraId="27686429" w14:textId="77777777" w:rsidR="005F6689" w:rsidRPr="000D67C6" w:rsidRDefault="005F6689" w:rsidP="00D00E4E">
      <w:pPr>
        <w:pStyle w:val="Normal0"/>
        <w:spacing w:line="259" w:lineRule="auto"/>
        <w:jc w:val="both"/>
        <w:rPr>
          <w:rFonts w:ascii="Arial" w:hAnsi="Arial" w:cs="Arial"/>
          <w:sz w:val="22"/>
          <w:szCs w:val="22"/>
          <w:lang w:val="en-GB"/>
        </w:rPr>
      </w:pPr>
      <w:r w:rsidRPr="000D67C6">
        <w:rPr>
          <w:rFonts w:ascii="Arial" w:hAnsi="Arial" w:cs="Arial"/>
          <w:sz w:val="22"/>
          <w:szCs w:val="22"/>
          <w:lang w:val="en-GB"/>
        </w:rPr>
        <w:t>The items in the Authority’s Balance Sheet at 31</w:t>
      </w:r>
      <w:r w:rsidRPr="000D67C6">
        <w:rPr>
          <w:rFonts w:ascii="Arial" w:hAnsi="Arial" w:cs="Arial"/>
          <w:sz w:val="22"/>
          <w:szCs w:val="22"/>
          <w:vertAlign w:val="superscript"/>
          <w:lang w:val="en-GB"/>
        </w:rPr>
        <w:t>st</w:t>
      </w:r>
      <w:r w:rsidRPr="000D67C6">
        <w:rPr>
          <w:rFonts w:ascii="Arial" w:hAnsi="Arial" w:cs="Arial"/>
          <w:sz w:val="22"/>
          <w:szCs w:val="22"/>
          <w:lang w:val="en-GB"/>
        </w:rPr>
        <w:t xml:space="preserve"> March 201</w:t>
      </w:r>
      <w:r w:rsidR="00790DD4" w:rsidRPr="000D67C6">
        <w:rPr>
          <w:rFonts w:ascii="Arial" w:hAnsi="Arial" w:cs="Arial"/>
          <w:sz w:val="22"/>
          <w:szCs w:val="22"/>
          <w:lang w:val="en-GB"/>
        </w:rPr>
        <w:t>9</w:t>
      </w:r>
      <w:r w:rsidRPr="000D67C6">
        <w:rPr>
          <w:rFonts w:ascii="Arial" w:hAnsi="Arial" w:cs="Arial"/>
          <w:sz w:val="22"/>
          <w:szCs w:val="22"/>
          <w:lang w:val="en-GB"/>
        </w:rPr>
        <w:t xml:space="preserve"> for which there is a significant </w:t>
      </w:r>
      <w:r w:rsidR="005843D4" w:rsidRPr="000D67C6">
        <w:rPr>
          <w:rFonts w:ascii="Arial" w:hAnsi="Arial" w:cs="Arial"/>
          <w:sz w:val="22"/>
          <w:szCs w:val="22"/>
          <w:lang w:val="en-GB"/>
        </w:rPr>
        <w:t>risk of material adjustment in the forthcoming financial year are as follows:</w:t>
      </w:r>
    </w:p>
    <w:p w14:paraId="6AD752A8" w14:textId="77777777" w:rsidR="005843D4" w:rsidRPr="000D67C6" w:rsidRDefault="005843D4" w:rsidP="00D00E4E">
      <w:pPr>
        <w:pStyle w:val="Normal0"/>
        <w:spacing w:line="259" w:lineRule="auto"/>
        <w:jc w:val="both"/>
        <w:rPr>
          <w:rFonts w:ascii="Arial" w:hAnsi="Arial" w:cs="Arial"/>
          <w:sz w:val="22"/>
          <w:szCs w:val="22"/>
          <w:lang w:val="en-GB"/>
        </w:rPr>
      </w:pPr>
    </w:p>
    <w:p w14:paraId="618AE819" w14:textId="77777777" w:rsidR="008F013B" w:rsidRPr="000D67C6" w:rsidRDefault="008F013B" w:rsidP="00C4608B">
      <w:pPr>
        <w:pStyle w:val="Normal0"/>
        <w:numPr>
          <w:ilvl w:val="0"/>
          <w:numId w:val="35"/>
        </w:numPr>
        <w:spacing w:line="259" w:lineRule="auto"/>
        <w:jc w:val="both"/>
        <w:rPr>
          <w:rFonts w:ascii="Arial" w:hAnsi="Arial" w:cs="Arial"/>
          <w:sz w:val="22"/>
          <w:szCs w:val="22"/>
          <w:lang w:val="en-GB"/>
        </w:rPr>
      </w:pPr>
      <w:r w:rsidRPr="000D67C6">
        <w:rPr>
          <w:rFonts w:ascii="Arial" w:hAnsi="Arial" w:cs="Arial"/>
          <w:sz w:val="22"/>
          <w:szCs w:val="22"/>
          <w:lang w:val="en-GB"/>
        </w:rPr>
        <w:t xml:space="preserve">Property, Plant and Equipment </w:t>
      </w:r>
      <w:r w:rsidR="008A55CA" w:rsidRPr="000D67C6">
        <w:rPr>
          <w:rFonts w:ascii="Arial" w:hAnsi="Arial" w:cs="Arial"/>
          <w:sz w:val="22"/>
          <w:szCs w:val="22"/>
          <w:lang w:val="en-GB"/>
        </w:rPr>
        <w:t>–</w:t>
      </w:r>
      <w:r w:rsidRPr="000D67C6">
        <w:rPr>
          <w:rFonts w:ascii="Arial" w:hAnsi="Arial" w:cs="Arial"/>
          <w:sz w:val="22"/>
          <w:szCs w:val="22"/>
          <w:lang w:val="en-GB"/>
        </w:rPr>
        <w:t xml:space="preserve"> </w:t>
      </w:r>
      <w:r w:rsidR="008A55CA" w:rsidRPr="000D67C6">
        <w:rPr>
          <w:rFonts w:ascii="Arial" w:hAnsi="Arial" w:cs="Arial"/>
          <w:sz w:val="22"/>
          <w:szCs w:val="22"/>
          <w:lang w:val="en-GB"/>
        </w:rPr>
        <w:t xml:space="preserve">Non-current </w:t>
      </w:r>
      <w:r w:rsidRPr="000D67C6">
        <w:rPr>
          <w:rFonts w:ascii="Arial" w:hAnsi="Arial" w:cs="Arial"/>
          <w:sz w:val="22"/>
          <w:szCs w:val="22"/>
          <w:lang w:val="en-GB"/>
        </w:rPr>
        <w:t xml:space="preserve">Assets are depreciated over useful lives that are </w:t>
      </w:r>
      <w:r w:rsidR="008A55CA" w:rsidRPr="000D67C6">
        <w:rPr>
          <w:rFonts w:ascii="Arial" w:hAnsi="Arial" w:cs="Arial"/>
          <w:sz w:val="22"/>
          <w:szCs w:val="22"/>
          <w:lang w:val="en-GB"/>
        </w:rPr>
        <w:t>dependent</w:t>
      </w:r>
      <w:r w:rsidRPr="000D67C6">
        <w:rPr>
          <w:rFonts w:ascii="Arial" w:hAnsi="Arial" w:cs="Arial"/>
          <w:sz w:val="22"/>
          <w:szCs w:val="22"/>
          <w:lang w:val="en-GB"/>
        </w:rPr>
        <w:t xml:space="preserve"> on assumptions about the level of repairs and maintenance that will be incurred in relation to individual assets. The current economic climate makes it uncertain that the Authority will be able to sustain its current spending on repairs and maintenance, bringing into doubt the useful lives assigned to assets.  If the useful life of the asset is reduced depreciation increases and the carrying amount of the asset falls. </w:t>
      </w:r>
    </w:p>
    <w:p w14:paraId="28F6E4AB" w14:textId="77777777" w:rsidR="008A55CA" w:rsidRPr="000D67C6" w:rsidRDefault="008A55CA" w:rsidP="00D00E4E">
      <w:pPr>
        <w:pStyle w:val="Normal0"/>
        <w:spacing w:line="259" w:lineRule="auto"/>
        <w:jc w:val="both"/>
        <w:rPr>
          <w:rFonts w:ascii="Arial" w:hAnsi="Arial" w:cs="Arial"/>
          <w:sz w:val="22"/>
          <w:szCs w:val="22"/>
          <w:lang w:val="en-GB"/>
        </w:rPr>
      </w:pPr>
    </w:p>
    <w:p w14:paraId="22AF48F1" w14:textId="77777777" w:rsidR="008F013B" w:rsidRPr="000D67C6" w:rsidRDefault="008F013B" w:rsidP="00C4608B">
      <w:pPr>
        <w:pStyle w:val="Normal0"/>
        <w:numPr>
          <w:ilvl w:val="0"/>
          <w:numId w:val="35"/>
        </w:numPr>
        <w:spacing w:line="259" w:lineRule="auto"/>
        <w:jc w:val="both"/>
        <w:rPr>
          <w:rFonts w:ascii="Arial" w:hAnsi="Arial" w:cs="Arial"/>
          <w:sz w:val="22"/>
          <w:szCs w:val="22"/>
          <w:lang w:val="en-GB"/>
        </w:rPr>
      </w:pPr>
      <w:r w:rsidRPr="000D67C6">
        <w:rPr>
          <w:rFonts w:ascii="Arial" w:hAnsi="Arial" w:cs="Arial"/>
          <w:sz w:val="22"/>
          <w:szCs w:val="22"/>
          <w:lang w:val="en-GB"/>
        </w:rPr>
        <w:t>Pensions liability - Estimation of the net liability to pay pensions depends on a number of complex judgements relating to the discount rate used, the rate at which salaries are projected to increase, changes in retirement ages, mort</w:t>
      </w:r>
      <w:r w:rsidR="00B86D81" w:rsidRPr="000D67C6">
        <w:rPr>
          <w:rFonts w:ascii="Arial" w:hAnsi="Arial" w:cs="Arial"/>
          <w:sz w:val="22"/>
          <w:szCs w:val="22"/>
          <w:lang w:val="en-GB"/>
        </w:rPr>
        <w:t>ality rates and, for the Local G</w:t>
      </w:r>
      <w:r w:rsidRPr="000D67C6">
        <w:rPr>
          <w:rFonts w:ascii="Arial" w:hAnsi="Arial" w:cs="Arial"/>
          <w:sz w:val="22"/>
          <w:szCs w:val="22"/>
          <w:lang w:val="en-GB"/>
        </w:rPr>
        <w:t>overnment pension scheme, the expected returns on pension fund assets. Consulting Actuaries are engaged to provide the Authority with expert advice about the assumptions to be applied. Please refer to Note</w:t>
      </w:r>
      <w:r w:rsidR="008A55CA" w:rsidRPr="000D67C6">
        <w:rPr>
          <w:rFonts w:ascii="Arial" w:hAnsi="Arial" w:cs="Arial"/>
          <w:sz w:val="22"/>
          <w:szCs w:val="22"/>
          <w:lang w:val="en-GB"/>
        </w:rPr>
        <w:t xml:space="preserve"> 3</w:t>
      </w:r>
      <w:r w:rsidR="00E9517E" w:rsidRPr="000D67C6">
        <w:rPr>
          <w:rFonts w:ascii="Arial" w:hAnsi="Arial" w:cs="Arial"/>
          <w:sz w:val="22"/>
          <w:szCs w:val="22"/>
          <w:lang w:val="en-GB"/>
        </w:rPr>
        <w:t>0</w:t>
      </w:r>
      <w:r w:rsidRPr="000D67C6">
        <w:rPr>
          <w:rFonts w:ascii="Arial" w:hAnsi="Arial" w:cs="Arial"/>
          <w:sz w:val="22"/>
          <w:szCs w:val="22"/>
          <w:lang w:val="en-GB"/>
        </w:rPr>
        <w:t xml:space="preserve"> for Pension liability sensitivity analysis. </w:t>
      </w:r>
    </w:p>
    <w:p w14:paraId="398E10B4" w14:textId="77777777" w:rsidR="008F013B" w:rsidRPr="00C06317" w:rsidRDefault="008F013B" w:rsidP="00D00E4E">
      <w:pPr>
        <w:pStyle w:val="Normal0"/>
        <w:spacing w:line="259" w:lineRule="auto"/>
        <w:jc w:val="both"/>
        <w:rPr>
          <w:rFonts w:ascii="Arial" w:hAnsi="Arial" w:cs="Arial"/>
          <w:color w:val="5B9BD5" w:themeColor="accent1"/>
          <w:sz w:val="28"/>
          <w:szCs w:val="22"/>
          <w:lang w:val="en-GB"/>
        </w:rPr>
      </w:pPr>
    </w:p>
    <w:p w14:paraId="1A23AA5A" w14:textId="77777777" w:rsidR="008F013B" w:rsidRPr="000D67C6" w:rsidRDefault="005F2756" w:rsidP="00D00E4E">
      <w:pPr>
        <w:pStyle w:val="Heading1"/>
        <w:spacing w:before="0" w:line="259" w:lineRule="auto"/>
        <w:jc w:val="both"/>
        <w:rPr>
          <w:rFonts w:ascii="Arial" w:hAnsi="Arial" w:cs="Arial"/>
          <w:sz w:val="28"/>
          <w:lang w:val="en-GB"/>
        </w:rPr>
      </w:pPr>
      <w:r w:rsidRPr="000D67C6">
        <w:rPr>
          <w:rFonts w:ascii="Arial" w:hAnsi="Arial" w:cs="Arial"/>
          <w:sz w:val="28"/>
          <w:lang w:val="en-GB"/>
        </w:rPr>
        <w:t>Note 5</w:t>
      </w:r>
      <w:r w:rsidR="008F013B" w:rsidRPr="000D67C6">
        <w:rPr>
          <w:rFonts w:ascii="Arial" w:hAnsi="Arial" w:cs="Arial"/>
          <w:sz w:val="28"/>
          <w:lang w:val="en-GB"/>
        </w:rPr>
        <w:t xml:space="preserve"> - Events After the Balance Sheet Date </w:t>
      </w:r>
    </w:p>
    <w:p w14:paraId="654AF3D1" w14:textId="77777777" w:rsidR="008F013B" w:rsidRPr="000D67C6" w:rsidRDefault="008F013B" w:rsidP="00D00E4E">
      <w:pPr>
        <w:pStyle w:val="Normal0"/>
        <w:spacing w:line="259" w:lineRule="auto"/>
        <w:jc w:val="both"/>
        <w:rPr>
          <w:rFonts w:ascii="Arial" w:hAnsi="Arial" w:cs="Arial"/>
          <w:sz w:val="22"/>
          <w:szCs w:val="22"/>
          <w:lang w:val="en-GB"/>
        </w:rPr>
      </w:pPr>
    </w:p>
    <w:p w14:paraId="077890D1" w14:textId="77777777" w:rsidR="00D00E4E" w:rsidRPr="000D67C6" w:rsidRDefault="008F013B" w:rsidP="008A55CA">
      <w:pPr>
        <w:pStyle w:val="Normal0"/>
        <w:spacing w:line="259" w:lineRule="auto"/>
        <w:jc w:val="both"/>
        <w:rPr>
          <w:rFonts w:ascii="Arial" w:hAnsi="Arial" w:cs="Arial"/>
          <w:sz w:val="22"/>
          <w:szCs w:val="22"/>
          <w:lang w:val="en-GB"/>
        </w:rPr>
      </w:pPr>
      <w:r w:rsidRPr="000D67C6">
        <w:rPr>
          <w:rFonts w:ascii="Arial" w:hAnsi="Arial" w:cs="Arial"/>
          <w:sz w:val="22"/>
          <w:szCs w:val="22"/>
          <w:lang w:val="en-GB"/>
        </w:rPr>
        <w:t xml:space="preserve">The Statement of Accounts was authorised for issue by the </w:t>
      </w:r>
      <w:r w:rsidR="00155EA6" w:rsidRPr="000D67C6">
        <w:rPr>
          <w:rFonts w:ascii="Arial" w:hAnsi="Arial" w:cs="Arial"/>
          <w:sz w:val="22"/>
          <w:szCs w:val="22"/>
          <w:lang w:val="en-GB"/>
        </w:rPr>
        <w:t>Chief Financial Officer</w:t>
      </w:r>
      <w:r w:rsidRPr="000D67C6">
        <w:rPr>
          <w:rFonts w:ascii="Arial" w:hAnsi="Arial" w:cs="Arial"/>
          <w:sz w:val="22"/>
          <w:szCs w:val="22"/>
          <w:lang w:val="en-GB"/>
        </w:rPr>
        <w:t xml:space="preserve"> </w:t>
      </w:r>
      <w:r w:rsidR="00432B60" w:rsidRPr="000D67C6">
        <w:rPr>
          <w:rFonts w:ascii="Arial" w:hAnsi="Arial" w:cs="Arial"/>
          <w:sz w:val="22"/>
          <w:szCs w:val="22"/>
          <w:lang w:val="en-GB"/>
        </w:rPr>
        <w:t>as per date noted on page 8</w:t>
      </w:r>
      <w:r w:rsidRPr="000D67C6">
        <w:rPr>
          <w:rFonts w:ascii="Arial" w:hAnsi="Arial" w:cs="Arial"/>
          <w:sz w:val="22"/>
          <w:szCs w:val="22"/>
          <w:lang w:val="en-GB"/>
        </w:rPr>
        <w:t>. Events taking place after this date are not reflected in the financial statements or notes. Where events taking place before this date provided information about conditions existing at 31 March</w:t>
      </w:r>
      <w:r w:rsidR="0095683C" w:rsidRPr="000D67C6">
        <w:rPr>
          <w:rFonts w:ascii="Arial" w:hAnsi="Arial" w:cs="Arial"/>
          <w:sz w:val="22"/>
          <w:szCs w:val="22"/>
          <w:lang w:val="en-GB"/>
        </w:rPr>
        <w:t xml:space="preserve"> 201</w:t>
      </w:r>
      <w:r w:rsidR="00790DD4" w:rsidRPr="000D67C6">
        <w:rPr>
          <w:rFonts w:ascii="Arial" w:hAnsi="Arial" w:cs="Arial"/>
          <w:sz w:val="22"/>
          <w:szCs w:val="22"/>
          <w:lang w:val="en-GB"/>
        </w:rPr>
        <w:t>9</w:t>
      </w:r>
      <w:r w:rsidRPr="000D67C6">
        <w:rPr>
          <w:rFonts w:ascii="Arial" w:hAnsi="Arial" w:cs="Arial"/>
          <w:sz w:val="22"/>
          <w:szCs w:val="22"/>
          <w:lang w:val="en-GB"/>
        </w:rPr>
        <w:t xml:space="preserve">, the figures in the financial statements and notes have been adjusted in all material respects to reflect the impact of this information. </w:t>
      </w:r>
    </w:p>
    <w:p w14:paraId="37584704" w14:textId="77777777" w:rsidR="008A55CA" w:rsidRPr="000D67C6" w:rsidRDefault="008A55CA" w:rsidP="008A55CA">
      <w:pPr>
        <w:pStyle w:val="Normal0"/>
        <w:spacing w:line="259" w:lineRule="auto"/>
        <w:jc w:val="both"/>
        <w:rPr>
          <w:rFonts w:ascii="Arial" w:hAnsi="Arial" w:cs="Arial"/>
          <w:sz w:val="22"/>
          <w:szCs w:val="22"/>
          <w:lang w:val="en-GB"/>
        </w:rPr>
      </w:pPr>
    </w:p>
    <w:p w14:paraId="2BB4206A" w14:textId="5EAAB1B5" w:rsidR="00EC7058" w:rsidRPr="000D67C6" w:rsidRDefault="00EC7058" w:rsidP="00EC7058">
      <w:pPr>
        <w:pStyle w:val="Normal0"/>
        <w:spacing w:line="259" w:lineRule="auto"/>
        <w:jc w:val="both"/>
        <w:rPr>
          <w:rFonts w:ascii="Arial" w:hAnsi="Arial" w:cs="Arial"/>
          <w:sz w:val="22"/>
          <w:szCs w:val="22"/>
          <w:lang w:val="en-GB"/>
        </w:rPr>
      </w:pPr>
      <w:r w:rsidRPr="000D67C6">
        <w:rPr>
          <w:rFonts w:ascii="Arial" w:hAnsi="Arial" w:cs="Arial"/>
          <w:sz w:val="22"/>
          <w:szCs w:val="22"/>
          <w:lang w:val="en-GB"/>
        </w:rPr>
        <w:t xml:space="preserve">There has been one material event after the balance sheet date: </w:t>
      </w:r>
    </w:p>
    <w:p w14:paraId="557044CB" w14:textId="77777777" w:rsidR="00EC7058" w:rsidRPr="000D67C6" w:rsidRDefault="00EC7058" w:rsidP="00EC7058">
      <w:pPr>
        <w:pStyle w:val="Normal0"/>
        <w:spacing w:line="259" w:lineRule="auto"/>
        <w:jc w:val="both"/>
        <w:rPr>
          <w:rFonts w:ascii="Arial" w:hAnsi="Arial" w:cs="Arial"/>
          <w:sz w:val="22"/>
          <w:szCs w:val="22"/>
          <w:lang w:val="en-GB"/>
        </w:rPr>
      </w:pPr>
    </w:p>
    <w:p w14:paraId="384C50A9" w14:textId="708AFAC1" w:rsidR="00EC7058" w:rsidRPr="000D67C6" w:rsidRDefault="00EC7058" w:rsidP="00EC7058">
      <w:pPr>
        <w:pStyle w:val="Normal0"/>
        <w:spacing w:line="259" w:lineRule="auto"/>
        <w:jc w:val="both"/>
        <w:rPr>
          <w:rFonts w:ascii="Arial" w:hAnsi="Arial" w:cs="Arial"/>
          <w:sz w:val="22"/>
          <w:szCs w:val="22"/>
          <w:lang w:val="en-GB"/>
        </w:rPr>
      </w:pPr>
      <w:r w:rsidRPr="000D67C6">
        <w:rPr>
          <w:rFonts w:ascii="Arial" w:hAnsi="Arial" w:cs="Arial"/>
          <w:sz w:val="22"/>
          <w:szCs w:val="22"/>
          <w:lang w:val="en-GB"/>
        </w:rPr>
        <w:t>In December 2018, the Court of Appeal ruled against the Government, holding that changes made to pension schemes discriminated against a group of firefighters and a group of judges on the grounds of age. These cases are referred to as McCloud/Sergeant.  The Government requested leave to appeal this decision but on Thursday, 27th June 2019, the Supreme Court denied the Government’s application. There was sufficient evidence that these judgements apply to both Fire Fighters Pension Scheme and the Local Government Pension Scheme and there was also sufficient data to make a reliable estimate for accounting purposes. On this basis we have included an estimate of the impact on these schemes in our financial statements by increasing in year past service costs by £</w:t>
      </w:r>
      <w:r w:rsidR="00644CE5">
        <w:rPr>
          <w:rFonts w:ascii="Arial" w:hAnsi="Arial" w:cs="Arial"/>
          <w:sz w:val="22"/>
          <w:szCs w:val="22"/>
          <w:lang w:val="en-GB"/>
        </w:rPr>
        <w:t>24.621</w:t>
      </w:r>
      <w:r w:rsidR="006960D8" w:rsidRPr="000D67C6">
        <w:rPr>
          <w:rFonts w:ascii="Arial" w:hAnsi="Arial" w:cs="Arial"/>
          <w:sz w:val="22"/>
          <w:szCs w:val="22"/>
          <w:lang w:val="en-GB"/>
        </w:rPr>
        <w:t>m</w:t>
      </w:r>
      <w:r w:rsidRPr="000D67C6">
        <w:rPr>
          <w:rFonts w:ascii="Arial" w:hAnsi="Arial" w:cs="Arial"/>
          <w:sz w:val="22"/>
          <w:szCs w:val="22"/>
          <w:lang w:val="en-GB"/>
        </w:rPr>
        <w:t>, uplifting our period end pensions liabilities by the same amount.</w:t>
      </w:r>
    </w:p>
    <w:p w14:paraId="3B62AA67" w14:textId="77777777" w:rsidR="0091096F" w:rsidRPr="00C06317" w:rsidRDefault="0091096F" w:rsidP="0091096F">
      <w:pPr>
        <w:rPr>
          <w:rFonts w:ascii="Arial" w:hAnsi="Arial" w:cs="Arial"/>
          <w:sz w:val="28"/>
          <w:lang w:val="en-GB"/>
        </w:rPr>
      </w:pPr>
    </w:p>
    <w:p w14:paraId="698CF1F0" w14:textId="41E13379" w:rsidR="008F013B" w:rsidRPr="00C06317" w:rsidRDefault="005F2756" w:rsidP="0091096F">
      <w:pPr>
        <w:rPr>
          <w:rFonts w:ascii="Arial" w:hAnsi="Arial" w:cs="Arial"/>
          <w:b/>
          <w:sz w:val="28"/>
          <w:lang w:val="en-GB"/>
        </w:rPr>
      </w:pPr>
      <w:r w:rsidRPr="00C06317">
        <w:rPr>
          <w:rFonts w:ascii="Arial" w:hAnsi="Arial" w:cs="Arial"/>
          <w:b/>
          <w:sz w:val="28"/>
          <w:lang w:val="en-GB"/>
        </w:rPr>
        <w:t>Note 6</w:t>
      </w:r>
      <w:r w:rsidR="008F013B" w:rsidRPr="00C06317">
        <w:rPr>
          <w:rFonts w:ascii="Arial" w:hAnsi="Arial" w:cs="Arial"/>
          <w:b/>
          <w:sz w:val="28"/>
          <w:lang w:val="en-GB"/>
        </w:rPr>
        <w:t xml:space="preserve"> - Note to the Expenditure and Funding Analysis</w:t>
      </w:r>
    </w:p>
    <w:p w14:paraId="5F2A7B52" w14:textId="77777777" w:rsidR="00D00E4E" w:rsidRPr="00C06317" w:rsidRDefault="00D00E4E" w:rsidP="00D00E4E">
      <w:pPr>
        <w:rPr>
          <w:rFonts w:ascii="Arial" w:hAnsi="Arial" w:cs="Arial"/>
          <w:sz w:val="22"/>
          <w:lang w:val="en-GB"/>
        </w:rPr>
      </w:pPr>
    </w:p>
    <w:tbl>
      <w:tblPr>
        <w:tblW w:w="8931" w:type="dxa"/>
        <w:jc w:val="center"/>
        <w:tblLayout w:type="fixed"/>
        <w:tblLook w:val="04A0" w:firstRow="1" w:lastRow="0" w:firstColumn="1" w:lastColumn="0" w:noHBand="0" w:noVBand="1"/>
      </w:tblPr>
      <w:tblGrid>
        <w:gridCol w:w="2552"/>
        <w:gridCol w:w="1288"/>
        <w:gridCol w:w="1455"/>
        <w:gridCol w:w="1276"/>
        <w:gridCol w:w="1367"/>
        <w:gridCol w:w="993"/>
      </w:tblGrid>
      <w:tr w:rsidR="002269F9" w:rsidRPr="000D67C6" w14:paraId="28CA0905" w14:textId="77777777" w:rsidTr="00F254B6">
        <w:trPr>
          <w:trHeight w:val="255"/>
          <w:jc w:val="center"/>
        </w:trPr>
        <w:tc>
          <w:tcPr>
            <w:tcW w:w="2552" w:type="dxa"/>
            <w:shd w:val="clear" w:color="auto" w:fill="auto"/>
            <w:tcMar>
              <w:top w:w="20" w:type="dxa"/>
              <w:left w:w="20" w:type="dxa"/>
              <w:bottom w:w="20" w:type="dxa"/>
              <w:right w:w="20" w:type="dxa"/>
            </w:tcMar>
            <w:vAlign w:val="bottom"/>
          </w:tcPr>
          <w:p w14:paraId="7BC9F1A5" w14:textId="77777777" w:rsidR="00464E99" w:rsidRPr="000D67C6" w:rsidRDefault="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6379" w:type="dxa"/>
            <w:gridSpan w:val="5"/>
            <w:shd w:val="clear" w:color="auto" w:fill="auto"/>
            <w:tcMar>
              <w:top w:w="20" w:type="dxa"/>
              <w:left w:w="20" w:type="dxa"/>
              <w:bottom w:w="20" w:type="dxa"/>
              <w:right w:w="20" w:type="dxa"/>
            </w:tcMar>
            <w:vAlign w:val="bottom"/>
          </w:tcPr>
          <w:p w14:paraId="0D48469F" w14:textId="77777777" w:rsidR="00464E99" w:rsidRPr="000D67C6" w:rsidRDefault="00591F0F">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201</w:t>
            </w:r>
            <w:r w:rsidR="00790DD4" w:rsidRPr="000D67C6">
              <w:rPr>
                <w:rFonts w:ascii="Arial" w:eastAsia="Verdana" w:hAnsi="Arial" w:cs="Arial"/>
                <w:b/>
                <w:sz w:val="20"/>
                <w:szCs w:val="20"/>
                <w:lang w:val="en-GB"/>
              </w:rPr>
              <w:t>8</w:t>
            </w:r>
            <w:r w:rsidRPr="000D67C6">
              <w:rPr>
                <w:rFonts w:ascii="Arial" w:eastAsia="Verdana" w:hAnsi="Arial" w:cs="Arial"/>
                <w:b/>
                <w:sz w:val="20"/>
                <w:szCs w:val="20"/>
                <w:lang w:val="en-GB"/>
              </w:rPr>
              <w:t>/1</w:t>
            </w:r>
            <w:r w:rsidR="00790DD4" w:rsidRPr="000D67C6">
              <w:rPr>
                <w:rFonts w:ascii="Arial" w:eastAsia="Verdana" w:hAnsi="Arial" w:cs="Arial"/>
                <w:b/>
                <w:sz w:val="20"/>
                <w:szCs w:val="20"/>
                <w:lang w:val="en-GB"/>
              </w:rPr>
              <w:t>9</w:t>
            </w:r>
          </w:p>
        </w:tc>
      </w:tr>
      <w:tr w:rsidR="002269F9" w:rsidRPr="000D67C6" w14:paraId="30E4B3FC" w14:textId="77777777" w:rsidTr="00F254B6">
        <w:trPr>
          <w:gridAfter w:val="1"/>
          <w:wAfter w:w="993" w:type="dxa"/>
          <w:trHeight w:val="690"/>
          <w:jc w:val="center"/>
        </w:trPr>
        <w:tc>
          <w:tcPr>
            <w:tcW w:w="2552" w:type="dxa"/>
            <w:shd w:val="clear" w:color="auto" w:fill="auto"/>
            <w:tcMar>
              <w:top w:w="20" w:type="dxa"/>
              <w:left w:w="20" w:type="dxa"/>
              <w:bottom w:w="20" w:type="dxa"/>
              <w:right w:w="20" w:type="dxa"/>
            </w:tcMar>
            <w:vAlign w:val="bottom"/>
          </w:tcPr>
          <w:p w14:paraId="69C8D4B0" w14:textId="77777777" w:rsidR="006E4EA7" w:rsidRPr="000D67C6" w:rsidRDefault="006E4EA7">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288" w:type="dxa"/>
            <w:shd w:val="clear" w:color="auto" w:fill="auto"/>
            <w:tcMar>
              <w:top w:w="20" w:type="dxa"/>
              <w:left w:w="20" w:type="dxa"/>
              <w:bottom w:w="20" w:type="dxa"/>
              <w:right w:w="20" w:type="dxa"/>
            </w:tcMar>
          </w:tcPr>
          <w:p w14:paraId="589455E7"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 Capital Statutory Adjustments</w:t>
            </w:r>
          </w:p>
        </w:tc>
        <w:tc>
          <w:tcPr>
            <w:tcW w:w="1455" w:type="dxa"/>
            <w:shd w:val="clear" w:color="auto" w:fill="auto"/>
            <w:tcMar>
              <w:top w:w="20" w:type="dxa"/>
              <w:left w:w="20" w:type="dxa"/>
              <w:bottom w:w="20" w:type="dxa"/>
              <w:right w:w="20" w:type="dxa"/>
            </w:tcMar>
          </w:tcPr>
          <w:p w14:paraId="4DB06352"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 Pensions Statutory Adjustments</w:t>
            </w:r>
          </w:p>
        </w:tc>
        <w:tc>
          <w:tcPr>
            <w:tcW w:w="1276" w:type="dxa"/>
            <w:shd w:val="clear" w:color="auto" w:fill="auto"/>
            <w:tcMar>
              <w:top w:w="20" w:type="dxa"/>
              <w:left w:w="20" w:type="dxa"/>
              <w:bottom w:w="20" w:type="dxa"/>
              <w:right w:w="20" w:type="dxa"/>
            </w:tcMar>
          </w:tcPr>
          <w:p w14:paraId="02DF29EB"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Other Differences</w:t>
            </w:r>
          </w:p>
        </w:tc>
        <w:tc>
          <w:tcPr>
            <w:tcW w:w="1367" w:type="dxa"/>
            <w:shd w:val="clear" w:color="auto" w:fill="auto"/>
            <w:tcMar>
              <w:top w:w="20" w:type="dxa"/>
              <w:left w:w="20" w:type="dxa"/>
              <w:bottom w:w="20" w:type="dxa"/>
              <w:right w:w="20" w:type="dxa"/>
            </w:tcMar>
          </w:tcPr>
          <w:p w14:paraId="4657C9C7"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Total Adjustments</w:t>
            </w:r>
          </w:p>
        </w:tc>
      </w:tr>
      <w:tr w:rsidR="002269F9" w:rsidRPr="000D67C6" w14:paraId="7874B6B6" w14:textId="77777777" w:rsidTr="00F254B6">
        <w:trPr>
          <w:gridAfter w:val="1"/>
          <w:wAfter w:w="993" w:type="dxa"/>
          <w:trHeight w:val="48"/>
          <w:jc w:val="center"/>
        </w:trPr>
        <w:tc>
          <w:tcPr>
            <w:tcW w:w="2552" w:type="dxa"/>
            <w:tcBorders>
              <w:bottom w:val="single" w:sz="4" w:space="0" w:color="auto"/>
            </w:tcBorders>
            <w:shd w:val="clear" w:color="auto" w:fill="auto"/>
            <w:tcMar>
              <w:top w:w="20" w:type="dxa"/>
              <w:left w:w="20" w:type="dxa"/>
              <w:bottom w:w="20" w:type="dxa"/>
              <w:right w:w="20" w:type="dxa"/>
            </w:tcMar>
            <w:vAlign w:val="bottom"/>
          </w:tcPr>
          <w:p w14:paraId="50D9891C" w14:textId="77777777" w:rsidR="006E4EA7" w:rsidRPr="000D67C6" w:rsidRDefault="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288" w:type="dxa"/>
            <w:tcBorders>
              <w:bottom w:val="single" w:sz="4" w:space="0" w:color="auto"/>
            </w:tcBorders>
            <w:shd w:val="clear" w:color="auto" w:fill="auto"/>
            <w:tcMar>
              <w:top w:w="20" w:type="dxa"/>
              <w:left w:w="20" w:type="dxa"/>
              <w:bottom w:w="20" w:type="dxa"/>
              <w:right w:w="20" w:type="dxa"/>
            </w:tcMar>
            <w:vAlign w:val="bottom"/>
          </w:tcPr>
          <w:p w14:paraId="446DEAB6" w14:textId="77777777" w:rsidR="006E4EA7" w:rsidRPr="000D67C6" w:rsidRDefault="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55" w:type="dxa"/>
            <w:tcBorders>
              <w:bottom w:val="single" w:sz="4" w:space="0" w:color="auto"/>
            </w:tcBorders>
            <w:shd w:val="clear" w:color="auto" w:fill="auto"/>
            <w:tcMar>
              <w:top w:w="20" w:type="dxa"/>
              <w:left w:w="20" w:type="dxa"/>
              <w:bottom w:w="20" w:type="dxa"/>
              <w:right w:w="20" w:type="dxa"/>
            </w:tcMar>
            <w:vAlign w:val="bottom"/>
          </w:tcPr>
          <w:p w14:paraId="47D22567" w14:textId="77777777" w:rsidR="006E4EA7" w:rsidRPr="000D67C6" w:rsidRDefault="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276" w:type="dxa"/>
            <w:tcBorders>
              <w:bottom w:val="single" w:sz="4" w:space="0" w:color="auto"/>
            </w:tcBorders>
            <w:shd w:val="clear" w:color="auto" w:fill="auto"/>
            <w:tcMar>
              <w:top w:w="20" w:type="dxa"/>
              <w:left w:w="20" w:type="dxa"/>
              <w:bottom w:w="20" w:type="dxa"/>
              <w:right w:w="20" w:type="dxa"/>
            </w:tcMar>
            <w:vAlign w:val="bottom"/>
          </w:tcPr>
          <w:p w14:paraId="63F1BFBA" w14:textId="77777777" w:rsidR="006E4EA7" w:rsidRPr="000D67C6" w:rsidRDefault="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367" w:type="dxa"/>
            <w:tcBorders>
              <w:bottom w:val="single" w:sz="4" w:space="0" w:color="auto"/>
            </w:tcBorders>
            <w:shd w:val="clear" w:color="auto" w:fill="auto"/>
            <w:tcMar>
              <w:top w:w="20" w:type="dxa"/>
              <w:left w:w="20" w:type="dxa"/>
              <w:bottom w:w="20" w:type="dxa"/>
              <w:right w:w="20" w:type="dxa"/>
            </w:tcMar>
            <w:vAlign w:val="bottom"/>
          </w:tcPr>
          <w:p w14:paraId="4C551E35" w14:textId="77777777" w:rsidR="006E4EA7" w:rsidRPr="000D67C6" w:rsidRDefault="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2269F9" w:rsidRPr="000D67C6" w14:paraId="7648F68A" w14:textId="77777777" w:rsidTr="0028657D">
        <w:trPr>
          <w:gridAfter w:val="1"/>
          <w:wAfter w:w="993" w:type="dxa"/>
          <w:trHeight w:val="530"/>
          <w:jc w:val="center"/>
        </w:trPr>
        <w:tc>
          <w:tcPr>
            <w:tcW w:w="2552" w:type="dxa"/>
            <w:shd w:val="clear" w:color="auto" w:fill="auto"/>
            <w:tcMar>
              <w:top w:w="20" w:type="dxa"/>
              <w:left w:w="20" w:type="dxa"/>
              <w:bottom w:w="20" w:type="dxa"/>
              <w:right w:w="20" w:type="dxa"/>
            </w:tcMar>
            <w:vAlign w:val="center"/>
          </w:tcPr>
          <w:p w14:paraId="30924DB1" w14:textId="77777777" w:rsidR="006E4EA7" w:rsidRPr="000D67C6" w:rsidRDefault="006E4EA7">
            <w:pPr>
              <w:pStyle w:val="T1TableStyle"/>
              <w:rPr>
                <w:rFonts w:ascii="Arial" w:eastAsia="Verdana" w:hAnsi="Arial" w:cs="Arial"/>
                <w:sz w:val="20"/>
                <w:szCs w:val="20"/>
                <w:lang w:val="en-GB"/>
              </w:rPr>
            </w:pPr>
            <w:r w:rsidRPr="000D67C6">
              <w:rPr>
                <w:rFonts w:ascii="Arial" w:eastAsia="Verdana" w:hAnsi="Arial" w:cs="Arial"/>
                <w:sz w:val="20"/>
                <w:szCs w:val="20"/>
                <w:lang w:val="en-GB"/>
              </w:rPr>
              <w:t>Provision of Fire Services</w:t>
            </w:r>
          </w:p>
        </w:tc>
        <w:tc>
          <w:tcPr>
            <w:tcW w:w="1288" w:type="dxa"/>
            <w:shd w:val="clear" w:color="auto" w:fill="auto"/>
            <w:tcMar>
              <w:top w:w="20" w:type="dxa"/>
              <w:left w:w="20" w:type="dxa"/>
              <w:bottom w:w="20" w:type="dxa"/>
              <w:right w:w="20" w:type="dxa"/>
            </w:tcMar>
            <w:vAlign w:val="center"/>
          </w:tcPr>
          <w:p w14:paraId="77BB5697" w14:textId="7CDDB505" w:rsidR="006E4EA7" w:rsidRPr="000D67C6" w:rsidRDefault="003371C5">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w:t>
            </w:r>
            <w:r w:rsidR="00CE390C" w:rsidRPr="000D67C6">
              <w:rPr>
                <w:rFonts w:ascii="Arial" w:eastAsia="Verdana" w:hAnsi="Arial" w:cs="Arial"/>
                <w:sz w:val="20"/>
                <w:szCs w:val="20"/>
                <w:lang w:val="en-GB"/>
              </w:rPr>
              <w:t>942</w:t>
            </w:r>
          </w:p>
        </w:tc>
        <w:tc>
          <w:tcPr>
            <w:tcW w:w="1455" w:type="dxa"/>
            <w:shd w:val="clear" w:color="auto" w:fill="auto"/>
            <w:tcMar>
              <w:top w:w="20" w:type="dxa"/>
              <w:left w:w="20" w:type="dxa"/>
              <w:bottom w:w="20" w:type="dxa"/>
              <w:right w:w="20" w:type="dxa"/>
            </w:tcMar>
            <w:vAlign w:val="center"/>
          </w:tcPr>
          <w:p w14:paraId="68F5D025" w14:textId="6F8D3A9A" w:rsidR="006E4EA7" w:rsidRPr="000D67C6" w:rsidRDefault="00E244F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w:t>
            </w:r>
            <w:r w:rsidR="00994CC5">
              <w:rPr>
                <w:rFonts w:ascii="Arial" w:eastAsia="Verdana" w:hAnsi="Arial" w:cs="Arial"/>
                <w:sz w:val="20"/>
                <w:szCs w:val="20"/>
                <w:lang w:val="en-GB"/>
              </w:rPr>
              <w:t>4</w:t>
            </w:r>
            <w:r w:rsidRPr="000D67C6">
              <w:rPr>
                <w:rFonts w:ascii="Arial" w:eastAsia="Verdana" w:hAnsi="Arial" w:cs="Arial"/>
                <w:sz w:val="20"/>
                <w:szCs w:val="20"/>
                <w:lang w:val="en-GB"/>
              </w:rPr>
              <w:t>,</w:t>
            </w:r>
            <w:r w:rsidR="00994CC5">
              <w:rPr>
                <w:rFonts w:ascii="Arial" w:eastAsia="Verdana" w:hAnsi="Arial" w:cs="Arial"/>
                <w:sz w:val="20"/>
                <w:szCs w:val="20"/>
                <w:lang w:val="en-GB"/>
              </w:rPr>
              <w:t>4</w:t>
            </w:r>
            <w:r w:rsidRPr="000D67C6">
              <w:rPr>
                <w:rFonts w:ascii="Arial" w:eastAsia="Verdana" w:hAnsi="Arial" w:cs="Arial"/>
                <w:sz w:val="20"/>
                <w:szCs w:val="20"/>
                <w:lang w:val="en-GB"/>
              </w:rPr>
              <w:t>15</w:t>
            </w:r>
          </w:p>
        </w:tc>
        <w:tc>
          <w:tcPr>
            <w:tcW w:w="1276" w:type="dxa"/>
            <w:shd w:val="clear" w:color="auto" w:fill="auto"/>
            <w:tcMar>
              <w:top w:w="20" w:type="dxa"/>
              <w:left w:w="20" w:type="dxa"/>
              <w:bottom w:w="20" w:type="dxa"/>
              <w:right w:w="20" w:type="dxa"/>
            </w:tcMar>
            <w:vAlign w:val="center"/>
          </w:tcPr>
          <w:p w14:paraId="393F0DDC" w14:textId="77777777" w:rsidR="006E4EA7" w:rsidRPr="000D67C6" w:rsidRDefault="003371C5">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4</w:t>
            </w:r>
          </w:p>
        </w:tc>
        <w:tc>
          <w:tcPr>
            <w:tcW w:w="1367" w:type="dxa"/>
            <w:shd w:val="clear" w:color="auto" w:fill="auto"/>
            <w:tcMar>
              <w:top w:w="20" w:type="dxa"/>
              <w:left w:w="20" w:type="dxa"/>
              <w:bottom w:w="20" w:type="dxa"/>
              <w:right w:w="20" w:type="dxa"/>
            </w:tcMar>
            <w:vAlign w:val="center"/>
          </w:tcPr>
          <w:p w14:paraId="43037269" w14:textId="60AAB84B" w:rsidR="006E4EA7" w:rsidRPr="000D67C6" w:rsidRDefault="00926C7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w:t>
            </w:r>
            <w:r w:rsidR="0042610C">
              <w:rPr>
                <w:rFonts w:ascii="Arial" w:eastAsia="Verdana" w:hAnsi="Arial" w:cs="Arial"/>
                <w:sz w:val="20"/>
                <w:szCs w:val="20"/>
                <w:lang w:val="en-GB"/>
              </w:rPr>
              <w:t>7</w:t>
            </w:r>
            <w:r w:rsidR="004E19C5" w:rsidRPr="000D67C6">
              <w:rPr>
                <w:rFonts w:ascii="Arial" w:eastAsia="Verdana" w:hAnsi="Arial" w:cs="Arial"/>
                <w:sz w:val="20"/>
                <w:szCs w:val="20"/>
                <w:lang w:val="en-GB"/>
              </w:rPr>
              <w:t>,</w:t>
            </w:r>
            <w:r w:rsidR="0042610C">
              <w:rPr>
                <w:rFonts w:ascii="Arial" w:eastAsia="Verdana" w:hAnsi="Arial" w:cs="Arial"/>
                <w:sz w:val="20"/>
                <w:szCs w:val="20"/>
                <w:lang w:val="en-GB"/>
              </w:rPr>
              <w:t>3</w:t>
            </w:r>
            <w:r w:rsidR="004E19C5" w:rsidRPr="000D67C6">
              <w:rPr>
                <w:rFonts w:ascii="Arial" w:eastAsia="Verdana" w:hAnsi="Arial" w:cs="Arial"/>
                <w:sz w:val="20"/>
                <w:szCs w:val="20"/>
                <w:lang w:val="en-GB"/>
              </w:rPr>
              <w:t>61</w:t>
            </w:r>
          </w:p>
        </w:tc>
      </w:tr>
      <w:tr w:rsidR="002269F9" w:rsidRPr="000D67C6" w14:paraId="42A63465" w14:textId="77777777" w:rsidTr="0028657D">
        <w:trPr>
          <w:gridAfter w:val="1"/>
          <w:wAfter w:w="993" w:type="dxa"/>
          <w:trHeight w:val="391"/>
          <w:jc w:val="center"/>
        </w:trPr>
        <w:tc>
          <w:tcPr>
            <w:tcW w:w="2552" w:type="dxa"/>
            <w:tcBorders>
              <w:top w:val="single" w:sz="2" w:space="0" w:color="000000"/>
            </w:tcBorders>
            <w:shd w:val="clear" w:color="auto" w:fill="auto"/>
            <w:tcMar>
              <w:top w:w="20" w:type="dxa"/>
              <w:left w:w="20" w:type="dxa"/>
              <w:bottom w:w="20" w:type="dxa"/>
              <w:right w:w="20" w:type="dxa"/>
            </w:tcMar>
            <w:vAlign w:val="center"/>
          </w:tcPr>
          <w:p w14:paraId="68270883" w14:textId="77777777" w:rsidR="006E4EA7" w:rsidRPr="000D67C6" w:rsidRDefault="006E4EA7" w:rsidP="006E4EA7">
            <w:pPr>
              <w:pStyle w:val="T1TableStyle"/>
              <w:rPr>
                <w:rFonts w:ascii="Arial" w:eastAsia="Verdana" w:hAnsi="Arial" w:cs="Arial"/>
                <w:b/>
                <w:sz w:val="20"/>
                <w:szCs w:val="20"/>
                <w:lang w:val="en-GB"/>
              </w:rPr>
            </w:pPr>
            <w:r w:rsidRPr="000D67C6">
              <w:rPr>
                <w:rFonts w:ascii="Arial" w:eastAsia="Verdana" w:hAnsi="Arial" w:cs="Arial"/>
                <w:b/>
                <w:sz w:val="20"/>
                <w:szCs w:val="20"/>
                <w:lang w:val="en-GB"/>
              </w:rPr>
              <w:t>Net Cost of Services</w:t>
            </w:r>
          </w:p>
        </w:tc>
        <w:tc>
          <w:tcPr>
            <w:tcW w:w="1288" w:type="dxa"/>
            <w:tcBorders>
              <w:top w:val="single" w:sz="2" w:space="0" w:color="000000"/>
            </w:tcBorders>
            <w:shd w:val="clear" w:color="auto" w:fill="auto"/>
            <w:tcMar>
              <w:top w:w="20" w:type="dxa"/>
              <w:left w:w="20" w:type="dxa"/>
              <w:bottom w:w="20" w:type="dxa"/>
              <w:right w:w="20" w:type="dxa"/>
            </w:tcMar>
            <w:vAlign w:val="center"/>
          </w:tcPr>
          <w:p w14:paraId="3C7E7783" w14:textId="14CCE387" w:rsidR="006E4EA7" w:rsidRPr="000D67C6" w:rsidRDefault="00B32C6E"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w:t>
            </w:r>
            <w:r w:rsidR="009C487A" w:rsidRPr="000D67C6">
              <w:rPr>
                <w:rFonts w:ascii="Arial" w:eastAsia="Verdana" w:hAnsi="Arial" w:cs="Arial"/>
                <w:b/>
                <w:sz w:val="20"/>
                <w:szCs w:val="20"/>
                <w:lang w:val="en-GB"/>
              </w:rPr>
              <w:t>942</w:t>
            </w:r>
          </w:p>
        </w:tc>
        <w:tc>
          <w:tcPr>
            <w:tcW w:w="1455" w:type="dxa"/>
            <w:tcBorders>
              <w:top w:val="single" w:sz="2" w:space="0" w:color="000000"/>
            </w:tcBorders>
            <w:shd w:val="clear" w:color="auto" w:fill="auto"/>
            <w:tcMar>
              <w:top w:w="20" w:type="dxa"/>
              <w:left w:w="20" w:type="dxa"/>
              <w:bottom w:w="20" w:type="dxa"/>
              <w:right w:w="20" w:type="dxa"/>
            </w:tcMar>
            <w:vAlign w:val="center"/>
          </w:tcPr>
          <w:p w14:paraId="5ABBA1F9" w14:textId="66ABC5A3" w:rsidR="006E4EA7" w:rsidRPr="000D67C6" w:rsidRDefault="00461FDC"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w:t>
            </w:r>
            <w:r w:rsidR="000930B3">
              <w:rPr>
                <w:rFonts w:ascii="Arial" w:eastAsia="Verdana" w:hAnsi="Arial" w:cs="Arial"/>
                <w:b/>
                <w:sz w:val="20"/>
                <w:szCs w:val="20"/>
                <w:lang w:val="en-GB"/>
              </w:rPr>
              <w:t>4</w:t>
            </w:r>
            <w:r w:rsidRPr="000D67C6">
              <w:rPr>
                <w:rFonts w:ascii="Arial" w:eastAsia="Verdana" w:hAnsi="Arial" w:cs="Arial"/>
                <w:b/>
                <w:sz w:val="20"/>
                <w:szCs w:val="20"/>
                <w:lang w:val="en-GB"/>
              </w:rPr>
              <w:t>,</w:t>
            </w:r>
            <w:r w:rsidR="000930B3">
              <w:rPr>
                <w:rFonts w:ascii="Arial" w:eastAsia="Verdana" w:hAnsi="Arial" w:cs="Arial"/>
                <w:b/>
                <w:sz w:val="20"/>
                <w:szCs w:val="20"/>
                <w:lang w:val="en-GB"/>
              </w:rPr>
              <w:t>4</w:t>
            </w:r>
            <w:r w:rsidRPr="000D67C6">
              <w:rPr>
                <w:rFonts w:ascii="Arial" w:eastAsia="Verdana" w:hAnsi="Arial" w:cs="Arial"/>
                <w:b/>
                <w:sz w:val="20"/>
                <w:szCs w:val="20"/>
                <w:lang w:val="en-GB"/>
              </w:rPr>
              <w:t>15</w:t>
            </w:r>
          </w:p>
        </w:tc>
        <w:tc>
          <w:tcPr>
            <w:tcW w:w="1276" w:type="dxa"/>
            <w:tcBorders>
              <w:top w:val="single" w:sz="2" w:space="0" w:color="000000"/>
            </w:tcBorders>
            <w:shd w:val="clear" w:color="auto" w:fill="auto"/>
            <w:tcMar>
              <w:top w:w="20" w:type="dxa"/>
              <w:left w:w="20" w:type="dxa"/>
              <w:bottom w:w="20" w:type="dxa"/>
              <w:right w:w="20" w:type="dxa"/>
            </w:tcMar>
            <w:vAlign w:val="center"/>
          </w:tcPr>
          <w:p w14:paraId="6B41AEF0" w14:textId="77777777" w:rsidR="006E4EA7" w:rsidRPr="000D67C6" w:rsidRDefault="00B32C6E"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w:t>
            </w:r>
          </w:p>
        </w:tc>
        <w:tc>
          <w:tcPr>
            <w:tcW w:w="1367" w:type="dxa"/>
            <w:tcBorders>
              <w:top w:val="single" w:sz="2" w:space="0" w:color="000000"/>
            </w:tcBorders>
            <w:shd w:val="clear" w:color="auto" w:fill="auto"/>
            <w:tcMar>
              <w:top w:w="20" w:type="dxa"/>
              <w:left w:w="20" w:type="dxa"/>
              <w:bottom w:w="20" w:type="dxa"/>
              <w:right w:w="20" w:type="dxa"/>
            </w:tcMar>
            <w:vAlign w:val="center"/>
          </w:tcPr>
          <w:p w14:paraId="51E11317" w14:textId="0653736A" w:rsidR="006E4EA7" w:rsidRPr="000D67C6" w:rsidRDefault="00926C74"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w:t>
            </w:r>
            <w:r w:rsidR="00B401F1">
              <w:rPr>
                <w:rFonts w:ascii="Arial" w:eastAsia="Verdana" w:hAnsi="Arial" w:cs="Arial"/>
                <w:b/>
                <w:sz w:val="20"/>
                <w:szCs w:val="20"/>
                <w:lang w:val="en-GB"/>
              </w:rPr>
              <w:t>7</w:t>
            </w:r>
            <w:r w:rsidR="00280F00" w:rsidRPr="000D67C6">
              <w:rPr>
                <w:rFonts w:ascii="Arial" w:eastAsia="Verdana" w:hAnsi="Arial" w:cs="Arial"/>
                <w:b/>
                <w:sz w:val="20"/>
                <w:szCs w:val="20"/>
                <w:lang w:val="en-GB"/>
              </w:rPr>
              <w:t>,</w:t>
            </w:r>
            <w:r w:rsidR="00B401F1">
              <w:rPr>
                <w:rFonts w:ascii="Arial" w:eastAsia="Verdana" w:hAnsi="Arial" w:cs="Arial"/>
                <w:b/>
                <w:sz w:val="20"/>
                <w:szCs w:val="20"/>
                <w:lang w:val="en-GB"/>
              </w:rPr>
              <w:t>3</w:t>
            </w:r>
            <w:r w:rsidR="00280F00" w:rsidRPr="000D67C6">
              <w:rPr>
                <w:rFonts w:ascii="Arial" w:eastAsia="Verdana" w:hAnsi="Arial" w:cs="Arial"/>
                <w:b/>
                <w:sz w:val="20"/>
                <w:szCs w:val="20"/>
                <w:lang w:val="en-GB"/>
              </w:rPr>
              <w:t>61</w:t>
            </w:r>
          </w:p>
        </w:tc>
      </w:tr>
      <w:tr w:rsidR="002269F9" w:rsidRPr="000D67C6" w14:paraId="4B7F64B2" w14:textId="77777777" w:rsidTr="004C56A8">
        <w:trPr>
          <w:gridAfter w:val="1"/>
          <w:wAfter w:w="993" w:type="dxa"/>
          <w:trHeight w:val="516"/>
          <w:jc w:val="center"/>
        </w:trPr>
        <w:tc>
          <w:tcPr>
            <w:tcW w:w="2552" w:type="dxa"/>
            <w:shd w:val="clear" w:color="auto" w:fill="auto"/>
            <w:tcMar>
              <w:top w:w="20" w:type="dxa"/>
              <w:left w:w="20" w:type="dxa"/>
              <w:bottom w:w="20" w:type="dxa"/>
              <w:right w:w="20" w:type="dxa"/>
            </w:tcMar>
            <w:vAlign w:val="center"/>
          </w:tcPr>
          <w:p w14:paraId="7D34D4C3" w14:textId="77777777" w:rsidR="006E4EA7" w:rsidRPr="000D67C6" w:rsidRDefault="006E4EA7">
            <w:pPr>
              <w:pStyle w:val="T1TableStyle"/>
              <w:rPr>
                <w:rFonts w:ascii="Arial" w:eastAsia="Verdana" w:hAnsi="Arial" w:cs="Arial"/>
                <w:sz w:val="20"/>
                <w:szCs w:val="20"/>
                <w:lang w:val="en-GB"/>
              </w:rPr>
            </w:pPr>
            <w:r w:rsidRPr="000D67C6">
              <w:rPr>
                <w:rFonts w:ascii="Arial" w:eastAsia="Verdana" w:hAnsi="Arial" w:cs="Arial"/>
                <w:sz w:val="20"/>
                <w:szCs w:val="20"/>
                <w:lang w:val="en-GB"/>
              </w:rPr>
              <w:t>Other Income and Expenditure</w:t>
            </w:r>
          </w:p>
        </w:tc>
        <w:tc>
          <w:tcPr>
            <w:tcW w:w="1288" w:type="dxa"/>
            <w:shd w:val="clear" w:color="auto" w:fill="auto"/>
            <w:tcMar>
              <w:top w:w="20" w:type="dxa"/>
              <w:left w:w="20" w:type="dxa"/>
              <w:bottom w:w="20" w:type="dxa"/>
              <w:right w:w="20" w:type="dxa"/>
            </w:tcMar>
            <w:vAlign w:val="center"/>
          </w:tcPr>
          <w:p w14:paraId="6ED34761" w14:textId="77777777" w:rsidR="006E4EA7" w:rsidRPr="000D67C6" w:rsidRDefault="00B32C6E">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(2,613)</w:t>
            </w:r>
          </w:p>
        </w:tc>
        <w:tc>
          <w:tcPr>
            <w:tcW w:w="1455" w:type="dxa"/>
            <w:shd w:val="clear" w:color="auto" w:fill="auto"/>
            <w:tcMar>
              <w:top w:w="20" w:type="dxa"/>
              <w:left w:w="20" w:type="dxa"/>
              <w:bottom w:w="20" w:type="dxa"/>
              <w:right w:w="20" w:type="dxa"/>
            </w:tcMar>
            <w:vAlign w:val="center"/>
          </w:tcPr>
          <w:p w14:paraId="3A664EE6" w14:textId="77777777" w:rsidR="006E4EA7" w:rsidRPr="000D67C6" w:rsidRDefault="00B32C6E">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12,845</w:t>
            </w:r>
          </w:p>
        </w:tc>
        <w:tc>
          <w:tcPr>
            <w:tcW w:w="1276" w:type="dxa"/>
            <w:shd w:val="clear" w:color="auto" w:fill="auto"/>
            <w:tcMar>
              <w:top w:w="20" w:type="dxa"/>
              <w:left w:w="20" w:type="dxa"/>
              <w:bottom w:w="20" w:type="dxa"/>
              <w:right w:w="20" w:type="dxa"/>
            </w:tcMar>
            <w:vAlign w:val="center"/>
          </w:tcPr>
          <w:p w14:paraId="01ED8E5F" w14:textId="77777777" w:rsidR="006E4EA7" w:rsidRPr="000D67C6" w:rsidRDefault="00B32C6E">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367" w:type="dxa"/>
            <w:shd w:val="clear" w:color="auto" w:fill="auto"/>
            <w:tcMar>
              <w:top w:w="20" w:type="dxa"/>
              <w:left w:w="20" w:type="dxa"/>
              <w:bottom w:w="20" w:type="dxa"/>
              <w:right w:w="20" w:type="dxa"/>
            </w:tcMar>
            <w:vAlign w:val="center"/>
          </w:tcPr>
          <w:p w14:paraId="117B8A90" w14:textId="77777777" w:rsidR="006E4EA7" w:rsidRPr="000D67C6" w:rsidRDefault="00B32C6E">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10,232</w:t>
            </w:r>
          </w:p>
        </w:tc>
      </w:tr>
      <w:tr w:rsidR="002269F9" w:rsidRPr="000D67C6" w14:paraId="2049AEC0" w14:textId="77777777" w:rsidTr="0028657D">
        <w:trPr>
          <w:gridAfter w:val="1"/>
          <w:wAfter w:w="993" w:type="dxa"/>
          <w:trHeight w:val="1088"/>
          <w:jc w:val="center"/>
        </w:trPr>
        <w:tc>
          <w:tcPr>
            <w:tcW w:w="255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146DBD9" w14:textId="77777777" w:rsidR="006E4EA7" w:rsidRPr="000D67C6" w:rsidRDefault="006E4EA7">
            <w:pPr>
              <w:pStyle w:val="T1TableStyle"/>
              <w:rPr>
                <w:rFonts w:ascii="Arial" w:eastAsia="Verdana" w:hAnsi="Arial" w:cs="Arial"/>
                <w:b/>
                <w:sz w:val="20"/>
                <w:szCs w:val="20"/>
                <w:lang w:val="en-GB"/>
              </w:rPr>
            </w:pPr>
            <w:r w:rsidRPr="000D67C6">
              <w:rPr>
                <w:rFonts w:ascii="Arial" w:eastAsia="Verdana" w:hAnsi="Arial" w:cs="Arial"/>
                <w:b/>
                <w:sz w:val="20"/>
                <w:szCs w:val="20"/>
                <w:lang w:val="en-GB"/>
              </w:rPr>
              <w:t>Difference between the Statutory Charge and the Surplus or Deficit in the Comprehensive Income and Expenditure Statement</w:t>
            </w:r>
          </w:p>
        </w:tc>
        <w:tc>
          <w:tcPr>
            <w:tcW w:w="128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6D1635" w14:textId="634C1BA6" w:rsidR="006E4EA7" w:rsidRPr="000D67C6" w:rsidRDefault="009C487A">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329</w:t>
            </w:r>
          </w:p>
        </w:tc>
        <w:tc>
          <w:tcPr>
            <w:tcW w:w="14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1F9CB30" w14:textId="454E519F" w:rsidR="006E4EA7" w:rsidRPr="000D67C6" w:rsidRDefault="00FF245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4A3505">
              <w:rPr>
                <w:rFonts w:ascii="Arial" w:eastAsia="Verdana" w:hAnsi="Arial" w:cs="Arial"/>
                <w:b/>
                <w:sz w:val="20"/>
                <w:szCs w:val="20"/>
                <w:lang w:val="en-GB"/>
              </w:rPr>
              <w:t>7</w:t>
            </w:r>
            <w:r w:rsidRPr="000D67C6">
              <w:rPr>
                <w:rFonts w:ascii="Arial" w:eastAsia="Verdana" w:hAnsi="Arial" w:cs="Arial"/>
                <w:b/>
                <w:sz w:val="20"/>
                <w:szCs w:val="20"/>
                <w:lang w:val="en-GB"/>
              </w:rPr>
              <w:t>,</w:t>
            </w:r>
            <w:r w:rsidR="004A3505">
              <w:rPr>
                <w:rFonts w:ascii="Arial" w:eastAsia="Verdana" w:hAnsi="Arial" w:cs="Arial"/>
                <w:b/>
                <w:sz w:val="20"/>
                <w:szCs w:val="20"/>
                <w:lang w:val="en-GB"/>
              </w:rPr>
              <w:t>2</w:t>
            </w:r>
            <w:r w:rsidRPr="000D67C6">
              <w:rPr>
                <w:rFonts w:ascii="Arial" w:eastAsia="Verdana" w:hAnsi="Arial" w:cs="Arial"/>
                <w:b/>
                <w:sz w:val="20"/>
                <w:szCs w:val="20"/>
                <w:lang w:val="en-GB"/>
              </w:rPr>
              <w:t>60</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F4EBC5" w14:textId="77777777" w:rsidR="006E4EA7" w:rsidRPr="000D67C6" w:rsidRDefault="00B32C6E">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w:t>
            </w:r>
          </w:p>
        </w:tc>
        <w:tc>
          <w:tcPr>
            <w:tcW w:w="136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D05BDA8" w14:textId="5A97EC59" w:rsidR="006E4EA7" w:rsidRPr="000D67C6" w:rsidRDefault="00FF2452">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w:t>
            </w:r>
            <w:r w:rsidR="00447350">
              <w:rPr>
                <w:rFonts w:ascii="Arial" w:eastAsia="Verdana" w:hAnsi="Arial" w:cs="Arial"/>
                <w:b/>
                <w:sz w:val="20"/>
                <w:szCs w:val="20"/>
                <w:lang w:val="en-GB"/>
              </w:rPr>
              <w:t>7</w:t>
            </w:r>
            <w:r w:rsidRPr="000D67C6">
              <w:rPr>
                <w:rFonts w:ascii="Arial" w:eastAsia="Verdana" w:hAnsi="Arial" w:cs="Arial"/>
                <w:b/>
                <w:sz w:val="20"/>
                <w:szCs w:val="20"/>
                <w:lang w:val="en-GB"/>
              </w:rPr>
              <w:t>,</w:t>
            </w:r>
            <w:r w:rsidR="00447350">
              <w:rPr>
                <w:rFonts w:ascii="Arial" w:eastAsia="Verdana" w:hAnsi="Arial" w:cs="Arial"/>
                <w:b/>
                <w:sz w:val="20"/>
                <w:szCs w:val="20"/>
                <w:lang w:val="en-GB"/>
              </w:rPr>
              <w:t>5</w:t>
            </w:r>
            <w:r w:rsidRPr="000D67C6">
              <w:rPr>
                <w:rFonts w:ascii="Arial" w:eastAsia="Verdana" w:hAnsi="Arial" w:cs="Arial"/>
                <w:b/>
                <w:sz w:val="20"/>
                <w:szCs w:val="20"/>
                <w:lang w:val="en-GB"/>
              </w:rPr>
              <w:t>93</w:t>
            </w:r>
          </w:p>
        </w:tc>
      </w:tr>
    </w:tbl>
    <w:p w14:paraId="45C1B1A0" w14:textId="77777777" w:rsidR="008F013B" w:rsidRPr="000D67C6" w:rsidRDefault="008F013B">
      <w:pPr>
        <w:pStyle w:val="T1TableStyle"/>
        <w:rPr>
          <w:rFonts w:ascii="Arial" w:hAnsi="Arial" w:cs="Arial"/>
          <w:szCs w:val="22"/>
          <w:lang w:val="en-GB"/>
        </w:rPr>
      </w:pPr>
    </w:p>
    <w:tbl>
      <w:tblPr>
        <w:tblW w:w="8931" w:type="dxa"/>
        <w:tblLayout w:type="fixed"/>
        <w:tblLook w:val="04A0" w:firstRow="1" w:lastRow="0" w:firstColumn="1" w:lastColumn="0" w:noHBand="0" w:noVBand="1"/>
      </w:tblPr>
      <w:tblGrid>
        <w:gridCol w:w="2385"/>
        <w:gridCol w:w="1455"/>
        <w:gridCol w:w="1455"/>
        <w:gridCol w:w="1276"/>
        <w:gridCol w:w="1367"/>
        <w:gridCol w:w="993"/>
      </w:tblGrid>
      <w:tr w:rsidR="00464E99" w:rsidRPr="000D67C6" w14:paraId="1232FE39" w14:textId="77777777" w:rsidTr="00943A64">
        <w:trPr>
          <w:trHeight w:val="300"/>
        </w:trPr>
        <w:tc>
          <w:tcPr>
            <w:tcW w:w="2385" w:type="dxa"/>
            <w:shd w:val="clear" w:color="auto" w:fill="auto"/>
            <w:tcMar>
              <w:top w:w="20" w:type="dxa"/>
              <w:left w:w="20" w:type="dxa"/>
              <w:bottom w:w="20" w:type="dxa"/>
              <w:right w:w="20" w:type="dxa"/>
            </w:tcMar>
            <w:vAlign w:val="bottom"/>
          </w:tcPr>
          <w:p w14:paraId="32C8119B" w14:textId="77777777" w:rsidR="00464E99" w:rsidRPr="000D67C6" w:rsidRDefault="008F013B" w:rsidP="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6546" w:type="dxa"/>
            <w:gridSpan w:val="5"/>
            <w:shd w:val="clear" w:color="auto" w:fill="auto"/>
            <w:tcMar>
              <w:top w:w="20" w:type="dxa"/>
              <w:left w:w="20" w:type="dxa"/>
              <w:bottom w:w="20" w:type="dxa"/>
              <w:right w:w="20" w:type="dxa"/>
            </w:tcMar>
            <w:vAlign w:val="bottom"/>
          </w:tcPr>
          <w:p w14:paraId="40582FEA" w14:textId="77777777" w:rsidR="00464E99" w:rsidRPr="000D67C6" w:rsidRDefault="00591F0F" w:rsidP="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201</w:t>
            </w:r>
            <w:r w:rsidR="00790DD4" w:rsidRPr="000D67C6">
              <w:rPr>
                <w:rFonts w:ascii="Arial" w:eastAsia="Verdana" w:hAnsi="Arial" w:cs="Arial"/>
                <w:b/>
                <w:sz w:val="20"/>
                <w:szCs w:val="20"/>
                <w:lang w:val="en-GB"/>
              </w:rPr>
              <w:t>7</w:t>
            </w:r>
            <w:r w:rsidRPr="000D67C6">
              <w:rPr>
                <w:rFonts w:ascii="Arial" w:eastAsia="Verdana" w:hAnsi="Arial" w:cs="Arial"/>
                <w:b/>
                <w:sz w:val="20"/>
                <w:szCs w:val="20"/>
                <w:lang w:val="en-GB"/>
              </w:rPr>
              <w:t>/1</w:t>
            </w:r>
            <w:r w:rsidR="00790DD4" w:rsidRPr="000D67C6">
              <w:rPr>
                <w:rFonts w:ascii="Arial" w:eastAsia="Verdana" w:hAnsi="Arial" w:cs="Arial"/>
                <w:b/>
                <w:sz w:val="20"/>
                <w:szCs w:val="20"/>
                <w:lang w:val="en-GB"/>
              </w:rPr>
              <w:t>8</w:t>
            </w:r>
          </w:p>
        </w:tc>
      </w:tr>
      <w:tr w:rsidR="002269F9" w:rsidRPr="000D67C6" w14:paraId="1632E336" w14:textId="77777777" w:rsidTr="006E4EA7">
        <w:trPr>
          <w:gridAfter w:val="1"/>
          <w:wAfter w:w="993" w:type="dxa"/>
          <w:trHeight w:val="630"/>
        </w:trPr>
        <w:tc>
          <w:tcPr>
            <w:tcW w:w="2385" w:type="dxa"/>
            <w:shd w:val="clear" w:color="auto" w:fill="auto"/>
            <w:tcMar>
              <w:top w:w="20" w:type="dxa"/>
              <w:left w:w="20" w:type="dxa"/>
              <w:bottom w:w="20" w:type="dxa"/>
              <w:right w:w="20" w:type="dxa"/>
            </w:tcMar>
            <w:vAlign w:val="bottom"/>
          </w:tcPr>
          <w:p w14:paraId="494F9EDB" w14:textId="77777777" w:rsidR="006E4EA7" w:rsidRPr="000D67C6" w:rsidRDefault="006E4EA7" w:rsidP="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455" w:type="dxa"/>
            <w:shd w:val="clear" w:color="auto" w:fill="auto"/>
            <w:tcMar>
              <w:top w:w="20" w:type="dxa"/>
              <w:left w:w="20" w:type="dxa"/>
              <w:bottom w:w="20" w:type="dxa"/>
              <w:right w:w="20" w:type="dxa"/>
            </w:tcMar>
          </w:tcPr>
          <w:p w14:paraId="0E8E22B6"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 Capital Statutory Adjustments</w:t>
            </w:r>
          </w:p>
        </w:tc>
        <w:tc>
          <w:tcPr>
            <w:tcW w:w="1455" w:type="dxa"/>
            <w:shd w:val="clear" w:color="auto" w:fill="auto"/>
            <w:tcMar>
              <w:top w:w="20" w:type="dxa"/>
              <w:left w:w="20" w:type="dxa"/>
              <w:bottom w:w="20" w:type="dxa"/>
              <w:right w:w="20" w:type="dxa"/>
            </w:tcMar>
          </w:tcPr>
          <w:p w14:paraId="7DD649D9"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Net Pensions Statutory Adjustments</w:t>
            </w:r>
          </w:p>
        </w:tc>
        <w:tc>
          <w:tcPr>
            <w:tcW w:w="1276" w:type="dxa"/>
            <w:shd w:val="clear" w:color="auto" w:fill="auto"/>
            <w:tcMar>
              <w:top w:w="20" w:type="dxa"/>
              <w:left w:w="20" w:type="dxa"/>
              <w:bottom w:w="20" w:type="dxa"/>
              <w:right w:w="20" w:type="dxa"/>
            </w:tcMar>
          </w:tcPr>
          <w:p w14:paraId="20DC10B5"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Other Differences</w:t>
            </w:r>
          </w:p>
        </w:tc>
        <w:tc>
          <w:tcPr>
            <w:tcW w:w="1367" w:type="dxa"/>
            <w:shd w:val="clear" w:color="auto" w:fill="auto"/>
            <w:tcMar>
              <w:top w:w="20" w:type="dxa"/>
              <w:left w:w="20" w:type="dxa"/>
              <w:bottom w:w="20" w:type="dxa"/>
              <w:right w:w="20" w:type="dxa"/>
            </w:tcMar>
          </w:tcPr>
          <w:p w14:paraId="3579A16F" w14:textId="77777777" w:rsidR="006E4EA7" w:rsidRPr="000D67C6" w:rsidRDefault="006E4EA7" w:rsidP="006E4EA7">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Total Adjustments</w:t>
            </w:r>
          </w:p>
        </w:tc>
      </w:tr>
      <w:tr w:rsidR="002269F9" w:rsidRPr="000D67C6" w14:paraId="4D519017" w14:textId="77777777" w:rsidTr="006E4EA7">
        <w:trPr>
          <w:gridAfter w:val="1"/>
          <w:wAfter w:w="993" w:type="dxa"/>
          <w:trHeight w:val="144"/>
        </w:trPr>
        <w:tc>
          <w:tcPr>
            <w:tcW w:w="2385" w:type="dxa"/>
            <w:tcBorders>
              <w:bottom w:val="single" w:sz="2" w:space="0" w:color="000000"/>
            </w:tcBorders>
            <w:shd w:val="clear" w:color="auto" w:fill="auto"/>
            <w:tcMar>
              <w:top w:w="20" w:type="dxa"/>
              <w:left w:w="20" w:type="dxa"/>
              <w:bottom w:w="20" w:type="dxa"/>
              <w:right w:w="20" w:type="dxa"/>
            </w:tcMar>
            <w:vAlign w:val="bottom"/>
          </w:tcPr>
          <w:p w14:paraId="394357D3" w14:textId="77777777" w:rsidR="006E4EA7" w:rsidRPr="000D67C6" w:rsidRDefault="006E4EA7"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c>
          <w:tcPr>
            <w:tcW w:w="1455" w:type="dxa"/>
            <w:tcBorders>
              <w:bottom w:val="single" w:sz="2" w:space="0" w:color="000000"/>
            </w:tcBorders>
            <w:shd w:val="clear" w:color="auto" w:fill="auto"/>
            <w:tcMar>
              <w:top w:w="20" w:type="dxa"/>
              <w:left w:w="20" w:type="dxa"/>
              <w:bottom w:w="20" w:type="dxa"/>
              <w:right w:w="20" w:type="dxa"/>
            </w:tcMar>
            <w:vAlign w:val="bottom"/>
          </w:tcPr>
          <w:p w14:paraId="678CFEE2" w14:textId="77777777" w:rsidR="006E4EA7" w:rsidRPr="000D67C6" w:rsidRDefault="006E4EA7"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55" w:type="dxa"/>
            <w:tcBorders>
              <w:bottom w:val="single" w:sz="2" w:space="0" w:color="000000"/>
            </w:tcBorders>
            <w:shd w:val="clear" w:color="auto" w:fill="auto"/>
            <w:tcMar>
              <w:top w:w="20" w:type="dxa"/>
              <w:left w:w="20" w:type="dxa"/>
              <w:bottom w:w="20" w:type="dxa"/>
              <w:right w:w="20" w:type="dxa"/>
            </w:tcMar>
            <w:vAlign w:val="bottom"/>
          </w:tcPr>
          <w:p w14:paraId="271B1E03" w14:textId="77777777" w:rsidR="006E4EA7" w:rsidRPr="000D67C6" w:rsidRDefault="006E4EA7"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565B20DF" w14:textId="77777777" w:rsidR="006E4EA7" w:rsidRPr="000D67C6" w:rsidRDefault="006E4EA7"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367" w:type="dxa"/>
            <w:tcBorders>
              <w:bottom w:val="single" w:sz="2" w:space="0" w:color="000000"/>
            </w:tcBorders>
            <w:shd w:val="clear" w:color="auto" w:fill="auto"/>
            <w:tcMar>
              <w:top w:w="20" w:type="dxa"/>
              <w:left w:w="20" w:type="dxa"/>
              <w:bottom w:w="20" w:type="dxa"/>
              <w:right w:w="20" w:type="dxa"/>
            </w:tcMar>
            <w:vAlign w:val="bottom"/>
          </w:tcPr>
          <w:p w14:paraId="0108E54E" w14:textId="77777777" w:rsidR="006E4EA7" w:rsidRPr="000D67C6" w:rsidRDefault="006E4EA7"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790DD4" w:rsidRPr="000D67C6" w14:paraId="3DC8FE49" w14:textId="77777777" w:rsidTr="006A7010">
        <w:trPr>
          <w:gridAfter w:val="1"/>
          <w:wAfter w:w="993" w:type="dxa"/>
          <w:trHeight w:val="443"/>
        </w:trPr>
        <w:tc>
          <w:tcPr>
            <w:tcW w:w="2385" w:type="dxa"/>
            <w:shd w:val="clear" w:color="auto" w:fill="auto"/>
            <w:tcMar>
              <w:top w:w="20" w:type="dxa"/>
              <w:left w:w="20" w:type="dxa"/>
              <w:bottom w:w="20" w:type="dxa"/>
              <w:right w:w="20" w:type="dxa"/>
            </w:tcMar>
            <w:vAlign w:val="center"/>
          </w:tcPr>
          <w:p w14:paraId="4D11A962"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Provision of Fire Services</w:t>
            </w:r>
          </w:p>
        </w:tc>
        <w:tc>
          <w:tcPr>
            <w:tcW w:w="1455" w:type="dxa"/>
            <w:shd w:val="clear" w:color="auto" w:fill="auto"/>
            <w:tcMar>
              <w:top w:w="20" w:type="dxa"/>
              <w:left w:w="20" w:type="dxa"/>
              <w:bottom w:w="20" w:type="dxa"/>
              <w:right w:w="20" w:type="dxa"/>
            </w:tcMar>
            <w:vAlign w:val="center"/>
          </w:tcPr>
          <w:p w14:paraId="399BF08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3,586</w:t>
            </w:r>
          </w:p>
        </w:tc>
        <w:tc>
          <w:tcPr>
            <w:tcW w:w="1455" w:type="dxa"/>
            <w:shd w:val="clear" w:color="auto" w:fill="auto"/>
            <w:tcMar>
              <w:top w:w="20" w:type="dxa"/>
              <w:left w:w="20" w:type="dxa"/>
              <w:bottom w:w="20" w:type="dxa"/>
              <w:right w:w="20" w:type="dxa"/>
            </w:tcMar>
            <w:vAlign w:val="center"/>
          </w:tcPr>
          <w:p w14:paraId="2E67B31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(1,606)</w:t>
            </w:r>
          </w:p>
        </w:tc>
        <w:tc>
          <w:tcPr>
            <w:tcW w:w="1276" w:type="dxa"/>
            <w:shd w:val="clear" w:color="auto" w:fill="auto"/>
            <w:tcMar>
              <w:top w:w="20" w:type="dxa"/>
              <w:left w:w="20" w:type="dxa"/>
              <w:bottom w:w="20" w:type="dxa"/>
              <w:right w:w="20" w:type="dxa"/>
            </w:tcMar>
            <w:vAlign w:val="center"/>
          </w:tcPr>
          <w:p w14:paraId="5B4EC589"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31</w:t>
            </w:r>
          </w:p>
        </w:tc>
        <w:tc>
          <w:tcPr>
            <w:tcW w:w="1367" w:type="dxa"/>
            <w:shd w:val="clear" w:color="auto" w:fill="auto"/>
            <w:tcMar>
              <w:top w:w="20" w:type="dxa"/>
              <w:left w:w="20" w:type="dxa"/>
              <w:bottom w:w="20" w:type="dxa"/>
              <w:right w:w="20" w:type="dxa"/>
            </w:tcMar>
            <w:vAlign w:val="center"/>
          </w:tcPr>
          <w:p w14:paraId="77FCF17B"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2,011</w:t>
            </w:r>
          </w:p>
        </w:tc>
      </w:tr>
      <w:tr w:rsidR="00790DD4" w:rsidRPr="000D67C6" w14:paraId="6D095956" w14:textId="77777777" w:rsidTr="006A7010">
        <w:trPr>
          <w:gridAfter w:val="1"/>
          <w:wAfter w:w="993" w:type="dxa"/>
          <w:trHeight w:val="374"/>
        </w:trPr>
        <w:tc>
          <w:tcPr>
            <w:tcW w:w="2385" w:type="dxa"/>
            <w:tcBorders>
              <w:top w:val="single" w:sz="2" w:space="0" w:color="000000"/>
            </w:tcBorders>
            <w:shd w:val="clear" w:color="auto" w:fill="auto"/>
            <w:tcMar>
              <w:top w:w="20" w:type="dxa"/>
              <w:left w:w="20" w:type="dxa"/>
              <w:bottom w:w="20" w:type="dxa"/>
              <w:right w:w="20" w:type="dxa"/>
            </w:tcMar>
            <w:vAlign w:val="center"/>
          </w:tcPr>
          <w:p w14:paraId="62D00112"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Net Cost of Services</w:t>
            </w:r>
          </w:p>
        </w:tc>
        <w:tc>
          <w:tcPr>
            <w:tcW w:w="1455" w:type="dxa"/>
            <w:tcBorders>
              <w:top w:val="single" w:sz="2" w:space="0" w:color="000000"/>
            </w:tcBorders>
            <w:shd w:val="clear" w:color="auto" w:fill="auto"/>
            <w:tcMar>
              <w:top w:w="20" w:type="dxa"/>
              <w:left w:w="20" w:type="dxa"/>
              <w:bottom w:w="20" w:type="dxa"/>
              <w:right w:w="20" w:type="dxa"/>
            </w:tcMar>
            <w:vAlign w:val="center"/>
          </w:tcPr>
          <w:p w14:paraId="60C60579"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3,586</w:t>
            </w:r>
          </w:p>
        </w:tc>
        <w:tc>
          <w:tcPr>
            <w:tcW w:w="1455" w:type="dxa"/>
            <w:tcBorders>
              <w:top w:val="single" w:sz="2" w:space="0" w:color="000000"/>
            </w:tcBorders>
            <w:shd w:val="clear" w:color="auto" w:fill="auto"/>
            <w:tcMar>
              <w:top w:w="20" w:type="dxa"/>
              <w:left w:w="20" w:type="dxa"/>
              <w:bottom w:w="20" w:type="dxa"/>
              <w:right w:w="20" w:type="dxa"/>
            </w:tcMar>
            <w:vAlign w:val="center"/>
          </w:tcPr>
          <w:p w14:paraId="27CCEF6A"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(1,606)</w:t>
            </w:r>
          </w:p>
        </w:tc>
        <w:tc>
          <w:tcPr>
            <w:tcW w:w="1276" w:type="dxa"/>
            <w:tcBorders>
              <w:top w:val="single" w:sz="2" w:space="0" w:color="000000"/>
            </w:tcBorders>
            <w:shd w:val="clear" w:color="auto" w:fill="auto"/>
            <w:tcMar>
              <w:top w:w="20" w:type="dxa"/>
              <w:left w:w="20" w:type="dxa"/>
              <w:bottom w:w="20" w:type="dxa"/>
              <w:right w:w="20" w:type="dxa"/>
            </w:tcMar>
            <w:vAlign w:val="center"/>
          </w:tcPr>
          <w:p w14:paraId="7C098408"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31</w:t>
            </w:r>
          </w:p>
        </w:tc>
        <w:tc>
          <w:tcPr>
            <w:tcW w:w="1367" w:type="dxa"/>
            <w:tcBorders>
              <w:top w:val="single" w:sz="2" w:space="0" w:color="000000"/>
            </w:tcBorders>
            <w:shd w:val="clear" w:color="auto" w:fill="auto"/>
            <w:tcMar>
              <w:top w:w="20" w:type="dxa"/>
              <w:left w:w="20" w:type="dxa"/>
              <w:bottom w:w="20" w:type="dxa"/>
              <w:right w:w="20" w:type="dxa"/>
            </w:tcMar>
            <w:vAlign w:val="center"/>
          </w:tcPr>
          <w:p w14:paraId="141B0E89"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2,011</w:t>
            </w:r>
          </w:p>
        </w:tc>
      </w:tr>
      <w:tr w:rsidR="00790DD4" w:rsidRPr="000D67C6" w14:paraId="477CE6D1" w14:textId="77777777" w:rsidTr="004C56A8">
        <w:trPr>
          <w:gridAfter w:val="1"/>
          <w:wAfter w:w="993" w:type="dxa"/>
          <w:trHeight w:val="526"/>
        </w:trPr>
        <w:tc>
          <w:tcPr>
            <w:tcW w:w="2385" w:type="dxa"/>
            <w:shd w:val="clear" w:color="auto" w:fill="auto"/>
            <w:tcMar>
              <w:top w:w="20" w:type="dxa"/>
              <w:left w:w="20" w:type="dxa"/>
              <w:bottom w:w="20" w:type="dxa"/>
              <w:right w:w="20" w:type="dxa"/>
            </w:tcMar>
            <w:vAlign w:val="center"/>
          </w:tcPr>
          <w:p w14:paraId="1AB52198"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Other Income and Expenditure</w:t>
            </w:r>
          </w:p>
        </w:tc>
        <w:tc>
          <w:tcPr>
            <w:tcW w:w="1455" w:type="dxa"/>
            <w:shd w:val="clear" w:color="auto" w:fill="auto"/>
            <w:tcMar>
              <w:top w:w="20" w:type="dxa"/>
              <w:left w:w="20" w:type="dxa"/>
              <w:bottom w:w="20" w:type="dxa"/>
              <w:right w:w="20" w:type="dxa"/>
            </w:tcMar>
            <w:vAlign w:val="center"/>
          </w:tcPr>
          <w:p w14:paraId="31D686AE"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(4,181)</w:t>
            </w:r>
          </w:p>
        </w:tc>
        <w:tc>
          <w:tcPr>
            <w:tcW w:w="1455" w:type="dxa"/>
            <w:shd w:val="clear" w:color="auto" w:fill="auto"/>
            <w:tcMar>
              <w:top w:w="20" w:type="dxa"/>
              <w:left w:w="20" w:type="dxa"/>
              <w:bottom w:w="20" w:type="dxa"/>
              <w:right w:w="20" w:type="dxa"/>
            </w:tcMar>
            <w:vAlign w:val="center"/>
          </w:tcPr>
          <w:p w14:paraId="0DF99F79"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12,523</w:t>
            </w:r>
          </w:p>
        </w:tc>
        <w:tc>
          <w:tcPr>
            <w:tcW w:w="1276" w:type="dxa"/>
            <w:shd w:val="clear" w:color="auto" w:fill="auto"/>
            <w:tcMar>
              <w:top w:w="20" w:type="dxa"/>
              <w:left w:w="20" w:type="dxa"/>
              <w:bottom w:w="20" w:type="dxa"/>
              <w:right w:w="20" w:type="dxa"/>
            </w:tcMar>
            <w:vAlign w:val="center"/>
          </w:tcPr>
          <w:p w14:paraId="3C67ABC4"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367" w:type="dxa"/>
            <w:shd w:val="clear" w:color="auto" w:fill="auto"/>
            <w:tcMar>
              <w:top w:w="20" w:type="dxa"/>
              <w:left w:w="20" w:type="dxa"/>
              <w:bottom w:w="20" w:type="dxa"/>
              <w:right w:w="20" w:type="dxa"/>
            </w:tcMar>
            <w:vAlign w:val="center"/>
          </w:tcPr>
          <w:p w14:paraId="70354AA1"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8,342</w:t>
            </w:r>
          </w:p>
        </w:tc>
      </w:tr>
      <w:tr w:rsidR="00790DD4" w:rsidRPr="000D67C6" w14:paraId="07B28EE0" w14:textId="77777777" w:rsidTr="006A7010">
        <w:trPr>
          <w:gridAfter w:val="1"/>
          <w:wAfter w:w="993" w:type="dxa"/>
          <w:trHeight w:val="982"/>
        </w:trPr>
        <w:tc>
          <w:tcPr>
            <w:tcW w:w="238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DAFC229"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Difference between the Statutory Charge and the Surplus or Deficit in the Comprehensive Income and Expenditure Statement</w:t>
            </w:r>
          </w:p>
        </w:tc>
        <w:tc>
          <w:tcPr>
            <w:tcW w:w="14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B85763"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(595)</w:t>
            </w:r>
          </w:p>
        </w:tc>
        <w:tc>
          <w:tcPr>
            <w:tcW w:w="14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CFD6F86"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10,917</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1AC1336"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31</w:t>
            </w:r>
          </w:p>
        </w:tc>
        <w:tc>
          <w:tcPr>
            <w:tcW w:w="136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169ECE9"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10,353</w:t>
            </w:r>
          </w:p>
        </w:tc>
      </w:tr>
    </w:tbl>
    <w:p w14:paraId="681FCDF6" w14:textId="77777777" w:rsidR="00432B60" w:rsidRPr="000D67C6" w:rsidRDefault="00432B60" w:rsidP="00432B60">
      <w:pPr>
        <w:rPr>
          <w:rFonts w:ascii="Arial" w:hAnsi="Arial" w:cs="Arial"/>
          <w:b/>
          <w:sz w:val="22"/>
          <w:szCs w:val="22"/>
          <w:lang w:val="en-GB"/>
        </w:rPr>
      </w:pPr>
    </w:p>
    <w:p w14:paraId="272D451D" w14:textId="77777777" w:rsidR="001B2935" w:rsidRPr="000D67C6" w:rsidRDefault="001B2935" w:rsidP="00432B60">
      <w:pPr>
        <w:rPr>
          <w:rFonts w:ascii="Arial" w:eastAsia="Verdana" w:hAnsi="Arial" w:cs="Arial"/>
          <w:b/>
          <w:sz w:val="22"/>
          <w:szCs w:val="22"/>
          <w:lang w:val="en-GB"/>
        </w:rPr>
      </w:pPr>
    </w:p>
    <w:p w14:paraId="3D9BB030" w14:textId="77777777" w:rsidR="008B152F" w:rsidRPr="000D67C6" w:rsidRDefault="008B152F" w:rsidP="00432B60">
      <w:pPr>
        <w:rPr>
          <w:rFonts w:ascii="Arial" w:eastAsia="Verdana" w:hAnsi="Arial" w:cs="Arial"/>
          <w:b/>
          <w:sz w:val="22"/>
          <w:szCs w:val="22"/>
          <w:lang w:val="en-GB"/>
        </w:rPr>
      </w:pPr>
    </w:p>
    <w:p w14:paraId="0D4B0C28" w14:textId="77777777" w:rsidR="008B152F" w:rsidRPr="000D67C6" w:rsidRDefault="008B152F" w:rsidP="00432B60">
      <w:pPr>
        <w:rPr>
          <w:rFonts w:ascii="Arial" w:eastAsia="Verdana" w:hAnsi="Arial" w:cs="Arial"/>
          <w:b/>
          <w:sz w:val="22"/>
          <w:szCs w:val="22"/>
          <w:lang w:val="en-GB"/>
        </w:rPr>
      </w:pPr>
    </w:p>
    <w:p w14:paraId="01DB821C" w14:textId="77777777" w:rsidR="008B152F" w:rsidRPr="000D67C6" w:rsidRDefault="008B152F" w:rsidP="00432B60">
      <w:pPr>
        <w:rPr>
          <w:rFonts w:ascii="Arial" w:eastAsia="Verdana" w:hAnsi="Arial" w:cs="Arial"/>
          <w:b/>
          <w:sz w:val="22"/>
          <w:szCs w:val="22"/>
          <w:lang w:val="en-GB"/>
        </w:rPr>
      </w:pPr>
    </w:p>
    <w:p w14:paraId="76C1DC25" w14:textId="77777777" w:rsidR="008B152F" w:rsidRPr="000D67C6" w:rsidRDefault="008B152F" w:rsidP="00432B60">
      <w:pPr>
        <w:rPr>
          <w:rFonts w:ascii="Arial" w:eastAsia="Verdana" w:hAnsi="Arial" w:cs="Arial"/>
          <w:b/>
          <w:sz w:val="22"/>
          <w:szCs w:val="22"/>
          <w:lang w:val="en-GB"/>
        </w:rPr>
      </w:pPr>
    </w:p>
    <w:p w14:paraId="32EF2912" w14:textId="77777777" w:rsidR="008B152F" w:rsidRPr="000D67C6" w:rsidRDefault="008B152F" w:rsidP="00432B60">
      <w:pPr>
        <w:rPr>
          <w:rFonts w:ascii="Arial" w:eastAsia="Verdana" w:hAnsi="Arial" w:cs="Arial"/>
          <w:b/>
          <w:sz w:val="22"/>
          <w:szCs w:val="22"/>
          <w:lang w:val="en-GB"/>
        </w:rPr>
      </w:pPr>
    </w:p>
    <w:p w14:paraId="64C085F8" w14:textId="77777777" w:rsidR="008B152F" w:rsidRPr="000D67C6" w:rsidRDefault="008B152F" w:rsidP="00432B60">
      <w:pPr>
        <w:rPr>
          <w:rFonts w:ascii="Arial" w:eastAsia="Verdana" w:hAnsi="Arial" w:cs="Arial"/>
          <w:b/>
          <w:sz w:val="22"/>
          <w:szCs w:val="22"/>
          <w:lang w:val="en-GB"/>
        </w:rPr>
      </w:pPr>
    </w:p>
    <w:p w14:paraId="4035E958" w14:textId="77777777" w:rsidR="00C06317" w:rsidRDefault="00C06317">
      <w:pPr>
        <w:rPr>
          <w:rFonts w:ascii="Arial" w:eastAsia="Verdana" w:hAnsi="Arial" w:cs="Arial"/>
          <w:b/>
          <w:sz w:val="22"/>
          <w:szCs w:val="22"/>
          <w:lang w:val="en-GB"/>
        </w:rPr>
      </w:pPr>
      <w:r>
        <w:rPr>
          <w:rFonts w:ascii="Arial" w:eastAsia="Verdana" w:hAnsi="Arial" w:cs="Arial"/>
          <w:b/>
          <w:sz w:val="22"/>
          <w:szCs w:val="22"/>
          <w:lang w:val="en-GB"/>
        </w:rPr>
        <w:br w:type="page"/>
      </w:r>
    </w:p>
    <w:p w14:paraId="0EC12ED9" w14:textId="6AC26F54" w:rsidR="008F013B" w:rsidRPr="000D67C6" w:rsidRDefault="00432B60" w:rsidP="00432B60">
      <w:pPr>
        <w:rPr>
          <w:rFonts w:ascii="Arial" w:hAnsi="Arial" w:cs="Arial"/>
          <w:sz w:val="22"/>
          <w:szCs w:val="22"/>
          <w:lang w:val="en-GB"/>
        </w:rPr>
      </w:pPr>
      <w:r w:rsidRPr="000D67C6">
        <w:rPr>
          <w:rFonts w:ascii="Arial" w:eastAsia="Verdana" w:hAnsi="Arial" w:cs="Arial"/>
          <w:b/>
          <w:sz w:val="22"/>
          <w:szCs w:val="22"/>
          <w:lang w:val="en-GB"/>
        </w:rPr>
        <w:t>Net Capital Statutory Adjustments</w:t>
      </w:r>
      <w:r w:rsidRPr="000D67C6">
        <w:rPr>
          <w:rFonts w:ascii="Arial" w:hAnsi="Arial" w:cs="Arial"/>
          <w:sz w:val="22"/>
          <w:szCs w:val="22"/>
          <w:lang w:val="en-GB"/>
        </w:rPr>
        <w:t xml:space="preserve"> </w:t>
      </w:r>
      <w:r w:rsidR="008F013B" w:rsidRPr="000D67C6">
        <w:rPr>
          <w:rFonts w:ascii="Arial" w:hAnsi="Arial" w:cs="Arial"/>
          <w:sz w:val="22"/>
          <w:szCs w:val="22"/>
          <w:lang w:val="en-GB"/>
        </w:rPr>
        <w:t xml:space="preserve">– this column adds in depreciation and impairment and revaluation gains and losses in the services line, and for:   </w:t>
      </w:r>
    </w:p>
    <w:p w14:paraId="242EEEFC" w14:textId="77777777" w:rsidR="00DC6444" w:rsidRPr="000D67C6" w:rsidRDefault="00DC6444" w:rsidP="00DC6444">
      <w:pPr>
        <w:pStyle w:val="Normal0"/>
        <w:spacing w:line="259" w:lineRule="auto"/>
        <w:jc w:val="both"/>
        <w:rPr>
          <w:rFonts w:ascii="Arial" w:hAnsi="Arial" w:cs="Arial"/>
          <w:sz w:val="22"/>
          <w:szCs w:val="22"/>
          <w:lang w:val="en-GB"/>
        </w:rPr>
      </w:pPr>
    </w:p>
    <w:p w14:paraId="3792FD35" w14:textId="77777777" w:rsidR="008F013B" w:rsidRPr="000D67C6" w:rsidRDefault="008F013B" w:rsidP="00C4608B">
      <w:pPr>
        <w:pStyle w:val="Normal0"/>
        <w:numPr>
          <w:ilvl w:val="0"/>
          <w:numId w:val="20"/>
        </w:numPr>
        <w:spacing w:line="259" w:lineRule="auto"/>
        <w:jc w:val="both"/>
        <w:rPr>
          <w:rFonts w:ascii="Arial" w:hAnsi="Arial" w:cs="Arial"/>
          <w:sz w:val="22"/>
          <w:szCs w:val="22"/>
          <w:lang w:val="en-GB"/>
        </w:rPr>
      </w:pPr>
      <w:r w:rsidRPr="000D67C6">
        <w:rPr>
          <w:rFonts w:ascii="Arial" w:hAnsi="Arial" w:cs="Arial"/>
          <w:sz w:val="22"/>
          <w:szCs w:val="22"/>
          <w:lang w:val="en-GB"/>
        </w:rPr>
        <w:t>Other operating expenditure – adjusts for capital disposals with a transfer of income on disposal of assets and the amount</w:t>
      </w:r>
      <w:r w:rsidR="00F254B6" w:rsidRPr="000D67C6">
        <w:rPr>
          <w:rFonts w:ascii="Arial" w:hAnsi="Arial" w:cs="Arial"/>
          <w:sz w:val="22"/>
          <w:szCs w:val="22"/>
          <w:lang w:val="en-GB"/>
        </w:rPr>
        <w:t>s written off for those assets.</w:t>
      </w:r>
    </w:p>
    <w:p w14:paraId="1D08B4EB" w14:textId="77777777" w:rsidR="00DC6444" w:rsidRPr="000D67C6" w:rsidRDefault="00DC6444" w:rsidP="00DC6444">
      <w:pPr>
        <w:pStyle w:val="Normal0"/>
        <w:spacing w:line="259" w:lineRule="auto"/>
        <w:ind w:left="360"/>
        <w:jc w:val="both"/>
        <w:rPr>
          <w:rFonts w:ascii="Arial" w:hAnsi="Arial" w:cs="Arial"/>
          <w:sz w:val="22"/>
          <w:szCs w:val="22"/>
          <w:lang w:val="en-GB"/>
        </w:rPr>
      </w:pPr>
    </w:p>
    <w:p w14:paraId="72116CF7" w14:textId="77777777" w:rsidR="008F013B" w:rsidRPr="000D67C6" w:rsidRDefault="008F013B" w:rsidP="00C4608B">
      <w:pPr>
        <w:pStyle w:val="Normal0"/>
        <w:numPr>
          <w:ilvl w:val="0"/>
          <w:numId w:val="20"/>
        </w:numPr>
        <w:spacing w:line="259" w:lineRule="auto"/>
        <w:jc w:val="both"/>
        <w:rPr>
          <w:rFonts w:ascii="Arial" w:hAnsi="Arial" w:cs="Arial"/>
          <w:sz w:val="22"/>
          <w:szCs w:val="22"/>
          <w:lang w:val="en-GB"/>
        </w:rPr>
      </w:pPr>
      <w:r w:rsidRPr="000D67C6">
        <w:rPr>
          <w:rFonts w:ascii="Arial" w:hAnsi="Arial" w:cs="Arial"/>
          <w:sz w:val="22"/>
          <w:szCs w:val="22"/>
          <w:lang w:val="en-GB"/>
        </w:rPr>
        <w:t>Financing and investment income and expenditure – the statutory charges for capital financing i</w:t>
      </w:r>
      <w:r w:rsidR="00F254B6" w:rsidRPr="000D67C6">
        <w:rPr>
          <w:rFonts w:ascii="Arial" w:hAnsi="Arial" w:cs="Arial"/>
          <w:sz w:val="22"/>
          <w:szCs w:val="22"/>
          <w:lang w:val="en-GB"/>
        </w:rPr>
        <w:t>.</w:t>
      </w:r>
      <w:r w:rsidRPr="000D67C6">
        <w:rPr>
          <w:rFonts w:ascii="Arial" w:hAnsi="Arial" w:cs="Arial"/>
          <w:sz w:val="22"/>
          <w:szCs w:val="22"/>
          <w:lang w:val="en-GB"/>
        </w:rPr>
        <w:t>e</w:t>
      </w:r>
      <w:r w:rsidR="00F254B6" w:rsidRPr="000D67C6">
        <w:rPr>
          <w:rFonts w:ascii="Arial" w:hAnsi="Arial" w:cs="Arial"/>
          <w:sz w:val="22"/>
          <w:szCs w:val="22"/>
          <w:lang w:val="en-GB"/>
        </w:rPr>
        <w:t>.</w:t>
      </w:r>
      <w:r w:rsidRPr="000D67C6">
        <w:rPr>
          <w:rFonts w:ascii="Arial" w:hAnsi="Arial" w:cs="Arial"/>
          <w:sz w:val="22"/>
          <w:szCs w:val="22"/>
          <w:lang w:val="en-GB"/>
        </w:rPr>
        <w:t xml:space="preserve"> Minimum Revenue Provision and other revenue contributions are deducted from other income and expenditure as these are not chargeable under generally acce</w:t>
      </w:r>
      <w:r w:rsidR="00F254B6" w:rsidRPr="000D67C6">
        <w:rPr>
          <w:rFonts w:ascii="Arial" w:hAnsi="Arial" w:cs="Arial"/>
          <w:sz w:val="22"/>
          <w:szCs w:val="22"/>
          <w:lang w:val="en-GB"/>
        </w:rPr>
        <w:t>pted accounting practices.</w:t>
      </w:r>
    </w:p>
    <w:p w14:paraId="218E3884" w14:textId="77777777" w:rsidR="00DC6444" w:rsidRPr="000D67C6" w:rsidRDefault="00DC6444" w:rsidP="00DC6444">
      <w:pPr>
        <w:pStyle w:val="Normal0"/>
        <w:spacing w:line="259" w:lineRule="auto"/>
        <w:ind w:left="360"/>
        <w:jc w:val="both"/>
        <w:rPr>
          <w:rFonts w:ascii="Arial" w:hAnsi="Arial" w:cs="Arial"/>
          <w:sz w:val="22"/>
          <w:szCs w:val="22"/>
          <w:lang w:val="en-GB"/>
        </w:rPr>
      </w:pPr>
    </w:p>
    <w:p w14:paraId="681AF24C" w14:textId="6042A712" w:rsidR="008F013B" w:rsidRPr="000D67C6" w:rsidRDefault="008F013B" w:rsidP="00C4608B">
      <w:pPr>
        <w:pStyle w:val="Normal0"/>
        <w:numPr>
          <w:ilvl w:val="0"/>
          <w:numId w:val="20"/>
        </w:numPr>
        <w:spacing w:line="259" w:lineRule="auto"/>
        <w:jc w:val="both"/>
        <w:rPr>
          <w:rFonts w:ascii="Arial" w:hAnsi="Arial" w:cs="Arial"/>
          <w:sz w:val="22"/>
          <w:szCs w:val="22"/>
          <w:lang w:val="en-GB"/>
        </w:rPr>
      </w:pPr>
      <w:r w:rsidRPr="000D67C6">
        <w:rPr>
          <w:rFonts w:ascii="Arial" w:hAnsi="Arial" w:cs="Arial"/>
          <w:sz w:val="22"/>
          <w:szCs w:val="22"/>
          <w:lang w:val="en-GB"/>
        </w:rPr>
        <w:t xml:space="preserve">Taxation and non-specific grant income and expenditure – capital grants are adjusted for income not chargeable under generally accepted accounting practices. Revenue grants are adjusted from </w:t>
      </w:r>
      <w:proofErr w:type="gramStart"/>
      <w:r w:rsidRPr="000D67C6">
        <w:rPr>
          <w:rFonts w:ascii="Arial" w:hAnsi="Arial" w:cs="Arial"/>
          <w:sz w:val="22"/>
          <w:szCs w:val="22"/>
          <w:lang w:val="en-GB"/>
        </w:rPr>
        <w:t>those</w:t>
      </w:r>
      <w:r w:rsidR="001141C2">
        <w:rPr>
          <w:rFonts w:ascii="Arial" w:hAnsi="Arial" w:cs="Arial"/>
          <w:sz w:val="22"/>
          <w:szCs w:val="22"/>
          <w:lang w:val="en-GB"/>
        </w:rPr>
        <w:t xml:space="preserve"> </w:t>
      </w:r>
      <w:r w:rsidRPr="000D67C6">
        <w:rPr>
          <w:rFonts w:ascii="Arial" w:hAnsi="Arial" w:cs="Arial"/>
          <w:sz w:val="22"/>
          <w:szCs w:val="22"/>
          <w:lang w:val="en-GB"/>
        </w:rPr>
        <w:t>receivable</w:t>
      </w:r>
      <w:proofErr w:type="gramEnd"/>
      <w:r w:rsidRPr="000D67C6">
        <w:rPr>
          <w:rFonts w:ascii="Arial" w:hAnsi="Arial" w:cs="Arial"/>
          <w:sz w:val="22"/>
          <w:szCs w:val="22"/>
          <w:lang w:val="en-GB"/>
        </w:rPr>
        <w:t xml:space="preserve"> in the year</w:t>
      </w:r>
      <w:r w:rsidR="0079644C">
        <w:rPr>
          <w:rFonts w:ascii="Arial" w:hAnsi="Arial" w:cs="Arial"/>
          <w:sz w:val="22"/>
          <w:szCs w:val="22"/>
          <w:lang w:val="en-GB"/>
        </w:rPr>
        <w:t>,</w:t>
      </w:r>
      <w:r w:rsidRPr="000D67C6">
        <w:rPr>
          <w:rFonts w:ascii="Arial" w:hAnsi="Arial" w:cs="Arial"/>
          <w:sz w:val="22"/>
          <w:szCs w:val="22"/>
          <w:lang w:val="en-GB"/>
        </w:rPr>
        <w:t xml:space="preserve"> to those receivable without conditions or for which conditions were satisfied throughout the year. The Taxatio</w:t>
      </w:r>
      <w:r w:rsidR="00432B60" w:rsidRPr="000D67C6">
        <w:rPr>
          <w:rFonts w:ascii="Arial" w:hAnsi="Arial" w:cs="Arial"/>
          <w:sz w:val="22"/>
          <w:szCs w:val="22"/>
          <w:lang w:val="en-GB"/>
        </w:rPr>
        <w:t>n and Non-</w:t>
      </w:r>
      <w:r w:rsidRPr="000D67C6">
        <w:rPr>
          <w:rFonts w:ascii="Arial" w:hAnsi="Arial" w:cs="Arial"/>
          <w:sz w:val="22"/>
          <w:szCs w:val="22"/>
          <w:lang w:val="en-GB"/>
        </w:rPr>
        <w:t xml:space="preserve">Specific Grant Income and Expenditure line is credited with capital grants receivable in the year without conditions or for which conditions were satisfied in the year.  </w:t>
      </w:r>
    </w:p>
    <w:p w14:paraId="6CCE3F59" w14:textId="77777777" w:rsidR="00DC6444" w:rsidRPr="000D67C6" w:rsidRDefault="00DC6444" w:rsidP="00DC6444">
      <w:pPr>
        <w:pStyle w:val="Normal0"/>
        <w:spacing w:line="259" w:lineRule="auto"/>
        <w:ind w:left="360"/>
        <w:jc w:val="both"/>
        <w:rPr>
          <w:rFonts w:ascii="Arial" w:hAnsi="Arial" w:cs="Arial"/>
          <w:b/>
          <w:sz w:val="22"/>
          <w:szCs w:val="22"/>
          <w:lang w:val="en-GB"/>
        </w:rPr>
      </w:pPr>
    </w:p>
    <w:p w14:paraId="3F612F32" w14:textId="77777777" w:rsidR="008F013B" w:rsidRPr="000D67C6" w:rsidRDefault="00432B60" w:rsidP="00F254B6">
      <w:pPr>
        <w:pStyle w:val="Normal0"/>
        <w:spacing w:line="259" w:lineRule="auto"/>
        <w:jc w:val="both"/>
        <w:rPr>
          <w:rFonts w:ascii="Arial" w:hAnsi="Arial" w:cs="Arial"/>
          <w:sz w:val="22"/>
          <w:szCs w:val="22"/>
          <w:lang w:val="en-GB"/>
        </w:rPr>
      </w:pPr>
      <w:r w:rsidRPr="000D67C6">
        <w:rPr>
          <w:rFonts w:ascii="Arial" w:eastAsia="Verdana" w:hAnsi="Arial" w:cs="Arial"/>
          <w:b/>
          <w:sz w:val="22"/>
          <w:szCs w:val="22"/>
          <w:lang w:val="en-GB"/>
        </w:rPr>
        <w:t>Net Pensions Statutory Adjustments</w:t>
      </w:r>
      <w:r w:rsidRPr="000D67C6">
        <w:rPr>
          <w:rFonts w:ascii="Arial" w:hAnsi="Arial" w:cs="Arial"/>
          <w:b/>
          <w:sz w:val="22"/>
          <w:szCs w:val="22"/>
          <w:lang w:val="en-GB"/>
        </w:rPr>
        <w:t xml:space="preserve"> </w:t>
      </w:r>
      <w:r w:rsidR="008F013B" w:rsidRPr="000D67C6">
        <w:rPr>
          <w:rFonts w:ascii="Arial" w:hAnsi="Arial" w:cs="Arial"/>
          <w:sz w:val="22"/>
          <w:szCs w:val="22"/>
          <w:lang w:val="en-GB"/>
        </w:rPr>
        <w:t xml:space="preserve">- Net change for the removal of pension contributions and the addition of IAS 19 Employee Benefits pension </w:t>
      </w:r>
      <w:r w:rsidR="00F254B6" w:rsidRPr="000D67C6">
        <w:rPr>
          <w:rFonts w:ascii="Arial" w:hAnsi="Arial" w:cs="Arial"/>
          <w:sz w:val="22"/>
          <w:szCs w:val="22"/>
          <w:lang w:val="en-GB"/>
        </w:rPr>
        <w:t>related expenditure and income:</w:t>
      </w:r>
      <w:r w:rsidR="008F013B" w:rsidRPr="000D67C6">
        <w:rPr>
          <w:rFonts w:ascii="Arial" w:hAnsi="Arial" w:cs="Arial"/>
          <w:sz w:val="22"/>
          <w:szCs w:val="22"/>
          <w:lang w:val="en-GB"/>
        </w:rPr>
        <w:t xml:space="preserve"> </w:t>
      </w:r>
    </w:p>
    <w:p w14:paraId="0E5C605E" w14:textId="77777777" w:rsidR="00432B60" w:rsidRPr="000D67C6" w:rsidRDefault="00432B60" w:rsidP="00F254B6">
      <w:pPr>
        <w:pStyle w:val="Normal0"/>
        <w:spacing w:line="259" w:lineRule="auto"/>
        <w:jc w:val="both"/>
        <w:rPr>
          <w:rFonts w:ascii="Arial" w:hAnsi="Arial" w:cs="Arial"/>
          <w:sz w:val="22"/>
          <w:szCs w:val="22"/>
          <w:lang w:val="en-GB"/>
        </w:rPr>
      </w:pPr>
    </w:p>
    <w:p w14:paraId="08E9A967" w14:textId="77777777" w:rsidR="008F013B" w:rsidRPr="000D67C6" w:rsidRDefault="00F254B6" w:rsidP="00C4608B">
      <w:pPr>
        <w:pStyle w:val="Normal0"/>
        <w:numPr>
          <w:ilvl w:val="0"/>
          <w:numId w:val="22"/>
        </w:numPr>
        <w:spacing w:line="259" w:lineRule="auto"/>
        <w:jc w:val="both"/>
        <w:rPr>
          <w:rFonts w:ascii="Arial" w:hAnsi="Arial" w:cs="Arial"/>
          <w:sz w:val="22"/>
          <w:szCs w:val="22"/>
          <w:lang w:val="en-GB"/>
        </w:rPr>
      </w:pPr>
      <w:r w:rsidRPr="000D67C6">
        <w:rPr>
          <w:rFonts w:ascii="Arial" w:hAnsi="Arial" w:cs="Arial"/>
          <w:sz w:val="22"/>
          <w:szCs w:val="22"/>
          <w:lang w:val="en-GB"/>
        </w:rPr>
        <w:t>For S</w:t>
      </w:r>
      <w:r w:rsidR="008F013B" w:rsidRPr="000D67C6">
        <w:rPr>
          <w:rFonts w:ascii="Arial" w:hAnsi="Arial" w:cs="Arial"/>
          <w:sz w:val="22"/>
          <w:szCs w:val="22"/>
          <w:lang w:val="en-GB"/>
        </w:rPr>
        <w:t xml:space="preserve">ervices this represents the removal of the employer pension contributions made by the </w:t>
      </w:r>
      <w:r w:rsidR="00197018" w:rsidRPr="000D67C6">
        <w:rPr>
          <w:rFonts w:ascii="Arial" w:hAnsi="Arial" w:cs="Arial"/>
          <w:sz w:val="22"/>
          <w:szCs w:val="22"/>
          <w:lang w:val="en-GB"/>
        </w:rPr>
        <w:t>Authority</w:t>
      </w:r>
      <w:r w:rsidR="008F013B" w:rsidRPr="000D67C6">
        <w:rPr>
          <w:rFonts w:ascii="Arial" w:hAnsi="Arial" w:cs="Arial"/>
          <w:sz w:val="22"/>
          <w:szCs w:val="22"/>
          <w:lang w:val="en-GB"/>
        </w:rPr>
        <w:t xml:space="preserve"> as allowed by statute and the replacement with current servic</w:t>
      </w:r>
      <w:r w:rsidRPr="000D67C6">
        <w:rPr>
          <w:rFonts w:ascii="Arial" w:hAnsi="Arial" w:cs="Arial"/>
          <w:sz w:val="22"/>
          <w:szCs w:val="22"/>
          <w:lang w:val="en-GB"/>
        </w:rPr>
        <w:t>e costs and past service costs.</w:t>
      </w:r>
    </w:p>
    <w:p w14:paraId="07149130" w14:textId="77777777" w:rsidR="00DC6444" w:rsidRPr="000D67C6" w:rsidRDefault="00DC6444" w:rsidP="00DC6444">
      <w:pPr>
        <w:pStyle w:val="Normal0"/>
        <w:spacing w:line="259" w:lineRule="auto"/>
        <w:ind w:left="360"/>
        <w:jc w:val="both"/>
        <w:rPr>
          <w:rFonts w:ascii="Arial" w:hAnsi="Arial" w:cs="Arial"/>
          <w:sz w:val="22"/>
          <w:szCs w:val="22"/>
          <w:lang w:val="en-GB"/>
        </w:rPr>
      </w:pPr>
    </w:p>
    <w:p w14:paraId="3B129DD4" w14:textId="77777777" w:rsidR="008F013B" w:rsidRPr="000D67C6" w:rsidRDefault="008F013B" w:rsidP="00C4608B">
      <w:pPr>
        <w:pStyle w:val="Normal0"/>
        <w:numPr>
          <w:ilvl w:val="0"/>
          <w:numId w:val="22"/>
        </w:numPr>
        <w:spacing w:line="259" w:lineRule="auto"/>
        <w:jc w:val="both"/>
        <w:rPr>
          <w:rFonts w:ascii="Arial" w:hAnsi="Arial" w:cs="Arial"/>
          <w:sz w:val="22"/>
          <w:szCs w:val="22"/>
          <w:lang w:val="en-GB"/>
        </w:rPr>
      </w:pPr>
      <w:r w:rsidRPr="000D67C6">
        <w:rPr>
          <w:rFonts w:ascii="Arial" w:hAnsi="Arial" w:cs="Arial"/>
          <w:sz w:val="22"/>
          <w:szCs w:val="22"/>
          <w:lang w:val="en-GB"/>
        </w:rPr>
        <w:t xml:space="preserve">For Financing and investment income and expenditure – the net interest on the defined benefit liability is charged to the CIES. </w:t>
      </w:r>
    </w:p>
    <w:p w14:paraId="543D9B1E" w14:textId="77777777" w:rsidR="00DC6444" w:rsidRPr="000D67C6" w:rsidRDefault="00DC6444" w:rsidP="00DC6444">
      <w:pPr>
        <w:pStyle w:val="Normal0"/>
        <w:spacing w:line="259" w:lineRule="auto"/>
        <w:ind w:left="360"/>
        <w:jc w:val="both"/>
        <w:rPr>
          <w:rFonts w:ascii="Arial" w:hAnsi="Arial" w:cs="Arial"/>
          <w:sz w:val="22"/>
          <w:szCs w:val="22"/>
          <w:lang w:val="en-GB"/>
        </w:rPr>
      </w:pPr>
    </w:p>
    <w:p w14:paraId="5A74A437" w14:textId="77777777" w:rsidR="008F013B" w:rsidRPr="000D67C6" w:rsidRDefault="008F013B" w:rsidP="00DC6444">
      <w:pPr>
        <w:pStyle w:val="Normal0"/>
        <w:spacing w:line="259" w:lineRule="auto"/>
        <w:jc w:val="both"/>
        <w:rPr>
          <w:rFonts w:ascii="Arial" w:hAnsi="Arial" w:cs="Arial"/>
          <w:sz w:val="22"/>
          <w:szCs w:val="22"/>
          <w:lang w:val="en-GB"/>
        </w:rPr>
      </w:pPr>
      <w:r w:rsidRPr="000D67C6">
        <w:rPr>
          <w:rFonts w:ascii="Arial" w:hAnsi="Arial" w:cs="Arial"/>
          <w:b/>
          <w:sz w:val="22"/>
          <w:szCs w:val="22"/>
          <w:lang w:val="en-GB"/>
        </w:rPr>
        <w:t>Other Differences</w:t>
      </w:r>
      <w:r w:rsidR="00F254B6" w:rsidRPr="000D67C6">
        <w:rPr>
          <w:rFonts w:ascii="Arial" w:hAnsi="Arial" w:cs="Arial"/>
          <w:sz w:val="22"/>
          <w:szCs w:val="22"/>
          <w:lang w:val="en-GB"/>
        </w:rPr>
        <w:t xml:space="preserve"> </w:t>
      </w:r>
      <w:r w:rsidRPr="000D67C6">
        <w:rPr>
          <w:rFonts w:ascii="Arial" w:hAnsi="Arial" w:cs="Arial"/>
          <w:sz w:val="22"/>
          <w:szCs w:val="22"/>
          <w:lang w:val="en-GB"/>
        </w:rPr>
        <w:t xml:space="preserve">between amounts debited/credited to the Comprehensive Income and Expenditure Statement and amounts payable/receivable to be recognised under statute: </w:t>
      </w:r>
    </w:p>
    <w:p w14:paraId="47CCB569" w14:textId="77777777" w:rsidR="00DC6444" w:rsidRPr="000D67C6" w:rsidRDefault="00DC6444" w:rsidP="00DC6444">
      <w:pPr>
        <w:pStyle w:val="Normal0"/>
        <w:spacing w:line="259" w:lineRule="auto"/>
        <w:jc w:val="both"/>
        <w:rPr>
          <w:rFonts w:ascii="Arial" w:hAnsi="Arial" w:cs="Arial"/>
          <w:sz w:val="22"/>
          <w:szCs w:val="22"/>
          <w:lang w:val="en-GB"/>
        </w:rPr>
      </w:pPr>
    </w:p>
    <w:p w14:paraId="13585869" w14:textId="77777777" w:rsidR="008F013B" w:rsidRPr="000D67C6" w:rsidRDefault="008F013B" w:rsidP="00C4608B">
      <w:pPr>
        <w:pStyle w:val="Normal0"/>
        <w:numPr>
          <w:ilvl w:val="0"/>
          <w:numId w:val="21"/>
        </w:numPr>
        <w:spacing w:line="259" w:lineRule="auto"/>
        <w:jc w:val="both"/>
        <w:rPr>
          <w:rFonts w:ascii="Arial" w:hAnsi="Arial" w:cs="Arial"/>
          <w:sz w:val="22"/>
          <w:szCs w:val="22"/>
          <w:lang w:val="en-GB"/>
        </w:rPr>
      </w:pPr>
      <w:r w:rsidRPr="000D67C6">
        <w:rPr>
          <w:rFonts w:ascii="Arial" w:hAnsi="Arial" w:cs="Arial"/>
          <w:sz w:val="22"/>
          <w:szCs w:val="22"/>
          <w:lang w:val="en-GB"/>
        </w:rPr>
        <w:t>For Financing and investment income and expenditure the other differences column recognises adjustments to the General Fund for the timing differences for premiums and discounts</w:t>
      </w:r>
      <w:r w:rsidR="00F254B6" w:rsidRPr="000D67C6">
        <w:rPr>
          <w:rFonts w:ascii="Arial" w:hAnsi="Arial" w:cs="Arial"/>
          <w:sz w:val="22"/>
          <w:szCs w:val="22"/>
          <w:lang w:val="en-GB"/>
        </w:rPr>
        <w:t>.</w:t>
      </w:r>
    </w:p>
    <w:p w14:paraId="3F4470C3" w14:textId="77777777" w:rsidR="00DC6444" w:rsidRPr="000D67C6" w:rsidRDefault="00DC6444" w:rsidP="00DC6444">
      <w:pPr>
        <w:pStyle w:val="Normal0"/>
        <w:spacing w:line="259" w:lineRule="auto"/>
        <w:ind w:left="360"/>
        <w:jc w:val="both"/>
        <w:rPr>
          <w:rFonts w:ascii="Arial" w:hAnsi="Arial" w:cs="Arial"/>
          <w:sz w:val="22"/>
          <w:szCs w:val="22"/>
          <w:lang w:val="en-GB"/>
        </w:rPr>
      </w:pPr>
    </w:p>
    <w:p w14:paraId="3FA6C0A8" w14:textId="77777777" w:rsidR="008F013B" w:rsidRPr="000D67C6" w:rsidRDefault="008F013B" w:rsidP="00C4608B">
      <w:pPr>
        <w:pStyle w:val="Normal0"/>
        <w:numPr>
          <w:ilvl w:val="0"/>
          <w:numId w:val="21"/>
        </w:numPr>
        <w:spacing w:line="259" w:lineRule="auto"/>
        <w:jc w:val="both"/>
        <w:rPr>
          <w:rFonts w:ascii="Arial" w:hAnsi="Arial" w:cs="Arial"/>
          <w:sz w:val="22"/>
          <w:szCs w:val="22"/>
          <w:lang w:val="en-GB"/>
        </w:rPr>
      </w:pPr>
      <w:r w:rsidRPr="000D67C6">
        <w:rPr>
          <w:rFonts w:ascii="Arial" w:hAnsi="Arial" w:cs="Arial"/>
          <w:sz w:val="22"/>
          <w:szCs w:val="22"/>
          <w:lang w:val="en-GB"/>
        </w:rPr>
        <w:t>The charge under Taxation and non-specific grant income and expenditure represents the difference between what is chargeable under statutory regulations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7B39C25F" w14:textId="77777777" w:rsidR="001B2935" w:rsidRPr="000D67C6" w:rsidRDefault="001B2935">
      <w:pPr>
        <w:rPr>
          <w:rFonts w:ascii="Arial" w:hAnsi="Arial" w:cs="Arial"/>
          <w:b/>
          <w:sz w:val="28"/>
          <w:lang w:val="en-GB"/>
        </w:rPr>
      </w:pPr>
    </w:p>
    <w:p w14:paraId="71E2B271" w14:textId="77777777" w:rsidR="0088209F" w:rsidRPr="000D67C6" w:rsidRDefault="0088209F">
      <w:pPr>
        <w:rPr>
          <w:rFonts w:ascii="Arial" w:hAnsi="Arial" w:cs="Arial"/>
          <w:b/>
          <w:sz w:val="28"/>
          <w:lang w:val="en-GB"/>
        </w:rPr>
      </w:pPr>
    </w:p>
    <w:p w14:paraId="443D43D2" w14:textId="77777777" w:rsidR="007C27B7" w:rsidRPr="000D67C6" w:rsidRDefault="007C27B7">
      <w:pPr>
        <w:rPr>
          <w:rFonts w:ascii="Arial" w:hAnsi="Arial" w:cs="Arial"/>
          <w:b/>
          <w:sz w:val="28"/>
          <w:lang w:val="en-GB"/>
        </w:rPr>
      </w:pPr>
      <w:r w:rsidRPr="000D67C6">
        <w:rPr>
          <w:rFonts w:ascii="Arial" w:hAnsi="Arial" w:cs="Arial"/>
          <w:b/>
          <w:sz w:val="28"/>
          <w:lang w:val="en-GB"/>
        </w:rPr>
        <w:br w:type="page"/>
      </w:r>
    </w:p>
    <w:p w14:paraId="20E483AD" w14:textId="1604765B" w:rsidR="008F013B" w:rsidRPr="000D67C6" w:rsidRDefault="007F1AF8" w:rsidP="00DC6444">
      <w:pPr>
        <w:pStyle w:val="Normal0"/>
        <w:spacing w:line="22" w:lineRule="atLeast"/>
        <w:ind w:left="57"/>
        <w:rPr>
          <w:rFonts w:ascii="Arial" w:hAnsi="Arial" w:cs="Arial"/>
          <w:b/>
          <w:sz w:val="28"/>
          <w:lang w:val="en-GB"/>
        </w:rPr>
      </w:pPr>
      <w:r w:rsidRPr="000D67C6">
        <w:rPr>
          <w:rFonts w:ascii="Arial" w:hAnsi="Arial" w:cs="Arial"/>
          <w:b/>
          <w:sz w:val="28"/>
          <w:lang w:val="en-GB"/>
        </w:rPr>
        <w:t>Note 7</w:t>
      </w:r>
      <w:r w:rsidR="008F013B" w:rsidRPr="000D67C6">
        <w:rPr>
          <w:rFonts w:ascii="Arial" w:hAnsi="Arial" w:cs="Arial"/>
          <w:b/>
          <w:sz w:val="28"/>
          <w:lang w:val="en-GB"/>
        </w:rPr>
        <w:t xml:space="preserve"> - Expenditure and Income Analysed by Nature</w:t>
      </w:r>
    </w:p>
    <w:p w14:paraId="799C499A" w14:textId="77777777" w:rsidR="007F1AF8" w:rsidRPr="000D67C6" w:rsidRDefault="007F1AF8" w:rsidP="00DC6444">
      <w:pPr>
        <w:pStyle w:val="Normal0"/>
        <w:spacing w:line="22" w:lineRule="atLeast"/>
        <w:ind w:left="57"/>
        <w:rPr>
          <w:rFonts w:ascii="Arial" w:hAnsi="Arial" w:cs="Arial"/>
          <w:b/>
          <w:sz w:val="28"/>
          <w:lang w:val="en-GB"/>
        </w:rPr>
      </w:pPr>
    </w:p>
    <w:tbl>
      <w:tblPr>
        <w:tblW w:w="742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0"/>
        <w:gridCol w:w="4980"/>
        <w:gridCol w:w="1220"/>
      </w:tblGrid>
      <w:tr w:rsidR="007F1AF8" w:rsidRPr="000D67C6" w14:paraId="4CDCD825" w14:textId="77777777" w:rsidTr="007F1AF8">
        <w:trPr>
          <w:trHeight w:val="288"/>
          <w:jc w:val="center"/>
        </w:trPr>
        <w:tc>
          <w:tcPr>
            <w:tcW w:w="1220" w:type="dxa"/>
            <w:tcBorders>
              <w:top w:val="single" w:sz="4" w:space="0" w:color="auto"/>
              <w:bottom w:val="nil"/>
              <w:right w:val="single" w:sz="4" w:space="0" w:color="auto"/>
            </w:tcBorders>
            <w:shd w:val="clear" w:color="auto" w:fill="auto"/>
            <w:vAlign w:val="bottom"/>
            <w:hideMark/>
          </w:tcPr>
          <w:p w14:paraId="7BC09D44" w14:textId="77777777" w:rsidR="007F1AF8" w:rsidRPr="000D67C6" w:rsidRDefault="00591F0F" w:rsidP="007F1AF8">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201</w:t>
            </w:r>
            <w:r w:rsidR="00790DD4" w:rsidRPr="000D67C6">
              <w:rPr>
                <w:rFonts w:ascii="Arial" w:eastAsia="Times New Roman" w:hAnsi="Arial" w:cs="Arial"/>
                <w:b/>
                <w:bCs/>
                <w:sz w:val="20"/>
                <w:szCs w:val="20"/>
                <w:lang w:val="en-GB" w:eastAsia="en-GB"/>
              </w:rPr>
              <w:t>7</w:t>
            </w:r>
            <w:r w:rsidRPr="000D67C6">
              <w:rPr>
                <w:rFonts w:ascii="Arial" w:eastAsia="Times New Roman" w:hAnsi="Arial" w:cs="Arial"/>
                <w:b/>
                <w:bCs/>
                <w:sz w:val="20"/>
                <w:szCs w:val="20"/>
                <w:lang w:val="en-GB" w:eastAsia="en-GB"/>
              </w:rPr>
              <w:t>/1</w:t>
            </w:r>
            <w:r w:rsidR="00790DD4" w:rsidRPr="000D67C6">
              <w:rPr>
                <w:rFonts w:ascii="Arial" w:eastAsia="Times New Roman" w:hAnsi="Arial" w:cs="Arial"/>
                <w:b/>
                <w:bCs/>
                <w:sz w:val="20"/>
                <w:szCs w:val="20"/>
                <w:lang w:val="en-GB" w:eastAsia="en-GB"/>
              </w:rPr>
              <w:t>8</w:t>
            </w:r>
          </w:p>
        </w:tc>
        <w:tc>
          <w:tcPr>
            <w:tcW w:w="4980" w:type="dxa"/>
            <w:tcBorders>
              <w:top w:val="single" w:sz="4" w:space="0" w:color="auto"/>
              <w:left w:val="single" w:sz="4" w:space="0" w:color="auto"/>
              <w:bottom w:val="nil"/>
              <w:right w:val="single" w:sz="4" w:space="0" w:color="auto"/>
            </w:tcBorders>
            <w:shd w:val="clear" w:color="auto" w:fill="auto"/>
            <w:vAlign w:val="bottom"/>
            <w:hideMark/>
          </w:tcPr>
          <w:p w14:paraId="275E3184" w14:textId="77777777" w:rsidR="007F1AF8" w:rsidRPr="000D67C6" w:rsidRDefault="007F1AF8" w:rsidP="007F1AF8">
            <w:pPr>
              <w:jc w:val="right"/>
              <w:rPr>
                <w:rFonts w:ascii="Arial" w:eastAsia="Times New Roman" w:hAnsi="Arial" w:cs="Arial"/>
                <w:b/>
                <w:bCs/>
                <w:sz w:val="20"/>
                <w:szCs w:val="20"/>
                <w:lang w:val="en-GB" w:eastAsia="en-GB"/>
              </w:rPr>
            </w:pPr>
          </w:p>
        </w:tc>
        <w:tc>
          <w:tcPr>
            <w:tcW w:w="1220" w:type="dxa"/>
            <w:tcBorders>
              <w:top w:val="single" w:sz="4" w:space="0" w:color="auto"/>
              <w:left w:val="single" w:sz="4" w:space="0" w:color="auto"/>
              <w:bottom w:val="nil"/>
            </w:tcBorders>
            <w:shd w:val="clear" w:color="auto" w:fill="auto"/>
            <w:vAlign w:val="bottom"/>
            <w:hideMark/>
          </w:tcPr>
          <w:p w14:paraId="639E5983" w14:textId="77777777" w:rsidR="007F1AF8" w:rsidRPr="000D67C6" w:rsidRDefault="00591F0F" w:rsidP="007F1AF8">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201</w:t>
            </w:r>
            <w:r w:rsidR="00790DD4" w:rsidRPr="000D67C6">
              <w:rPr>
                <w:rFonts w:ascii="Arial" w:eastAsia="Times New Roman" w:hAnsi="Arial" w:cs="Arial"/>
                <w:b/>
                <w:bCs/>
                <w:sz w:val="20"/>
                <w:szCs w:val="20"/>
                <w:lang w:val="en-GB" w:eastAsia="en-GB"/>
              </w:rPr>
              <w:t>8</w:t>
            </w:r>
            <w:r w:rsidRPr="000D67C6">
              <w:rPr>
                <w:rFonts w:ascii="Arial" w:eastAsia="Times New Roman" w:hAnsi="Arial" w:cs="Arial"/>
                <w:b/>
                <w:bCs/>
                <w:sz w:val="20"/>
                <w:szCs w:val="20"/>
                <w:lang w:val="en-GB" w:eastAsia="en-GB"/>
              </w:rPr>
              <w:t>/1</w:t>
            </w:r>
            <w:r w:rsidR="00790DD4" w:rsidRPr="000D67C6">
              <w:rPr>
                <w:rFonts w:ascii="Arial" w:eastAsia="Times New Roman" w:hAnsi="Arial" w:cs="Arial"/>
                <w:b/>
                <w:bCs/>
                <w:sz w:val="20"/>
                <w:szCs w:val="20"/>
                <w:lang w:val="en-GB" w:eastAsia="en-GB"/>
              </w:rPr>
              <w:t>9</w:t>
            </w:r>
          </w:p>
        </w:tc>
      </w:tr>
      <w:tr w:rsidR="007F1AF8" w:rsidRPr="000D67C6" w14:paraId="77ED6182" w14:textId="77777777" w:rsidTr="007F1AF8">
        <w:trPr>
          <w:trHeight w:val="288"/>
          <w:jc w:val="center"/>
        </w:trPr>
        <w:tc>
          <w:tcPr>
            <w:tcW w:w="1220" w:type="dxa"/>
            <w:tcBorders>
              <w:top w:val="nil"/>
              <w:bottom w:val="single" w:sz="4" w:space="0" w:color="auto"/>
              <w:right w:val="single" w:sz="4" w:space="0" w:color="auto"/>
            </w:tcBorders>
            <w:shd w:val="clear" w:color="auto" w:fill="auto"/>
            <w:noWrap/>
            <w:vAlign w:val="bottom"/>
            <w:hideMark/>
          </w:tcPr>
          <w:p w14:paraId="4F5CF050" w14:textId="77777777" w:rsidR="007F1AF8" w:rsidRPr="000D67C6" w:rsidRDefault="007F1AF8" w:rsidP="007F1AF8">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£000</w:t>
            </w:r>
          </w:p>
        </w:tc>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B7C03FB" w14:textId="77777777" w:rsidR="007F1AF8" w:rsidRPr="000D67C6" w:rsidRDefault="007F1AF8" w:rsidP="007F1AF8">
            <w:pPr>
              <w:jc w:val="right"/>
              <w:rPr>
                <w:rFonts w:ascii="Arial" w:eastAsia="Times New Roman" w:hAnsi="Arial" w:cs="Arial"/>
                <w:b/>
                <w:bCs/>
                <w:sz w:val="20"/>
                <w:szCs w:val="20"/>
                <w:lang w:val="en-GB" w:eastAsia="en-GB"/>
              </w:rPr>
            </w:pPr>
          </w:p>
        </w:tc>
        <w:tc>
          <w:tcPr>
            <w:tcW w:w="1220" w:type="dxa"/>
            <w:tcBorders>
              <w:top w:val="nil"/>
              <w:left w:val="single" w:sz="4" w:space="0" w:color="auto"/>
              <w:bottom w:val="single" w:sz="4" w:space="0" w:color="auto"/>
            </w:tcBorders>
            <w:shd w:val="clear" w:color="auto" w:fill="auto"/>
            <w:noWrap/>
            <w:vAlign w:val="bottom"/>
            <w:hideMark/>
          </w:tcPr>
          <w:p w14:paraId="1FB182A3" w14:textId="77777777" w:rsidR="007F1AF8" w:rsidRPr="000D67C6" w:rsidRDefault="007F1AF8" w:rsidP="007F1AF8">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£000</w:t>
            </w:r>
          </w:p>
        </w:tc>
      </w:tr>
      <w:tr w:rsidR="007F1AF8" w:rsidRPr="000D67C6" w14:paraId="18AB88AC" w14:textId="77777777" w:rsidTr="00022835">
        <w:trPr>
          <w:trHeight w:val="459"/>
          <w:jc w:val="center"/>
        </w:trPr>
        <w:tc>
          <w:tcPr>
            <w:tcW w:w="1220" w:type="dxa"/>
            <w:tcBorders>
              <w:top w:val="single" w:sz="4" w:space="0" w:color="auto"/>
              <w:right w:val="single" w:sz="4" w:space="0" w:color="auto"/>
            </w:tcBorders>
            <w:shd w:val="clear" w:color="auto" w:fill="auto"/>
            <w:noWrap/>
            <w:vAlign w:val="center"/>
            <w:hideMark/>
          </w:tcPr>
          <w:p w14:paraId="68C29E34" w14:textId="77777777" w:rsidR="007F1AF8" w:rsidRPr="000D67C6" w:rsidRDefault="007F1AF8" w:rsidP="007F1AF8">
            <w:pPr>
              <w:jc w:val="right"/>
              <w:rPr>
                <w:rFonts w:ascii="Arial" w:eastAsia="Times New Roman" w:hAnsi="Arial" w:cs="Arial"/>
                <w:b/>
                <w:bCs/>
                <w:sz w:val="20"/>
                <w:szCs w:val="20"/>
                <w:lang w:val="en-GB" w:eastAsia="en-GB"/>
              </w:rPr>
            </w:pPr>
          </w:p>
        </w:tc>
        <w:tc>
          <w:tcPr>
            <w:tcW w:w="4980" w:type="dxa"/>
            <w:tcBorders>
              <w:top w:val="single" w:sz="4" w:space="0" w:color="auto"/>
              <w:left w:val="single" w:sz="4" w:space="0" w:color="auto"/>
              <w:right w:val="single" w:sz="4" w:space="0" w:color="auto"/>
            </w:tcBorders>
            <w:shd w:val="clear" w:color="auto" w:fill="auto"/>
            <w:noWrap/>
            <w:vAlign w:val="center"/>
            <w:hideMark/>
          </w:tcPr>
          <w:p w14:paraId="0D3C12FA" w14:textId="77777777" w:rsidR="007F1AF8" w:rsidRPr="000D67C6" w:rsidRDefault="007F1AF8" w:rsidP="007F1AF8">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Expenditure</w:t>
            </w:r>
          </w:p>
        </w:tc>
        <w:tc>
          <w:tcPr>
            <w:tcW w:w="1220" w:type="dxa"/>
            <w:tcBorders>
              <w:top w:val="single" w:sz="4" w:space="0" w:color="auto"/>
              <w:left w:val="single" w:sz="4" w:space="0" w:color="auto"/>
            </w:tcBorders>
            <w:shd w:val="clear" w:color="auto" w:fill="auto"/>
            <w:noWrap/>
            <w:vAlign w:val="center"/>
            <w:hideMark/>
          </w:tcPr>
          <w:p w14:paraId="54B0AB61" w14:textId="77777777" w:rsidR="007F1AF8" w:rsidRPr="000D67C6" w:rsidRDefault="007F1AF8" w:rsidP="007F1AF8">
            <w:pPr>
              <w:rPr>
                <w:rFonts w:ascii="Arial" w:eastAsia="Times New Roman" w:hAnsi="Arial" w:cs="Arial"/>
                <w:b/>
                <w:bCs/>
                <w:sz w:val="20"/>
                <w:szCs w:val="20"/>
                <w:lang w:val="en-GB" w:eastAsia="en-GB"/>
              </w:rPr>
            </w:pPr>
          </w:p>
        </w:tc>
      </w:tr>
      <w:tr w:rsidR="00790DD4" w:rsidRPr="000D67C6" w14:paraId="39799580" w14:textId="77777777" w:rsidTr="00022835">
        <w:trPr>
          <w:trHeight w:val="288"/>
          <w:jc w:val="center"/>
        </w:trPr>
        <w:tc>
          <w:tcPr>
            <w:tcW w:w="1220" w:type="dxa"/>
            <w:tcBorders>
              <w:left w:val="single" w:sz="4" w:space="0" w:color="auto"/>
            </w:tcBorders>
            <w:shd w:val="clear" w:color="auto" w:fill="auto"/>
            <w:noWrap/>
            <w:vAlign w:val="center"/>
            <w:hideMark/>
          </w:tcPr>
          <w:p w14:paraId="07A6FF90"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38,007</w:t>
            </w:r>
          </w:p>
        </w:tc>
        <w:tc>
          <w:tcPr>
            <w:tcW w:w="4980" w:type="dxa"/>
            <w:tcBorders>
              <w:left w:val="single" w:sz="4" w:space="0" w:color="auto"/>
              <w:right w:val="single" w:sz="4" w:space="0" w:color="auto"/>
            </w:tcBorders>
            <w:shd w:val="clear" w:color="auto" w:fill="auto"/>
            <w:noWrap/>
            <w:vAlign w:val="center"/>
            <w:hideMark/>
          </w:tcPr>
          <w:p w14:paraId="2CA6D8F5"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Employee Costs</w:t>
            </w:r>
          </w:p>
        </w:tc>
        <w:tc>
          <w:tcPr>
            <w:tcW w:w="1220" w:type="dxa"/>
            <w:tcBorders>
              <w:left w:val="single" w:sz="4" w:space="0" w:color="auto"/>
            </w:tcBorders>
            <w:shd w:val="clear" w:color="auto" w:fill="auto"/>
            <w:noWrap/>
            <w:vAlign w:val="center"/>
          </w:tcPr>
          <w:p w14:paraId="17DDF7D6" w14:textId="28B3E3BF" w:rsidR="00790DD4" w:rsidRPr="000D67C6" w:rsidRDefault="008B152F"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6</w:t>
            </w:r>
            <w:r w:rsidR="009047DC">
              <w:rPr>
                <w:rFonts w:ascii="Arial" w:eastAsia="Times New Roman" w:hAnsi="Arial" w:cs="Arial"/>
                <w:sz w:val="20"/>
                <w:szCs w:val="20"/>
                <w:lang w:val="en-GB" w:eastAsia="en-GB"/>
              </w:rPr>
              <w:t>5</w:t>
            </w:r>
            <w:r w:rsidRPr="000D67C6">
              <w:rPr>
                <w:rFonts w:ascii="Arial" w:eastAsia="Times New Roman" w:hAnsi="Arial" w:cs="Arial"/>
                <w:sz w:val="20"/>
                <w:szCs w:val="20"/>
                <w:lang w:val="en-GB" w:eastAsia="en-GB"/>
              </w:rPr>
              <w:t>,</w:t>
            </w:r>
            <w:r w:rsidR="009047DC">
              <w:rPr>
                <w:rFonts w:ascii="Arial" w:eastAsia="Times New Roman" w:hAnsi="Arial" w:cs="Arial"/>
                <w:sz w:val="20"/>
                <w:szCs w:val="20"/>
                <w:lang w:val="en-GB" w:eastAsia="en-GB"/>
              </w:rPr>
              <w:t>0</w:t>
            </w:r>
            <w:r w:rsidRPr="000D67C6">
              <w:rPr>
                <w:rFonts w:ascii="Arial" w:eastAsia="Times New Roman" w:hAnsi="Arial" w:cs="Arial"/>
                <w:sz w:val="20"/>
                <w:szCs w:val="20"/>
                <w:lang w:val="en-GB" w:eastAsia="en-GB"/>
              </w:rPr>
              <w:t>97</w:t>
            </w:r>
          </w:p>
        </w:tc>
      </w:tr>
      <w:tr w:rsidR="00790DD4" w:rsidRPr="000D67C6" w14:paraId="2C8B7136" w14:textId="77777777" w:rsidTr="00022835">
        <w:trPr>
          <w:trHeight w:val="288"/>
          <w:jc w:val="center"/>
        </w:trPr>
        <w:tc>
          <w:tcPr>
            <w:tcW w:w="1220" w:type="dxa"/>
            <w:tcBorders>
              <w:left w:val="single" w:sz="4" w:space="0" w:color="auto"/>
            </w:tcBorders>
            <w:shd w:val="clear" w:color="auto" w:fill="auto"/>
            <w:noWrap/>
            <w:vAlign w:val="center"/>
            <w:hideMark/>
          </w:tcPr>
          <w:p w14:paraId="0869114A"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12,984</w:t>
            </w:r>
          </w:p>
        </w:tc>
        <w:tc>
          <w:tcPr>
            <w:tcW w:w="4980" w:type="dxa"/>
            <w:tcBorders>
              <w:left w:val="single" w:sz="4" w:space="0" w:color="auto"/>
              <w:right w:val="single" w:sz="4" w:space="0" w:color="auto"/>
            </w:tcBorders>
            <w:shd w:val="clear" w:color="auto" w:fill="auto"/>
            <w:noWrap/>
            <w:vAlign w:val="center"/>
            <w:hideMark/>
          </w:tcPr>
          <w:p w14:paraId="41C909CB"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Other Operating Costs</w:t>
            </w:r>
          </w:p>
        </w:tc>
        <w:tc>
          <w:tcPr>
            <w:tcW w:w="1220" w:type="dxa"/>
            <w:tcBorders>
              <w:left w:val="single" w:sz="4" w:space="0" w:color="auto"/>
            </w:tcBorders>
            <w:shd w:val="clear" w:color="auto" w:fill="auto"/>
            <w:noWrap/>
            <w:vAlign w:val="center"/>
          </w:tcPr>
          <w:p w14:paraId="58897647" w14:textId="77777777" w:rsidR="00790DD4" w:rsidRPr="000D67C6" w:rsidRDefault="00B4214F"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11,951</w:t>
            </w:r>
          </w:p>
        </w:tc>
      </w:tr>
      <w:tr w:rsidR="00790DD4" w:rsidRPr="000D67C6" w14:paraId="7A2D7618" w14:textId="77777777" w:rsidTr="00022835">
        <w:trPr>
          <w:trHeight w:val="288"/>
          <w:jc w:val="center"/>
        </w:trPr>
        <w:tc>
          <w:tcPr>
            <w:tcW w:w="1220" w:type="dxa"/>
            <w:tcBorders>
              <w:left w:val="single" w:sz="4" w:space="0" w:color="auto"/>
            </w:tcBorders>
            <w:shd w:val="clear" w:color="auto" w:fill="auto"/>
            <w:noWrap/>
            <w:vAlign w:val="center"/>
            <w:hideMark/>
          </w:tcPr>
          <w:p w14:paraId="7C830246"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7,525</w:t>
            </w:r>
          </w:p>
        </w:tc>
        <w:tc>
          <w:tcPr>
            <w:tcW w:w="4980" w:type="dxa"/>
            <w:tcBorders>
              <w:left w:val="single" w:sz="4" w:space="0" w:color="auto"/>
              <w:right w:val="single" w:sz="4" w:space="0" w:color="auto"/>
            </w:tcBorders>
            <w:shd w:val="clear" w:color="auto" w:fill="auto"/>
            <w:noWrap/>
            <w:vAlign w:val="center"/>
            <w:hideMark/>
          </w:tcPr>
          <w:p w14:paraId="48FB3994"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Support Services</w:t>
            </w:r>
          </w:p>
        </w:tc>
        <w:tc>
          <w:tcPr>
            <w:tcW w:w="1220" w:type="dxa"/>
            <w:tcBorders>
              <w:left w:val="single" w:sz="4" w:space="0" w:color="auto"/>
            </w:tcBorders>
            <w:shd w:val="clear" w:color="auto" w:fill="auto"/>
            <w:noWrap/>
            <w:vAlign w:val="center"/>
          </w:tcPr>
          <w:p w14:paraId="68DCD03C" w14:textId="77777777" w:rsidR="00790DD4" w:rsidRPr="000D67C6" w:rsidRDefault="00B4214F"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w:t>
            </w:r>
            <w:r w:rsidR="00AE2D8E" w:rsidRPr="000D67C6">
              <w:rPr>
                <w:rFonts w:ascii="Arial" w:eastAsia="Times New Roman" w:hAnsi="Arial" w:cs="Arial"/>
                <w:sz w:val="20"/>
                <w:szCs w:val="20"/>
                <w:lang w:val="en-GB" w:eastAsia="en-GB"/>
              </w:rPr>
              <w:t>710</w:t>
            </w:r>
          </w:p>
        </w:tc>
      </w:tr>
      <w:tr w:rsidR="00790DD4" w:rsidRPr="000D67C6" w14:paraId="1F814808" w14:textId="77777777" w:rsidTr="00022835">
        <w:trPr>
          <w:trHeight w:val="288"/>
          <w:jc w:val="center"/>
        </w:trPr>
        <w:tc>
          <w:tcPr>
            <w:tcW w:w="1220" w:type="dxa"/>
            <w:tcBorders>
              <w:left w:val="single" w:sz="4" w:space="0" w:color="auto"/>
            </w:tcBorders>
            <w:shd w:val="clear" w:color="auto" w:fill="auto"/>
            <w:noWrap/>
            <w:vAlign w:val="center"/>
            <w:hideMark/>
          </w:tcPr>
          <w:p w14:paraId="3D1870ED"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2,787</w:t>
            </w:r>
          </w:p>
        </w:tc>
        <w:tc>
          <w:tcPr>
            <w:tcW w:w="4980" w:type="dxa"/>
            <w:tcBorders>
              <w:left w:val="single" w:sz="4" w:space="0" w:color="auto"/>
              <w:right w:val="single" w:sz="4" w:space="0" w:color="auto"/>
            </w:tcBorders>
            <w:shd w:val="clear" w:color="auto" w:fill="auto"/>
            <w:noWrap/>
            <w:vAlign w:val="center"/>
            <w:hideMark/>
          </w:tcPr>
          <w:p w14:paraId="6DB117D3"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Depreciation, Amortisation, Impairment &amp; Revaluation</w:t>
            </w:r>
          </w:p>
        </w:tc>
        <w:tc>
          <w:tcPr>
            <w:tcW w:w="1220" w:type="dxa"/>
            <w:tcBorders>
              <w:left w:val="single" w:sz="4" w:space="0" w:color="auto"/>
            </w:tcBorders>
            <w:shd w:val="clear" w:color="auto" w:fill="auto"/>
            <w:noWrap/>
            <w:vAlign w:val="center"/>
          </w:tcPr>
          <w:p w14:paraId="3DEBF0CA" w14:textId="5C278049" w:rsidR="00790DD4" w:rsidRPr="000D67C6" w:rsidRDefault="00B4214F"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w:t>
            </w:r>
            <w:r w:rsidR="006174B1" w:rsidRPr="000D67C6">
              <w:rPr>
                <w:rFonts w:ascii="Arial" w:eastAsia="Times New Roman" w:hAnsi="Arial" w:cs="Arial"/>
                <w:sz w:val="20"/>
                <w:szCs w:val="20"/>
                <w:lang w:val="en-GB" w:eastAsia="en-GB"/>
              </w:rPr>
              <w:t>941</w:t>
            </w:r>
          </w:p>
        </w:tc>
      </w:tr>
      <w:tr w:rsidR="00790DD4" w:rsidRPr="000D67C6" w14:paraId="3F1527CF" w14:textId="77777777" w:rsidTr="00022835">
        <w:trPr>
          <w:trHeight w:val="288"/>
          <w:jc w:val="center"/>
        </w:trPr>
        <w:tc>
          <w:tcPr>
            <w:tcW w:w="1220" w:type="dxa"/>
            <w:tcBorders>
              <w:left w:val="single" w:sz="4" w:space="0" w:color="auto"/>
            </w:tcBorders>
            <w:shd w:val="clear" w:color="auto" w:fill="auto"/>
            <w:noWrap/>
            <w:vAlign w:val="center"/>
            <w:hideMark/>
          </w:tcPr>
          <w:p w14:paraId="3DB51BCB"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774</w:t>
            </w:r>
          </w:p>
        </w:tc>
        <w:tc>
          <w:tcPr>
            <w:tcW w:w="4980" w:type="dxa"/>
            <w:tcBorders>
              <w:left w:val="single" w:sz="4" w:space="0" w:color="auto"/>
              <w:right w:val="single" w:sz="4" w:space="0" w:color="auto"/>
            </w:tcBorders>
            <w:shd w:val="clear" w:color="auto" w:fill="auto"/>
            <w:noWrap/>
            <w:vAlign w:val="center"/>
            <w:hideMark/>
          </w:tcPr>
          <w:p w14:paraId="67F8201F"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Interest Paid</w:t>
            </w:r>
          </w:p>
        </w:tc>
        <w:tc>
          <w:tcPr>
            <w:tcW w:w="1220" w:type="dxa"/>
            <w:tcBorders>
              <w:left w:val="single" w:sz="4" w:space="0" w:color="auto"/>
            </w:tcBorders>
            <w:shd w:val="clear" w:color="auto" w:fill="auto"/>
            <w:noWrap/>
            <w:vAlign w:val="center"/>
          </w:tcPr>
          <w:p w14:paraId="34F53C40"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746</w:t>
            </w:r>
          </w:p>
        </w:tc>
      </w:tr>
      <w:tr w:rsidR="00790DD4" w:rsidRPr="000D67C6" w14:paraId="283082AF" w14:textId="77777777" w:rsidTr="00022835">
        <w:trPr>
          <w:trHeight w:val="288"/>
          <w:jc w:val="center"/>
        </w:trPr>
        <w:tc>
          <w:tcPr>
            <w:tcW w:w="1220" w:type="dxa"/>
            <w:tcBorders>
              <w:left w:val="single" w:sz="4" w:space="0" w:color="auto"/>
            </w:tcBorders>
            <w:shd w:val="clear" w:color="auto" w:fill="auto"/>
            <w:noWrap/>
            <w:vAlign w:val="center"/>
            <w:hideMark/>
          </w:tcPr>
          <w:p w14:paraId="29A511C2"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c>
          <w:tcPr>
            <w:tcW w:w="4980" w:type="dxa"/>
            <w:tcBorders>
              <w:left w:val="single" w:sz="4" w:space="0" w:color="auto"/>
              <w:right w:val="single" w:sz="4" w:space="0" w:color="auto"/>
            </w:tcBorders>
            <w:shd w:val="clear" w:color="auto" w:fill="auto"/>
            <w:noWrap/>
            <w:vAlign w:val="center"/>
            <w:hideMark/>
          </w:tcPr>
          <w:p w14:paraId="3CA705FC" w14:textId="77777777" w:rsidR="00790DD4" w:rsidRPr="000D67C6" w:rsidRDefault="00686EE8"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L</w:t>
            </w:r>
            <w:r w:rsidR="00790DD4" w:rsidRPr="000D67C6">
              <w:rPr>
                <w:rFonts w:ascii="Arial" w:eastAsia="Times New Roman" w:hAnsi="Arial" w:cs="Arial"/>
                <w:sz w:val="20"/>
                <w:szCs w:val="20"/>
                <w:lang w:val="en-GB" w:eastAsia="en-GB"/>
              </w:rPr>
              <w:t>oss on disposal of assets</w:t>
            </w:r>
          </w:p>
        </w:tc>
        <w:tc>
          <w:tcPr>
            <w:tcW w:w="1220" w:type="dxa"/>
            <w:tcBorders>
              <w:left w:val="single" w:sz="4" w:space="0" w:color="auto"/>
            </w:tcBorders>
            <w:shd w:val="clear" w:color="auto" w:fill="auto"/>
            <w:noWrap/>
            <w:vAlign w:val="center"/>
          </w:tcPr>
          <w:p w14:paraId="6E9D6B76"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29</w:t>
            </w:r>
          </w:p>
        </w:tc>
      </w:tr>
      <w:tr w:rsidR="00790DD4" w:rsidRPr="000D67C6" w14:paraId="082DF983" w14:textId="77777777" w:rsidTr="00022835">
        <w:trPr>
          <w:trHeight w:val="426"/>
          <w:jc w:val="center"/>
        </w:trPr>
        <w:tc>
          <w:tcPr>
            <w:tcW w:w="1220" w:type="dxa"/>
            <w:tcBorders>
              <w:left w:val="single" w:sz="4" w:space="0" w:color="auto"/>
            </w:tcBorders>
            <w:shd w:val="clear" w:color="auto" w:fill="auto"/>
            <w:noWrap/>
            <w:vAlign w:val="center"/>
            <w:hideMark/>
          </w:tcPr>
          <w:p w14:paraId="68122DF1" w14:textId="77777777" w:rsidR="00790DD4" w:rsidRPr="000D67C6" w:rsidRDefault="00790DD4"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62,077</w:t>
            </w:r>
          </w:p>
        </w:tc>
        <w:tc>
          <w:tcPr>
            <w:tcW w:w="4980" w:type="dxa"/>
            <w:tcBorders>
              <w:left w:val="single" w:sz="4" w:space="0" w:color="auto"/>
              <w:right w:val="single" w:sz="4" w:space="0" w:color="auto"/>
            </w:tcBorders>
            <w:shd w:val="clear" w:color="auto" w:fill="auto"/>
            <w:noWrap/>
            <w:vAlign w:val="center"/>
            <w:hideMark/>
          </w:tcPr>
          <w:p w14:paraId="1C796380" w14:textId="77777777" w:rsidR="00790DD4" w:rsidRPr="000D67C6" w:rsidRDefault="00790DD4" w:rsidP="00790DD4">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Expenditure</w:t>
            </w:r>
          </w:p>
        </w:tc>
        <w:tc>
          <w:tcPr>
            <w:tcW w:w="1220" w:type="dxa"/>
            <w:tcBorders>
              <w:left w:val="single" w:sz="4" w:space="0" w:color="auto"/>
            </w:tcBorders>
            <w:shd w:val="clear" w:color="auto" w:fill="auto"/>
            <w:noWrap/>
            <w:vAlign w:val="center"/>
          </w:tcPr>
          <w:p w14:paraId="77EADD05" w14:textId="79EB60B8" w:rsidR="00790DD4" w:rsidRPr="000D67C6" w:rsidRDefault="008B152F"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8</w:t>
            </w:r>
            <w:r w:rsidR="001B6A20">
              <w:rPr>
                <w:rFonts w:ascii="Arial" w:eastAsia="Times New Roman" w:hAnsi="Arial" w:cs="Arial"/>
                <w:b/>
                <w:bCs/>
                <w:sz w:val="20"/>
                <w:szCs w:val="20"/>
                <w:lang w:val="en-GB" w:eastAsia="en-GB"/>
              </w:rPr>
              <w:t>8</w:t>
            </w:r>
            <w:r w:rsidRPr="000D67C6">
              <w:rPr>
                <w:rFonts w:ascii="Arial" w:eastAsia="Times New Roman" w:hAnsi="Arial" w:cs="Arial"/>
                <w:b/>
                <w:bCs/>
                <w:sz w:val="20"/>
                <w:szCs w:val="20"/>
                <w:lang w:val="en-GB" w:eastAsia="en-GB"/>
              </w:rPr>
              <w:t>,</w:t>
            </w:r>
            <w:r w:rsidR="00F209E6">
              <w:rPr>
                <w:rFonts w:ascii="Arial" w:eastAsia="Times New Roman" w:hAnsi="Arial" w:cs="Arial"/>
                <w:b/>
                <w:bCs/>
                <w:sz w:val="20"/>
                <w:szCs w:val="20"/>
                <w:lang w:val="en-GB" w:eastAsia="en-GB"/>
              </w:rPr>
              <w:t>474</w:t>
            </w:r>
          </w:p>
        </w:tc>
      </w:tr>
      <w:tr w:rsidR="00790DD4" w:rsidRPr="000D67C6" w14:paraId="129C8967" w14:textId="77777777" w:rsidTr="00610E83">
        <w:trPr>
          <w:trHeight w:val="264"/>
          <w:jc w:val="center"/>
        </w:trPr>
        <w:tc>
          <w:tcPr>
            <w:tcW w:w="1220" w:type="dxa"/>
            <w:tcBorders>
              <w:left w:val="single" w:sz="4" w:space="0" w:color="auto"/>
            </w:tcBorders>
            <w:shd w:val="clear" w:color="auto" w:fill="auto"/>
            <w:noWrap/>
            <w:vAlign w:val="center"/>
            <w:hideMark/>
          </w:tcPr>
          <w:p w14:paraId="66C9D142" w14:textId="77777777" w:rsidR="00790DD4" w:rsidRPr="000D67C6" w:rsidRDefault="00790DD4" w:rsidP="00790DD4">
            <w:pPr>
              <w:rPr>
                <w:rFonts w:ascii="Arial" w:eastAsia="Times New Roman" w:hAnsi="Arial" w:cs="Arial"/>
                <w:b/>
                <w:bCs/>
                <w:sz w:val="20"/>
                <w:szCs w:val="20"/>
                <w:lang w:val="en-GB" w:eastAsia="en-GB"/>
              </w:rPr>
            </w:pPr>
          </w:p>
        </w:tc>
        <w:tc>
          <w:tcPr>
            <w:tcW w:w="4980" w:type="dxa"/>
            <w:tcBorders>
              <w:left w:val="single" w:sz="4" w:space="0" w:color="auto"/>
              <w:right w:val="single" w:sz="4" w:space="0" w:color="auto"/>
            </w:tcBorders>
            <w:shd w:val="clear" w:color="auto" w:fill="auto"/>
            <w:noWrap/>
            <w:vAlign w:val="center"/>
            <w:hideMark/>
          </w:tcPr>
          <w:p w14:paraId="676DB36E" w14:textId="77777777" w:rsidR="00790DD4" w:rsidRPr="000D67C6" w:rsidRDefault="00790DD4" w:rsidP="00790DD4">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Income</w:t>
            </w:r>
          </w:p>
        </w:tc>
        <w:tc>
          <w:tcPr>
            <w:tcW w:w="1220" w:type="dxa"/>
            <w:tcBorders>
              <w:left w:val="single" w:sz="4" w:space="0" w:color="auto"/>
            </w:tcBorders>
            <w:shd w:val="clear" w:color="auto" w:fill="auto"/>
            <w:noWrap/>
            <w:vAlign w:val="center"/>
          </w:tcPr>
          <w:p w14:paraId="768976B9" w14:textId="77777777" w:rsidR="00790DD4" w:rsidRPr="000D67C6" w:rsidRDefault="00790DD4" w:rsidP="00790DD4">
            <w:pPr>
              <w:rPr>
                <w:rFonts w:ascii="Arial" w:eastAsia="Times New Roman" w:hAnsi="Arial" w:cs="Arial"/>
                <w:b/>
                <w:bCs/>
                <w:sz w:val="20"/>
                <w:szCs w:val="20"/>
                <w:lang w:val="en-GB" w:eastAsia="en-GB"/>
              </w:rPr>
            </w:pPr>
          </w:p>
        </w:tc>
      </w:tr>
      <w:tr w:rsidR="00790DD4" w:rsidRPr="000D67C6" w14:paraId="7539D86A" w14:textId="77777777" w:rsidTr="00022835">
        <w:trPr>
          <w:trHeight w:val="288"/>
          <w:jc w:val="center"/>
        </w:trPr>
        <w:tc>
          <w:tcPr>
            <w:tcW w:w="1220" w:type="dxa"/>
            <w:tcBorders>
              <w:left w:val="single" w:sz="4" w:space="0" w:color="auto"/>
            </w:tcBorders>
            <w:shd w:val="clear" w:color="auto" w:fill="auto"/>
            <w:noWrap/>
            <w:vAlign w:val="center"/>
            <w:hideMark/>
          </w:tcPr>
          <w:p w14:paraId="1A4FE101"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(1,375)</w:t>
            </w:r>
          </w:p>
        </w:tc>
        <w:tc>
          <w:tcPr>
            <w:tcW w:w="4980" w:type="dxa"/>
            <w:tcBorders>
              <w:left w:val="single" w:sz="4" w:space="0" w:color="auto"/>
              <w:right w:val="single" w:sz="4" w:space="0" w:color="auto"/>
            </w:tcBorders>
            <w:shd w:val="clear" w:color="auto" w:fill="auto"/>
            <w:noWrap/>
            <w:vAlign w:val="center"/>
            <w:hideMark/>
          </w:tcPr>
          <w:p w14:paraId="057799C4"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Fees, Charges, &amp; Other Service Income</w:t>
            </w:r>
          </w:p>
        </w:tc>
        <w:tc>
          <w:tcPr>
            <w:tcW w:w="1220" w:type="dxa"/>
            <w:tcBorders>
              <w:left w:val="single" w:sz="4" w:space="0" w:color="auto"/>
            </w:tcBorders>
            <w:shd w:val="clear" w:color="auto" w:fill="auto"/>
            <w:noWrap/>
            <w:vAlign w:val="center"/>
          </w:tcPr>
          <w:p w14:paraId="5852A2BC"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(1,309)</w:t>
            </w:r>
          </w:p>
        </w:tc>
      </w:tr>
      <w:tr w:rsidR="00790DD4" w:rsidRPr="000D67C6" w14:paraId="3F322328" w14:textId="77777777" w:rsidTr="00022835">
        <w:trPr>
          <w:trHeight w:val="288"/>
          <w:jc w:val="center"/>
        </w:trPr>
        <w:tc>
          <w:tcPr>
            <w:tcW w:w="1220" w:type="dxa"/>
            <w:tcBorders>
              <w:left w:val="single" w:sz="4" w:space="0" w:color="auto"/>
            </w:tcBorders>
            <w:shd w:val="clear" w:color="auto" w:fill="auto"/>
            <w:noWrap/>
            <w:vAlign w:val="center"/>
          </w:tcPr>
          <w:p w14:paraId="47305DB5"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(21)</w:t>
            </w:r>
          </w:p>
        </w:tc>
        <w:tc>
          <w:tcPr>
            <w:tcW w:w="4980" w:type="dxa"/>
            <w:tcBorders>
              <w:left w:val="single" w:sz="4" w:space="0" w:color="auto"/>
              <w:right w:val="single" w:sz="4" w:space="0" w:color="auto"/>
            </w:tcBorders>
            <w:shd w:val="clear" w:color="auto" w:fill="auto"/>
            <w:noWrap/>
            <w:vAlign w:val="center"/>
          </w:tcPr>
          <w:p w14:paraId="2587C4B1"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Gains on disposal of Assets</w:t>
            </w:r>
          </w:p>
        </w:tc>
        <w:tc>
          <w:tcPr>
            <w:tcW w:w="1220" w:type="dxa"/>
            <w:tcBorders>
              <w:left w:val="single" w:sz="4" w:space="0" w:color="auto"/>
            </w:tcBorders>
            <w:shd w:val="clear" w:color="auto" w:fill="auto"/>
            <w:noWrap/>
            <w:vAlign w:val="center"/>
          </w:tcPr>
          <w:p w14:paraId="64918F44"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0</w:t>
            </w:r>
          </w:p>
        </w:tc>
      </w:tr>
      <w:tr w:rsidR="00790DD4" w:rsidRPr="000D67C6" w14:paraId="536D98F4" w14:textId="77777777" w:rsidTr="00022835">
        <w:trPr>
          <w:trHeight w:val="288"/>
          <w:jc w:val="center"/>
        </w:trPr>
        <w:tc>
          <w:tcPr>
            <w:tcW w:w="1220" w:type="dxa"/>
            <w:tcBorders>
              <w:left w:val="single" w:sz="4" w:space="0" w:color="auto"/>
            </w:tcBorders>
            <w:shd w:val="clear" w:color="auto" w:fill="auto"/>
            <w:noWrap/>
            <w:vAlign w:val="center"/>
            <w:hideMark/>
          </w:tcPr>
          <w:p w14:paraId="017B8E40"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(35)</w:t>
            </w:r>
          </w:p>
        </w:tc>
        <w:tc>
          <w:tcPr>
            <w:tcW w:w="4980" w:type="dxa"/>
            <w:tcBorders>
              <w:left w:val="single" w:sz="4" w:space="0" w:color="auto"/>
              <w:right w:val="single" w:sz="4" w:space="0" w:color="auto"/>
            </w:tcBorders>
            <w:shd w:val="clear" w:color="auto" w:fill="auto"/>
            <w:noWrap/>
            <w:vAlign w:val="center"/>
            <w:hideMark/>
          </w:tcPr>
          <w:p w14:paraId="7C0CE31F"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Interest &amp; Investment Income</w:t>
            </w:r>
          </w:p>
        </w:tc>
        <w:tc>
          <w:tcPr>
            <w:tcW w:w="1220" w:type="dxa"/>
            <w:tcBorders>
              <w:left w:val="single" w:sz="4" w:space="0" w:color="auto"/>
            </w:tcBorders>
            <w:shd w:val="clear" w:color="auto" w:fill="auto"/>
            <w:noWrap/>
            <w:vAlign w:val="center"/>
          </w:tcPr>
          <w:p w14:paraId="15720D1C"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(42)</w:t>
            </w:r>
          </w:p>
        </w:tc>
      </w:tr>
      <w:tr w:rsidR="00790DD4" w:rsidRPr="000D67C6" w14:paraId="17A7AE2E" w14:textId="77777777" w:rsidTr="00022835">
        <w:trPr>
          <w:trHeight w:val="288"/>
          <w:jc w:val="center"/>
        </w:trPr>
        <w:tc>
          <w:tcPr>
            <w:tcW w:w="1220" w:type="dxa"/>
            <w:tcBorders>
              <w:left w:val="single" w:sz="4" w:space="0" w:color="auto"/>
            </w:tcBorders>
            <w:shd w:val="clear" w:color="auto" w:fill="auto"/>
            <w:noWrap/>
            <w:vAlign w:val="center"/>
            <w:hideMark/>
          </w:tcPr>
          <w:p w14:paraId="2E91A1CF"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(45,436)</w:t>
            </w:r>
          </w:p>
        </w:tc>
        <w:tc>
          <w:tcPr>
            <w:tcW w:w="4980" w:type="dxa"/>
            <w:tcBorders>
              <w:left w:val="single" w:sz="4" w:space="0" w:color="auto"/>
              <w:right w:val="single" w:sz="4" w:space="0" w:color="auto"/>
            </w:tcBorders>
            <w:shd w:val="clear" w:color="auto" w:fill="auto"/>
            <w:noWrap/>
            <w:vAlign w:val="center"/>
            <w:hideMark/>
          </w:tcPr>
          <w:p w14:paraId="23F93B85"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Levies from Unitary Authorities</w:t>
            </w:r>
          </w:p>
        </w:tc>
        <w:tc>
          <w:tcPr>
            <w:tcW w:w="1220" w:type="dxa"/>
            <w:tcBorders>
              <w:left w:val="single" w:sz="4" w:space="0" w:color="auto"/>
            </w:tcBorders>
            <w:shd w:val="clear" w:color="auto" w:fill="auto"/>
            <w:noWrap/>
            <w:vAlign w:val="center"/>
          </w:tcPr>
          <w:p w14:paraId="2B6D356F" w14:textId="77777777" w:rsidR="00790DD4" w:rsidRPr="000D67C6" w:rsidRDefault="0034617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(46,659)</w:t>
            </w:r>
          </w:p>
        </w:tc>
      </w:tr>
      <w:tr w:rsidR="00790DD4" w:rsidRPr="000D67C6" w14:paraId="69F9622F" w14:textId="77777777" w:rsidTr="00022835">
        <w:trPr>
          <w:trHeight w:val="288"/>
          <w:jc w:val="center"/>
        </w:trPr>
        <w:tc>
          <w:tcPr>
            <w:tcW w:w="1220" w:type="dxa"/>
            <w:tcBorders>
              <w:left w:val="single" w:sz="4" w:space="0" w:color="auto"/>
            </w:tcBorders>
            <w:shd w:val="clear" w:color="auto" w:fill="auto"/>
            <w:noWrap/>
            <w:vAlign w:val="center"/>
            <w:hideMark/>
          </w:tcPr>
          <w:p w14:paraId="16D1DFCC" w14:textId="77777777" w:rsidR="00790DD4" w:rsidRPr="000D67C6" w:rsidRDefault="00790DD4"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(3,897)</w:t>
            </w:r>
          </w:p>
        </w:tc>
        <w:tc>
          <w:tcPr>
            <w:tcW w:w="4980" w:type="dxa"/>
            <w:tcBorders>
              <w:left w:val="single" w:sz="4" w:space="0" w:color="auto"/>
              <w:right w:val="single" w:sz="4" w:space="0" w:color="auto"/>
            </w:tcBorders>
            <w:shd w:val="clear" w:color="auto" w:fill="auto"/>
            <w:noWrap/>
            <w:vAlign w:val="center"/>
            <w:hideMark/>
          </w:tcPr>
          <w:p w14:paraId="0C835AB9" w14:textId="77777777" w:rsidR="00790DD4" w:rsidRPr="000D67C6" w:rsidRDefault="00790DD4" w:rsidP="00790DD4">
            <w:pPr>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Government Grants, Contributions &amp; Donations</w:t>
            </w:r>
          </w:p>
        </w:tc>
        <w:tc>
          <w:tcPr>
            <w:tcW w:w="1220" w:type="dxa"/>
            <w:tcBorders>
              <w:left w:val="single" w:sz="4" w:space="0" w:color="auto"/>
            </w:tcBorders>
            <w:shd w:val="clear" w:color="auto" w:fill="auto"/>
            <w:noWrap/>
            <w:vAlign w:val="center"/>
          </w:tcPr>
          <w:p w14:paraId="263C14DE" w14:textId="77777777" w:rsidR="00790DD4" w:rsidRPr="000D67C6" w:rsidRDefault="008C2D8C" w:rsidP="00790DD4">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(3,441)</w:t>
            </w:r>
          </w:p>
        </w:tc>
      </w:tr>
      <w:tr w:rsidR="00790DD4" w:rsidRPr="000D67C6" w14:paraId="272AA446" w14:textId="77777777" w:rsidTr="0017358B">
        <w:trPr>
          <w:trHeight w:val="377"/>
          <w:jc w:val="center"/>
        </w:trPr>
        <w:tc>
          <w:tcPr>
            <w:tcW w:w="1220" w:type="dxa"/>
            <w:tcBorders>
              <w:left w:val="single" w:sz="4" w:space="0" w:color="auto"/>
            </w:tcBorders>
            <w:shd w:val="clear" w:color="auto" w:fill="auto"/>
            <w:noWrap/>
            <w:vAlign w:val="center"/>
            <w:hideMark/>
          </w:tcPr>
          <w:p w14:paraId="1F38A79A" w14:textId="77777777" w:rsidR="00790DD4" w:rsidRPr="000D67C6" w:rsidRDefault="00790DD4"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(50,764)</w:t>
            </w:r>
          </w:p>
        </w:tc>
        <w:tc>
          <w:tcPr>
            <w:tcW w:w="4980" w:type="dxa"/>
            <w:tcBorders>
              <w:left w:val="single" w:sz="4" w:space="0" w:color="auto"/>
              <w:right w:val="single" w:sz="4" w:space="0" w:color="auto"/>
            </w:tcBorders>
            <w:shd w:val="clear" w:color="auto" w:fill="auto"/>
            <w:noWrap/>
            <w:vAlign w:val="center"/>
            <w:hideMark/>
          </w:tcPr>
          <w:p w14:paraId="5B828274" w14:textId="77777777" w:rsidR="00790DD4" w:rsidRPr="000D67C6" w:rsidRDefault="00790DD4" w:rsidP="00790DD4">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Total Income</w:t>
            </w:r>
          </w:p>
        </w:tc>
        <w:tc>
          <w:tcPr>
            <w:tcW w:w="1220" w:type="dxa"/>
            <w:tcBorders>
              <w:left w:val="single" w:sz="4" w:space="0" w:color="auto"/>
            </w:tcBorders>
            <w:shd w:val="clear" w:color="auto" w:fill="auto"/>
            <w:noWrap/>
            <w:vAlign w:val="center"/>
          </w:tcPr>
          <w:p w14:paraId="38D38F3B" w14:textId="77777777" w:rsidR="00790DD4" w:rsidRPr="000D67C6" w:rsidRDefault="008C2D8C"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(51,451)</w:t>
            </w:r>
          </w:p>
        </w:tc>
      </w:tr>
      <w:tr w:rsidR="00790DD4" w:rsidRPr="000D67C6" w14:paraId="7DFC95D8" w14:textId="77777777" w:rsidTr="0017358B">
        <w:trPr>
          <w:trHeight w:val="424"/>
          <w:jc w:val="center"/>
        </w:trPr>
        <w:tc>
          <w:tcPr>
            <w:tcW w:w="1220" w:type="dxa"/>
            <w:tcBorders>
              <w:left w:val="single" w:sz="4" w:space="0" w:color="auto"/>
            </w:tcBorders>
            <w:shd w:val="clear" w:color="auto" w:fill="auto"/>
            <w:noWrap/>
            <w:vAlign w:val="center"/>
          </w:tcPr>
          <w:p w14:paraId="29ECE31A" w14:textId="77777777" w:rsidR="00790DD4" w:rsidRPr="000D67C6" w:rsidRDefault="00790DD4"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11,313</w:t>
            </w:r>
          </w:p>
        </w:tc>
        <w:tc>
          <w:tcPr>
            <w:tcW w:w="4980" w:type="dxa"/>
            <w:tcBorders>
              <w:left w:val="single" w:sz="4" w:space="0" w:color="auto"/>
              <w:right w:val="single" w:sz="4" w:space="0" w:color="auto"/>
            </w:tcBorders>
            <w:shd w:val="clear" w:color="auto" w:fill="auto"/>
            <w:noWrap/>
            <w:vAlign w:val="center"/>
          </w:tcPr>
          <w:p w14:paraId="7FD135D5" w14:textId="77777777" w:rsidR="00790DD4" w:rsidRPr="000D67C6" w:rsidRDefault="00790DD4" w:rsidP="00790DD4">
            <w:pPr>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(Surplus) or Deficit on Provision of Services</w:t>
            </w:r>
          </w:p>
        </w:tc>
        <w:tc>
          <w:tcPr>
            <w:tcW w:w="1220" w:type="dxa"/>
            <w:tcBorders>
              <w:left w:val="single" w:sz="4" w:space="0" w:color="auto"/>
            </w:tcBorders>
            <w:shd w:val="clear" w:color="auto" w:fill="auto"/>
            <w:noWrap/>
            <w:vAlign w:val="center"/>
          </w:tcPr>
          <w:p w14:paraId="180B20F8" w14:textId="6B168B61" w:rsidR="00790DD4" w:rsidRPr="000D67C6" w:rsidRDefault="006A16CE" w:rsidP="00790DD4">
            <w:pPr>
              <w:jc w:val="right"/>
              <w:rPr>
                <w:rFonts w:ascii="Arial" w:eastAsia="Times New Roman" w:hAnsi="Arial" w:cs="Arial"/>
                <w:b/>
                <w:bCs/>
                <w:sz w:val="20"/>
                <w:szCs w:val="20"/>
                <w:lang w:val="en-GB" w:eastAsia="en-GB"/>
              </w:rPr>
            </w:pPr>
            <w:r w:rsidRPr="000D67C6">
              <w:rPr>
                <w:rFonts w:ascii="Arial" w:eastAsia="Times New Roman" w:hAnsi="Arial" w:cs="Arial"/>
                <w:b/>
                <w:bCs/>
                <w:sz w:val="20"/>
                <w:szCs w:val="20"/>
                <w:lang w:val="en-GB" w:eastAsia="en-GB"/>
              </w:rPr>
              <w:t>3</w:t>
            </w:r>
            <w:r w:rsidR="00D75BAF">
              <w:rPr>
                <w:rFonts w:ascii="Arial" w:eastAsia="Times New Roman" w:hAnsi="Arial" w:cs="Arial"/>
                <w:b/>
                <w:bCs/>
                <w:sz w:val="20"/>
                <w:szCs w:val="20"/>
                <w:lang w:val="en-GB" w:eastAsia="en-GB"/>
              </w:rPr>
              <w:t>7</w:t>
            </w:r>
            <w:r w:rsidRPr="000D67C6">
              <w:rPr>
                <w:rFonts w:ascii="Arial" w:eastAsia="Times New Roman" w:hAnsi="Arial" w:cs="Arial"/>
                <w:b/>
                <w:bCs/>
                <w:sz w:val="20"/>
                <w:szCs w:val="20"/>
                <w:lang w:val="en-GB" w:eastAsia="en-GB"/>
              </w:rPr>
              <w:t>,</w:t>
            </w:r>
            <w:r w:rsidR="00D75BAF">
              <w:rPr>
                <w:rFonts w:ascii="Arial" w:eastAsia="Times New Roman" w:hAnsi="Arial" w:cs="Arial"/>
                <w:b/>
                <w:bCs/>
                <w:sz w:val="20"/>
                <w:szCs w:val="20"/>
                <w:lang w:val="en-GB" w:eastAsia="en-GB"/>
              </w:rPr>
              <w:t>0</w:t>
            </w:r>
            <w:r w:rsidRPr="000D67C6">
              <w:rPr>
                <w:rFonts w:ascii="Arial" w:eastAsia="Times New Roman" w:hAnsi="Arial" w:cs="Arial"/>
                <w:b/>
                <w:bCs/>
                <w:sz w:val="20"/>
                <w:szCs w:val="20"/>
                <w:lang w:val="en-GB" w:eastAsia="en-GB"/>
              </w:rPr>
              <w:t>23</w:t>
            </w:r>
          </w:p>
        </w:tc>
      </w:tr>
    </w:tbl>
    <w:p w14:paraId="5E0D71CF" w14:textId="77777777" w:rsidR="00DB4ADC" w:rsidRPr="000D67C6" w:rsidRDefault="00DB4ADC" w:rsidP="00DB4ADC">
      <w:pPr>
        <w:rPr>
          <w:rFonts w:ascii="Arial" w:hAnsi="Arial" w:cs="Arial"/>
          <w:sz w:val="28"/>
          <w:lang w:val="pt-BR"/>
        </w:rPr>
      </w:pPr>
    </w:p>
    <w:p w14:paraId="0DF45583" w14:textId="5597ED14" w:rsidR="000664AD" w:rsidRPr="000D67C6" w:rsidRDefault="000664AD" w:rsidP="00DB4ADC">
      <w:pPr>
        <w:rPr>
          <w:rFonts w:ascii="Arial" w:hAnsi="Arial" w:cs="Arial"/>
          <w:b/>
          <w:sz w:val="22"/>
          <w:szCs w:val="22"/>
          <w:lang w:val="en-GB"/>
        </w:rPr>
      </w:pPr>
      <w:r w:rsidRPr="000D67C6">
        <w:rPr>
          <w:rFonts w:ascii="Arial" w:hAnsi="Arial" w:cs="Arial"/>
          <w:b/>
          <w:sz w:val="22"/>
          <w:szCs w:val="22"/>
          <w:lang w:val="en-GB"/>
        </w:rPr>
        <w:t>Revenue from Cont</w:t>
      </w:r>
      <w:r w:rsidR="0029728C" w:rsidRPr="000D67C6">
        <w:rPr>
          <w:rFonts w:ascii="Arial" w:hAnsi="Arial" w:cs="Arial"/>
          <w:b/>
          <w:sz w:val="22"/>
          <w:szCs w:val="22"/>
          <w:lang w:val="en-GB"/>
        </w:rPr>
        <w:t>r</w:t>
      </w:r>
      <w:r w:rsidRPr="000D67C6">
        <w:rPr>
          <w:rFonts w:ascii="Arial" w:hAnsi="Arial" w:cs="Arial"/>
          <w:b/>
          <w:sz w:val="22"/>
          <w:szCs w:val="22"/>
          <w:lang w:val="en-GB"/>
        </w:rPr>
        <w:t>acts with Service Recipients</w:t>
      </w:r>
    </w:p>
    <w:p w14:paraId="5972B08D" w14:textId="77777777" w:rsidR="000664AD" w:rsidRPr="000D67C6" w:rsidRDefault="000664AD" w:rsidP="00DB4ADC">
      <w:pPr>
        <w:rPr>
          <w:rFonts w:ascii="Arial" w:hAnsi="Arial" w:cs="Arial"/>
          <w:b/>
          <w:sz w:val="22"/>
          <w:szCs w:val="22"/>
          <w:lang w:val="en-GB"/>
        </w:rPr>
      </w:pPr>
    </w:p>
    <w:p w14:paraId="0266C4A3" w14:textId="6B24C932" w:rsidR="000664AD" w:rsidRPr="000D67C6" w:rsidRDefault="000664AD" w:rsidP="000664AD">
      <w:pPr>
        <w:pStyle w:val="Normal0"/>
        <w:jc w:val="both"/>
        <w:rPr>
          <w:rFonts w:ascii="Arial" w:eastAsia="Calibri" w:hAnsi="Arial" w:cs="Arial"/>
          <w:sz w:val="22"/>
          <w:szCs w:val="22"/>
          <w:lang w:val="pt-BR"/>
        </w:rPr>
      </w:pPr>
      <w:r w:rsidRPr="000D67C6">
        <w:rPr>
          <w:rFonts w:ascii="Arial" w:eastAsia="Calibri" w:hAnsi="Arial" w:cs="Arial"/>
          <w:sz w:val="22"/>
          <w:szCs w:val="22"/>
          <w:lang w:val="pt-BR"/>
        </w:rPr>
        <w:t xml:space="preserve">The </w:t>
      </w:r>
      <w:r w:rsidR="00BC28CE"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has undertaken a review of its income streams that meet the requirements for IFRS 15 Revenue Contracts. Due to the value as at 31 March 2019 it was deemed immaterial to include in the accounts and </w:t>
      </w:r>
      <w:r w:rsidR="00481718" w:rsidRPr="000D67C6">
        <w:rPr>
          <w:rFonts w:ascii="Arial" w:eastAsia="Calibri" w:hAnsi="Arial" w:cs="Arial"/>
          <w:sz w:val="22"/>
          <w:szCs w:val="22"/>
          <w:lang w:val="pt-BR"/>
        </w:rPr>
        <w:t>N</w:t>
      </w:r>
      <w:r w:rsidRPr="000D67C6">
        <w:rPr>
          <w:rFonts w:ascii="Arial" w:eastAsia="Calibri" w:hAnsi="Arial" w:cs="Arial"/>
          <w:sz w:val="22"/>
          <w:szCs w:val="22"/>
          <w:lang w:val="pt-BR"/>
        </w:rPr>
        <w:t xml:space="preserve">ote 7 provides sufficient information. </w:t>
      </w:r>
    </w:p>
    <w:p w14:paraId="58FF5322" w14:textId="6F45AA29" w:rsidR="007C27B7" w:rsidRPr="00EE7AF3" w:rsidRDefault="007C27B7" w:rsidP="00DB4ADC">
      <w:pPr>
        <w:rPr>
          <w:rFonts w:ascii="Arial" w:hAnsi="Arial" w:cs="Arial"/>
          <w:b/>
          <w:sz w:val="28"/>
          <w:lang w:val="pt-BR"/>
        </w:rPr>
      </w:pPr>
    </w:p>
    <w:p w14:paraId="44D3F33B" w14:textId="7D5FA30E" w:rsidR="008F013B" w:rsidRPr="000D67C6" w:rsidRDefault="00DC09B3" w:rsidP="00DB4ADC">
      <w:pPr>
        <w:rPr>
          <w:rFonts w:ascii="Arial" w:hAnsi="Arial" w:cs="Arial"/>
          <w:b/>
          <w:sz w:val="28"/>
          <w:lang w:val="pt-BR"/>
        </w:rPr>
      </w:pPr>
      <w:r w:rsidRPr="000D67C6">
        <w:rPr>
          <w:rFonts w:ascii="Arial" w:hAnsi="Arial" w:cs="Arial"/>
          <w:b/>
          <w:sz w:val="28"/>
          <w:lang w:val="pt-BR"/>
        </w:rPr>
        <w:t>Note 8</w:t>
      </w:r>
      <w:r w:rsidR="008F013B" w:rsidRPr="000D67C6">
        <w:rPr>
          <w:rFonts w:ascii="Arial" w:hAnsi="Arial" w:cs="Arial"/>
          <w:b/>
          <w:sz w:val="28"/>
          <w:lang w:val="pt-BR"/>
        </w:rPr>
        <w:t xml:space="preserve"> - Adjustments between Accounting Basis and Funding Basis under Regulations</w:t>
      </w:r>
    </w:p>
    <w:p w14:paraId="122700E4" w14:textId="77777777" w:rsidR="008F013B" w:rsidRPr="000D67C6" w:rsidRDefault="008F013B" w:rsidP="008F013B">
      <w:pPr>
        <w:pStyle w:val="Normal0"/>
        <w:rPr>
          <w:rFonts w:ascii="Arial" w:eastAsia="Calibri" w:hAnsi="Arial" w:cs="Arial"/>
          <w:sz w:val="22"/>
          <w:szCs w:val="22"/>
          <w:lang w:val="pt-BR"/>
        </w:rPr>
      </w:pPr>
    </w:p>
    <w:p w14:paraId="7D59F83A" w14:textId="77777777" w:rsidR="00B7708A" w:rsidRPr="000D67C6" w:rsidRDefault="008F013B" w:rsidP="00DC6444">
      <w:pPr>
        <w:pStyle w:val="Normal0"/>
        <w:jc w:val="both"/>
        <w:rPr>
          <w:rFonts w:ascii="Arial" w:eastAsia="Calibri" w:hAnsi="Arial" w:cs="Arial"/>
          <w:sz w:val="22"/>
          <w:szCs w:val="22"/>
          <w:lang w:val="pt-BR"/>
        </w:rPr>
      </w:pPr>
      <w:r w:rsidRPr="000D67C6">
        <w:rPr>
          <w:rFonts w:ascii="Arial" w:eastAsia="Calibri" w:hAnsi="Arial" w:cs="Arial"/>
          <w:sz w:val="22"/>
          <w:szCs w:val="22"/>
          <w:lang w:val="pt-BR"/>
        </w:rPr>
        <w:t xml:space="preserve">This note details the adjustments that are made to the total comprehensive income and expenditure recognised by the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in the year in accordance with proper accounting practice to arrive at the resources that are specified by statutory provisions as being available to the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to meet future capital and revenue expenditure. The following sets out a description of the reserves that the adjustments are made against.  </w:t>
      </w:r>
    </w:p>
    <w:p w14:paraId="7F94BB42" w14:textId="77777777" w:rsidR="007F1AF8" w:rsidRPr="000D67C6" w:rsidRDefault="007F1AF8" w:rsidP="00DC6444">
      <w:pPr>
        <w:pStyle w:val="Normal0"/>
        <w:jc w:val="both"/>
        <w:rPr>
          <w:rFonts w:ascii="Arial" w:eastAsia="Calibri" w:hAnsi="Arial" w:cs="Arial"/>
          <w:sz w:val="22"/>
          <w:szCs w:val="22"/>
          <w:lang w:val="pt-BR"/>
        </w:rPr>
      </w:pPr>
    </w:p>
    <w:p w14:paraId="07E0CC4A" w14:textId="77777777" w:rsidR="008F013B" w:rsidRPr="000D67C6" w:rsidRDefault="008F013B" w:rsidP="00C4608B">
      <w:pPr>
        <w:pStyle w:val="Normal0"/>
        <w:numPr>
          <w:ilvl w:val="0"/>
          <w:numId w:val="23"/>
        </w:numPr>
        <w:jc w:val="both"/>
        <w:rPr>
          <w:rFonts w:ascii="Arial" w:eastAsia="Calibri" w:hAnsi="Arial" w:cs="Arial"/>
          <w:sz w:val="22"/>
          <w:szCs w:val="22"/>
          <w:lang w:val="pt-BR"/>
        </w:rPr>
      </w:pPr>
      <w:r w:rsidRPr="000D67C6">
        <w:rPr>
          <w:rFonts w:ascii="Arial" w:eastAsia="Calibri" w:hAnsi="Arial" w:cs="Arial"/>
          <w:sz w:val="22"/>
          <w:szCs w:val="22"/>
          <w:lang w:val="pt-BR"/>
        </w:rPr>
        <w:t xml:space="preserve">General Fund Balance - The General Fund is the statutory fund into which all the receipts of an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are required to </w:t>
      </w:r>
      <w:r w:rsidR="00DB4ADC" w:rsidRPr="000D67C6">
        <w:rPr>
          <w:rFonts w:ascii="Arial" w:eastAsia="Calibri" w:hAnsi="Arial" w:cs="Arial"/>
          <w:sz w:val="22"/>
          <w:szCs w:val="22"/>
          <w:lang w:val="pt-BR"/>
        </w:rPr>
        <w:t xml:space="preserve">be </w:t>
      </w:r>
      <w:r w:rsidRPr="000D67C6">
        <w:rPr>
          <w:rFonts w:ascii="Arial" w:eastAsia="Calibri" w:hAnsi="Arial" w:cs="Arial"/>
          <w:sz w:val="22"/>
          <w:szCs w:val="22"/>
          <w:lang w:val="pt-BR"/>
        </w:rPr>
        <w:t xml:space="preserve">paid and out of which all liabilities of the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w:t>
      </w:r>
      <w:r w:rsidR="00943A64"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is required to recover) at the end of the financial year.  </w:t>
      </w:r>
    </w:p>
    <w:p w14:paraId="5609E95B" w14:textId="77777777" w:rsidR="008F013B" w:rsidRPr="000D67C6" w:rsidRDefault="008F013B" w:rsidP="00DC6444">
      <w:pPr>
        <w:pStyle w:val="Normal0"/>
        <w:jc w:val="both"/>
        <w:rPr>
          <w:rFonts w:ascii="Arial" w:eastAsia="Calibri" w:hAnsi="Arial" w:cs="Arial"/>
          <w:sz w:val="22"/>
          <w:szCs w:val="22"/>
          <w:lang w:val="pt-BR"/>
        </w:rPr>
      </w:pPr>
    </w:p>
    <w:p w14:paraId="554A23EB" w14:textId="1F7EE96A" w:rsidR="00DB4ADC" w:rsidRPr="000D67C6" w:rsidRDefault="00DB4ADC" w:rsidP="00C4608B">
      <w:pPr>
        <w:pStyle w:val="Normal0"/>
        <w:numPr>
          <w:ilvl w:val="0"/>
          <w:numId w:val="23"/>
        </w:numPr>
        <w:jc w:val="both"/>
        <w:rPr>
          <w:rFonts w:ascii="Arial" w:eastAsia="Calibri" w:hAnsi="Arial" w:cs="Arial"/>
          <w:sz w:val="22"/>
          <w:szCs w:val="22"/>
          <w:lang w:val="pt-BR"/>
        </w:rPr>
      </w:pPr>
      <w:r w:rsidRPr="000D67C6">
        <w:rPr>
          <w:rFonts w:ascii="Arial" w:eastAsia="Calibri" w:hAnsi="Arial" w:cs="Arial"/>
          <w:sz w:val="22"/>
          <w:szCs w:val="22"/>
          <w:lang w:val="pt-BR"/>
        </w:rPr>
        <w:t>Capital Receipts Reserve – holds the proceeds from the disposal of land and other non-current assets, which are restricted by statute from being used other than to fund new capital expenditure or to be set aside to finance historical capital expenditure. The balance on the reserve shows the resources that have yet to be applied for these purposes at the the year end.</w:t>
      </w:r>
    </w:p>
    <w:p w14:paraId="62CD4732" w14:textId="77777777" w:rsidR="007C27B7" w:rsidRPr="000D67C6" w:rsidRDefault="007C27B7" w:rsidP="007C27B7">
      <w:pPr>
        <w:pStyle w:val="Normal0"/>
        <w:ind w:left="360"/>
        <w:jc w:val="both"/>
        <w:rPr>
          <w:rFonts w:ascii="Arial" w:eastAsia="Calibri" w:hAnsi="Arial" w:cs="Arial"/>
          <w:sz w:val="22"/>
          <w:szCs w:val="22"/>
          <w:lang w:val="pt-BR"/>
        </w:rPr>
      </w:pPr>
    </w:p>
    <w:tbl>
      <w:tblPr>
        <w:tblW w:w="10632" w:type="dxa"/>
        <w:tblInd w:w="-714" w:type="dxa"/>
        <w:tblLook w:val="04A0" w:firstRow="1" w:lastRow="0" w:firstColumn="1" w:lastColumn="0" w:noHBand="0" w:noVBand="1"/>
      </w:tblPr>
      <w:tblGrid>
        <w:gridCol w:w="1147"/>
        <w:gridCol w:w="990"/>
        <w:gridCol w:w="1124"/>
        <w:gridCol w:w="1027"/>
        <w:gridCol w:w="2103"/>
        <w:gridCol w:w="1147"/>
        <w:gridCol w:w="1050"/>
        <w:gridCol w:w="1017"/>
        <w:gridCol w:w="1027"/>
      </w:tblGrid>
      <w:tr w:rsidR="00432B60" w:rsidRPr="000D67C6" w14:paraId="0992C5A4" w14:textId="77777777" w:rsidTr="00DB4ADC">
        <w:trPr>
          <w:trHeight w:val="288"/>
        </w:trPr>
        <w:tc>
          <w:tcPr>
            <w:tcW w:w="4288" w:type="dxa"/>
            <w:gridSpan w:val="4"/>
            <w:tcBorders>
              <w:top w:val="single" w:sz="4" w:space="0" w:color="auto"/>
              <w:left w:val="single" w:sz="4" w:space="0" w:color="auto"/>
              <w:bottom w:val="nil"/>
              <w:right w:val="single" w:sz="4" w:space="0" w:color="auto"/>
            </w:tcBorders>
            <w:shd w:val="clear" w:color="auto" w:fill="auto"/>
            <w:noWrap/>
            <w:vAlign w:val="bottom"/>
            <w:hideMark/>
          </w:tcPr>
          <w:p w14:paraId="72172381" w14:textId="1A7BEEA5" w:rsidR="00DB4ADC" w:rsidRPr="000D67C6" w:rsidRDefault="00E32EB0" w:rsidP="00E32EB0">
            <w:pPr>
              <w:jc w:val="center"/>
              <w:rPr>
                <w:rFonts w:ascii="Arial" w:eastAsia="Times New Roman" w:hAnsi="Arial" w:cs="Arial"/>
                <w:b/>
                <w:bCs/>
                <w:sz w:val="18"/>
                <w:szCs w:val="18"/>
                <w:lang w:val="en-GB" w:eastAsia="en-GB"/>
              </w:rPr>
            </w:pPr>
            <w:r w:rsidRPr="000D67C6">
              <w:br w:type="page"/>
            </w:r>
            <w:r w:rsidR="00DB4ADC" w:rsidRPr="000D67C6">
              <w:rPr>
                <w:rFonts w:ascii="Arial" w:eastAsia="Times New Roman" w:hAnsi="Arial" w:cs="Arial"/>
                <w:b/>
                <w:bCs/>
                <w:sz w:val="18"/>
                <w:szCs w:val="18"/>
                <w:lang w:val="en-GB" w:eastAsia="en-GB"/>
              </w:rPr>
              <w:t>201</w:t>
            </w:r>
            <w:r w:rsidR="00790DD4" w:rsidRPr="000D67C6">
              <w:rPr>
                <w:rFonts w:ascii="Arial" w:eastAsia="Times New Roman" w:hAnsi="Arial" w:cs="Arial"/>
                <w:b/>
                <w:bCs/>
                <w:sz w:val="18"/>
                <w:szCs w:val="18"/>
                <w:lang w:val="en-GB" w:eastAsia="en-GB"/>
              </w:rPr>
              <w:t>7</w:t>
            </w:r>
            <w:r w:rsidR="00591F0F" w:rsidRPr="000D67C6">
              <w:rPr>
                <w:rFonts w:ascii="Arial" w:eastAsia="Times New Roman" w:hAnsi="Arial" w:cs="Arial"/>
                <w:b/>
                <w:bCs/>
                <w:sz w:val="18"/>
                <w:szCs w:val="18"/>
                <w:lang w:val="en-GB" w:eastAsia="en-GB"/>
              </w:rPr>
              <w:t>/1</w:t>
            </w:r>
            <w:r w:rsidR="00790DD4" w:rsidRPr="000D67C6">
              <w:rPr>
                <w:rFonts w:ascii="Arial" w:eastAsia="Times New Roman" w:hAnsi="Arial" w:cs="Arial"/>
                <w:b/>
                <w:bCs/>
                <w:sz w:val="18"/>
                <w:szCs w:val="18"/>
                <w:lang w:val="en-GB" w:eastAsia="en-GB"/>
              </w:rPr>
              <w:t>8</w:t>
            </w:r>
          </w:p>
        </w:tc>
        <w:tc>
          <w:tcPr>
            <w:tcW w:w="2103" w:type="dxa"/>
            <w:vMerge w:val="restart"/>
            <w:tcBorders>
              <w:top w:val="single" w:sz="4" w:space="0" w:color="auto"/>
              <w:left w:val="single" w:sz="4" w:space="0" w:color="auto"/>
              <w:right w:val="single" w:sz="4" w:space="0" w:color="auto"/>
            </w:tcBorders>
            <w:shd w:val="clear" w:color="auto" w:fill="auto"/>
            <w:vAlign w:val="bottom"/>
            <w:hideMark/>
          </w:tcPr>
          <w:p w14:paraId="7CBA0A90" w14:textId="77777777" w:rsidR="00DB4ADC" w:rsidRPr="000D67C6" w:rsidRDefault="00DB4ADC" w:rsidP="00DB4ADC">
            <w:pPr>
              <w:rPr>
                <w:rFonts w:ascii="Arial" w:hAnsi="Arial" w:cs="Arial"/>
                <w:b/>
                <w:sz w:val="20"/>
                <w:szCs w:val="20"/>
                <w:lang w:val="pt-BR"/>
              </w:rPr>
            </w:pPr>
            <w:r w:rsidRPr="000D67C6">
              <w:rPr>
                <w:rFonts w:ascii="Arial" w:hAnsi="Arial" w:cs="Arial"/>
                <w:b/>
                <w:sz w:val="20"/>
                <w:szCs w:val="20"/>
                <w:lang w:val="pt-BR"/>
              </w:rPr>
              <w:t>Adjustments between Accounting Basis and Funding Basis under Regulations</w:t>
            </w:r>
          </w:p>
          <w:p w14:paraId="08343C83"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 </w:t>
            </w:r>
          </w:p>
        </w:tc>
        <w:tc>
          <w:tcPr>
            <w:tcW w:w="4241" w:type="dxa"/>
            <w:gridSpan w:val="4"/>
            <w:tcBorders>
              <w:top w:val="single" w:sz="4" w:space="0" w:color="auto"/>
              <w:left w:val="single" w:sz="4" w:space="0" w:color="auto"/>
              <w:bottom w:val="nil"/>
              <w:right w:val="single" w:sz="4" w:space="0" w:color="auto"/>
            </w:tcBorders>
            <w:shd w:val="clear" w:color="auto" w:fill="auto"/>
            <w:noWrap/>
            <w:vAlign w:val="bottom"/>
            <w:hideMark/>
          </w:tcPr>
          <w:p w14:paraId="57022D5A" w14:textId="77777777" w:rsidR="00DB4ADC" w:rsidRPr="000D67C6" w:rsidRDefault="00591F0F" w:rsidP="00E32EB0">
            <w:pPr>
              <w:jc w:val="center"/>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201</w:t>
            </w:r>
            <w:r w:rsidR="00790DD4" w:rsidRPr="000D67C6">
              <w:rPr>
                <w:rFonts w:ascii="Arial" w:eastAsia="Times New Roman" w:hAnsi="Arial" w:cs="Arial"/>
                <w:b/>
                <w:bCs/>
                <w:sz w:val="18"/>
                <w:szCs w:val="18"/>
                <w:lang w:val="en-GB" w:eastAsia="en-GB"/>
              </w:rPr>
              <w:t>8</w:t>
            </w:r>
            <w:r w:rsidRPr="000D67C6">
              <w:rPr>
                <w:rFonts w:ascii="Arial" w:eastAsia="Times New Roman" w:hAnsi="Arial" w:cs="Arial"/>
                <w:b/>
                <w:bCs/>
                <w:sz w:val="18"/>
                <w:szCs w:val="18"/>
                <w:lang w:val="en-GB" w:eastAsia="en-GB"/>
              </w:rPr>
              <w:t>/1</w:t>
            </w:r>
            <w:r w:rsidR="00790DD4" w:rsidRPr="000D67C6">
              <w:rPr>
                <w:rFonts w:ascii="Arial" w:eastAsia="Times New Roman" w:hAnsi="Arial" w:cs="Arial"/>
                <w:b/>
                <w:bCs/>
                <w:sz w:val="18"/>
                <w:szCs w:val="18"/>
                <w:lang w:val="en-GB" w:eastAsia="en-GB"/>
              </w:rPr>
              <w:t>9</w:t>
            </w:r>
          </w:p>
        </w:tc>
      </w:tr>
      <w:tr w:rsidR="00432B60" w:rsidRPr="000D67C6" w14:paraId="49364FBB" w14:textId="77777777" w:rsidTr="00DB4ADC">
        <w:trPr>
          <w:trHeight w:val="1152"/>
        </w:trPr>
        <w:tc>
          <w:tcPr>
            <w:tcW w:w="1147" w:type="dxa"/>
            <w:tcBorders>
              <w:top w:val="nil"/>
              <w:left w:val="single" w:sz="4" w:space="0" w:color="auto"/>
              <w:bottom w:val="nil"/>
              <w:right w:val="nil"/>
            </w:tcBorders>
            <w:shd w:val="clear" w:color="auto" w:fill="auto"/>
            <w:vAlign w:val="bottom"/>
            <w:hideMark/>
          </w:tcPr>
          <w:p w14:paraId="5EB4E64A"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General Fund &amp; Earmarked Reserves</w:t>
            </w:r>
          </w:p>
        </w:tc>
        <w:tc>
          <w:tcPr>
            <w:tcW w:w="990" w:type="dxa"/>
            <w:tcBorders>
              <w:top w:val="nil"/>
              <w:left w:val="nil"/>
              <w:bottom w:val="nil"/>
              <w:right w:val="nil"/>
            </w:tcBorders>
            <w:shd w:val="clear" w:color="auto" w:fill="auto"/>
            <w:vAlign w:val="bottom"/>
            <w:hideMark/>
          </w:tcPr>
          <w:p w14:paraId="5CF38A2F"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 xml:space="preserve">Capital Receipts </w:t>
            </w:r>
          </w:p>
        </w:tc>
        <w:tc>
          <w:tcPr>
            <w:tcW w:w="1124" w:type="dxa"/>
            <w:tcBorders>
              <w:top w:val="nil"/>
              <w:left w:val="nil"/>
              <w:bottom w:val="nil"/>
              <w:right w:val="nil"/>
            </w:tcBorders>
            <w:shd w:val="clear" w:color="auto" w:fill="auto"/>
            <w:vAlign w:val="bottom"/>
            <w:hideMark/>
          </w:tcPr>
          <w:p w14:paraId="06091D19"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Usable Reserves</w:t>
            </w:r>
          </w:p>
        </w:tc>
        <w:tc>
          <w:tcPr>
            <w:tcW w:w="1027" w:type="dxa"/>
            <w:tcBorders>
              <w:top w:val="nil"/>
              <w:left w:val="nil"/>
              <w:bottom w:val="nil"/>
              <w:right w:val="single" w:sz="4" w:space="0" w:color="auto"/>
            </w:tcBorders>
            <w:shd w:val="clear" w:color="auto" w:fill="auto"/>
            <w:vAlign w:val="bottom"/>
            <w:hideMark/>
          </w:tcPr>
          <w:p w14:paraId="26ADEA67"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Unusable Reserves</w:t>
            </w:r>
          </w:p>
        </w:tc>
        <w:tc>
          <w:tcPr>
            <w:tcW w:w="2103" w:type="dxa"/>
            <w:vMerge/>
            <w:tcBorders>
              <w:left w:val="single" w:sz="4" w:space="0" w:color="auto"/>
              <w:right w:val="single" w:sz="4" w:space="0" w:color="auto"/>
            </w:tcBorders>
            <w:shd w:val="clear" w:color="auto" w:fill="auto"/>
            <w:vAlign w:val="bottom"/>
            <w:hideMark/>
          </w:tcPr>
          <w:p w14:paraId="79062C3C" w14:textId="77777777" w:rsidR="00DB4ADC" w:rsidRPr="000D67C6" w:rsidRDefault="00DB4ADC" w:rsidP="00E32EB0">
            <w:pPr>
              <w:jc w:val="right"/>
              <w:rPr>
                <w:rFonts w:ascii="Arial" w:eastAsia="Times New Roman" w:hAnsi="Arial" w:cs="Arial"/>
                <w:b/>
                <w:bCs/>
                <w:sz w:val="18"/>
                <w:szCs w:val="18"/>
                <w:lang w:val="en-GB" w:eastAsia="en-GB"/>
              </w:rPr>
            </w:pPr>
          </w:p>
        </w:tc>
        <w:tc>
          <w:tcPr>
            <w:tcW w:w="1147" w:type="dxa"/>
            <w:tcBorders>
              <w:top w:val="nil"/>
              <w:left w:val="single" w:sz="4" w:space="0" w:color="auto"/>
              <w:bottom w:val="nil"/>
              <w:right w:val="nil"/>
            </w:tcBorders>
            <w:shd w:val="clear" w:color="auto" w:fill="auto"/>
            <w:vAlign w:val="bottom"/>
            <w:hideMark/>
          </w:tcPr>
          <w:p w14:paraId="7CDBEA30"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General Fund &amp; Earmarked Reserves</w:t>
            </w:r>
          </w:p>
        </w:tc>
        <w:tc>
          <w:tcPr>
            <w:tcW w:w="1050" w:type="dxa"/>
            <w:tcBorders>
              <w:top w:val="nil"/>
              <w:left w:val="nil"/>
              <w:bottom w:val="nil"/>
              <w:right w:val="nil"/>
            </w:tcBorders>
            <w:shd w:val="clear" w:color="auto" w:fill="auto"/>
            <w:vAlign w:val="bottom"/>
            <w:hideMark/>
          </w:tcPr>
          <w:p w14:paraId="1BB41EF6"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Capital Receipts</w:t>
            </w:r>
          </w:p>
        </w:tc>
        <w:tc>
          <w:tcPr>
            <w:tcW w:w="1017" w:type="dxa"/>
            <w:tcBorders>
              <w:top w:val="nil"/>
              <w:left w:val="nil"/>
              <w:bottom w:val="nil"/>
              <w:right w:val="nil"/>
            </w:tcBorders>
            <w:shd w:val="clear" w:color="auto" w:fill="auto"/>
            <w:vAlign w:val="bottom"/>
            <w:hideMark/>
          </w:tcPr>
          <w:p w14:paraId="68149004"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Usable Reserves</w:t>
            </w:r>
          </w:p>
        </w:tc>
        <w:tc>
          <w:tcPr>
            <w:tcW w:w="1027" w:type="dxa"/>
            <w:tcBorders>
              <w:top w:val="nil"/>
              <w:left w:val="nil"/>
              <w:bottom w:val="nil"/>
              <w:right w:val="single" w:sz="4" w:space="0" w:color="auto"/>
            </w:tcBorders>
            <w:shd w:val="clear" w:color="auto" w:fill="auto"/>
            <w:vAlign w:val="bottom"/>
            <w:hideMark/>
          </w:tcPr>
          <w:p w14:paraId="77E5E2AF"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Unusable Reserves</w:t>
            </w:r>
          </w:p>
        </w:tc>
      </w:tr>
      <w:tr w:rsidR="00432B60" w:rsidRPr="000D67C6" w14:paraId="53A0929A" w14:textId="77777777" w:rsidTr="00DB4ADC">
        <w:trPr>
          <w:trHeight w:val="288"/>
        </w:trPr>
        <w:tc>
          <w:tcPr>
            <w:tcW w:w="1147" w:type="dxa"/>
            <w:tcBorders>
              <w:top w:val="nil"/>
              <w:left w:val="single" w:sz="4" w:space="0" w:color="auto"/>
              <w:bottom w:val="single" w:sz="4" w:space="0" w:color="auto"/>
              <w:right w:val="nil"/>
            </w:tcBorders>
            <w:shd w:val="clear" w:color="auto" w:fill="auto"/>
            <w:vAlign w:val="bottom"/>
            <w:hideMark/>
          </w:tcPr>
          <w:p w14:paraId="439D9206"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990" w:type="dxa"/>
            <w:tcBorders>
              <w:top w:val="nil"/>
              <w:left w:val="nil"/>
              <w:bottom w:val="single" w:sz="4" w:space="0" w:color="auto"/>
              <w:right w:val="nil"/>
            </w:tcBorders>
            <w:shd w:val="clear" w:color="auto" w:fill="auto"/>
            <w:vAlign w:val="bottom"/>
            <w:hideMark/>
          </w:tcPr>
          <w:p w14:paraId="0EF7C8E6"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1124" w:type="dxa"/>
            <w:tcBorders>
              <w:top w:val="nil"/>
              <w:left w:val="nil"/>
              <w:bottom w:val="single" w:sz="4" w:space="0" w:color="auto"/>
              <w:right w:val="nil"/>
            </w:tcBorders>
            <w:shd w:val="clear" w:color="auto" w:fill="auto"/>
            <w:vAlign w:val="bottom"/>
            <w:hideMark/>
          </w:tcPr>
          <w:p w14:paraId="52E2D56D"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1027" w:type="dxa"/>
            <w:tcBorders>
              <w:top w:val="nil"/>
              <w:left w:val="nil"/>
              <w:bottom w:val="single" w:sz="4" w:space="0" w:color="auto"/>
              <w:right w:val="single" w:sz="4" w:space="0" w:color="auto"/>
            </w:tcBorders>
            <w:shd w:val="clear" w:color="auto" w:fill="auto"/>
            <w:vAlign w:val="bottom"/>
            <w:hideMark/>
          </w:tcPr>
          <w:p w14:paraId="6322A770"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2103" w:type="dxa"/>
            <w:vMerge/>
            <w:tcBorders>
              <w:left w:val="single" w:sz="4" w:space="0" w:color="auto"/>
              <w:bottom w:val="single" w:sz="4" w:space="0" w:color="auto"/>
              <w:right w:val="single" w:sz="4" w:space="0" w:color="auto"/>
            </w:tcBorders>
            <w:shd w:val="clear" w:color="auto" w:fill="auto"/>
            <w:vAlign w:val="bottom"/>
            <w:hideMark/>
          </w:tcPr>
          <w:p w14:paraId="437E62A8" w14:textId="77777777" w:rsidR="00DB4ADC" w:rsidRPr="000D67C6" w:rsidRDefault="00DB4ADC" w:rsidP="00E32EB0">
            <w:pPr>
              <w:jc w:val="right"/>
              <w:rPr>
                <w:rFonts w:ascii="Arial" w:eastAsia="Times New Roman" w:hAnsi="Arial" w:cs="Arial"/>
                <w:b/>
                <w:bCs/>
                <w:sz w:val="18"/>
                <w:szCs w:val="18"/>
                <w:lang w:val="en-GB" w:eastAsia="en-GB"/>
              </w:rPr>
            </w:pPr>
          </w:p>
        </w:tc>
        <w:tc>
          <w:tcPr>
            <w:tcW w:w="1147" w:type="dxa"/>
            <w:tcBorders>
              <w:top w:val="nil"/>
              <w:left w:val="single" w:sz="4" w:space="0" w:color="auto"/>
              <w:bottom w:val="single" w:sz="4" w:space="0" w:color="auto"/>
              <w:right w:val="nil"/>
            </w:tcBorders>
            <w:shd w:val="clear" w:color="auto" w:fill="auto"/>
            <w:vAlign w:val="bottom"/>
            <w:hideMark/>
          </w:tcPr>
          <w:p w14:paraId="629BA13E"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1050" w:type="dxa"/>
            <w:tcBorders>
              <w:top w:val="nil"/>
              <w:left w:val="nil"/>
              <w:bottom w:val="single" w:sz="4" w:space="0" w:color="auto"/>
              <w:right w:val="nil"/>
            </w:tcBorders>
            <w:shd w:val="clear" w:color="auto" w:fill="auto"/>
            <w:vAlign w:val="bottom"/>
            <w:hideMark/>
          </w:tcPr>
          <w:p w14:paraId="0785BC0A"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1017" w:type="dxa"/>
            <w:tcBorders>
              <w:top w:val="nil"/>
              <w:left w:val="nil"/>
              <w:bottom w:val="single" w:sz="4" w:space="0" w:color="auto"/>
              <w:right w:val="nil"/>
            </w:tcBorders>
            <w:shd w:val="clear" w:color="auto" w:fill="auto"/>
            <w:vAlign w:val="bottom"/>
            <w:hideMark/>
          </w:tcPr>
          <w:p w14:paraId="308B906B"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c>
          <w:tcPr>
            <w:tcW w:w="1027" w:type="dxa"/>
            <w:tcBorders>
              <w:top w:val="nil"/>
              <w:left w:val="nil"/>
              <w:bottom w:val="single" w:sz="4" w:space="0" w:color="auto"/>
              <w:right w:val="single" w:sz="4" w:space="0" w:color="auto"/>
            </w:tcBorders>
            <w:shd w:val="clear" w:color="auto" w:fill="auto"/>
            <w:vAlign w:val="bottom"/>
            <w:hideMark/>
          </w:tcPr>
          <w:p w14:paraId="753028F7" w14:textId="77777777" w:rsidR="00DB4ADC" w:rsidRPr="000D67C6" w:rsidRDefault="00DB4ADC" w:rsidP="00E32EB0">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£000s</w:t>
            </w:r>
          </w:p>
        </w:tc>
      </w:tr>
      <w:tr w:rsidR="00790DD4" w:rsidRPr="000D67C6" w14:paraId="19273E91" w14:textId="77777777" w:rsidTr="00630A83">
        <w:trPr>
          <w:trHeight w:val="367"/>
        </w:trPr>
        <w:tc>
          <w:tcPr>
            <w:tcW w:w="1147" w:type="dxa"/>
            <w:tcBorders>
              <w:top w:val="nil"/>
              <w:left w:val="single" w:sz="4" w:space="0" w:color="auto"/>
              <w:bottom w:val="nil"/>
              <w:right w:val="nil"/>
            </w:tcBorders>
            <w:shd w:val="clear" w:color="auto" w:fill="auto"/>
            <w:noWrap/>
            <w:vAlign w:val="center"/>
            <w:hideMark/>
          </w:tcPr>
          <w:p w14:paraId="5224F5FC"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(2,702)</w:t>
            </w:r>
          </w:p>
        </w:tc>
        <w:tc>
          <w:tcPr>
            <w:tcW w:w="990" w:type="dxa"/>
            <w:tcBorders>
              <w:top w:val="nil"/>
              <w:left w:val="nil"/>
              <w:bottom w:val="nil"/>
              <w:right w:val="nil"/>
            </w:tcBorders>
            <w:shd w:val="clear" w:color="auto" w:fill="auto"/>
            <w:noWrap/>
            <w:vAlign w:val="center"/>
            <w:hideMark/>
          </w:tcPr>
          <w:p w14:paraId="6EFDAECB"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15279151"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(2,702)</w:t>
            </w:r>
          </w:p>
        </w:tc>
        <w:tc>
          <w:tcPr>
            <w:tcW w:w="1027" w:type="dxa"/>
            <w:tcBorders>
              <w:top w:val="nil"/>
              <w:left w:val="nil"/>
              <w:bottom w:val="nil"/>
              <w:right w:val="single" w:sz="4" w:space="0" w:color="auto"/>
            </w:tcBorders>
            <w:shd w:val="clear" w:color="auto" w:fill="auto"/>
            <w:noWrap/>
            <w:vAlign w:val="center"/>
            <w:hideMark/>
          </w:tcPr>
          <w:p w14:paraId="29FE95BC"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2,702</w:t>
            </w:r>
          </w:p>
        </w:tc>
        <w:tc>
          <w:tcPr>
            <w:tcW w:w="2103" w:type="dxa"/>
            <w:tcBorders>
              <w:top w:val="nil"/>
              <w:left w:val="single" w:sz="4" w:space="0" w:color="auto"/>
              <w:bottom w:val="nil"/>
              <w:right w:val="single" w:sz="4" w:space="0" w:color="auto"/>
            </w:tcBorders>
            <w:shd w:val="clear" w:color="auto" w:fill="auto"/>
            <w:vAlign w:val="center"/>
            <w:hideMark/>
          </w:tcPr>
          <w:p w14:paraId="26C327D0"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 xml:space="preserve">Depreciation </w:t>
            </w:r>
          </w:p>
        </w:tc>
        <w:tc>
          <w:tcPr>
            <w:tcW w:w="1147" w:type="dxa"/>
            <w:tcBorders>
              <w:top w:val="nil"/>
              <w:left w:val="single" w:sz="4" w:space="0" w:color="auto"/>
              <w:bottom w:val="nil"/>
              <w:right w:val="nil"/>
            </w:tcBorders>
            <w:shd w:val="clear" w:color="auto" w:fill="auto"/>
            <w:noWrap/>
            <w:vAlign w:val="center"/>
          </w:tcPr>
          <w:p w14:paraId="27DB1A39" w14:textId="362ABFE0" w:rsidR="00790DD4" w:rsidRPr="000D67C6" w:rsidRDefault="0041369D"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w:t>
            </w:r>
            <w:r w:rsidR="007C6A6A" w:rsidRPr="000D67C6">
              <w:rPr>
                <w:rFonts w:ascii="Arial" w:eastAsia="Times New Roman" w:hAnsi="Arial" w:cs="Arial"/>
                <w:sz w:val="18"/>
                <w:szCs w:val="18"/>
                <w:lang w:val="en-GB" w:eastAsia="en-GB"/>
              </w:rPr>
              <w:t>78</w:t>
            </w:r>
            <w:r w:rsidR="00B915B3" w:rsidRPr="000D67C6">
              <w:rPr>
                <w:rFonts w:ascii="Arial" w:eastAsia="Times New Roman" w:hAnsi="Arial" w:cs="Arial"/>
                <w:sz w:val="18"/>
                <w:szCs w:val="18"/>
                <w:lang w:val="en-GB" w:eastAsia="en-GB"/>
              </w:rPr>
              <w:t>4</w:t>
            </w:r>
            <w:r w:rsidRPr="000D67C6">
              <w:rPr>
                <w:rFonts w:ascii="Arial" w:eastAsia="Times New Roman" w:hAnsi="Arial" w:cs="Arial"/>
                <w:sz w:val="18"/>
                <w:szCs w:val="18"/>
                <w:lang w:val="en-GB" w:eastAsia="en-GB"/>
              </w:rPr>
              <w:t>)</w:t>
            </w:r>
          </w:p>
        </w:tc>
        <w:tc>
          <w:tcPr>
            <w:tcW w:w="1050" w:type="dxa"/>
            <w:tcBorders>
              <w:top w:val="nil"/>
              <w:left w:val="nil"/>
              <w:bottom w:val="nil"/>
              <w:right w:val="nil"/>
            </w:tcBorders>
            <w:shd w:val="clear" w:color="auto" w:fill="auto"/>
            <w:noWrap/>
            <w:vAlign w:val="center"/>
          </w:tcPr>
          <w:p w14:paraId="1B89D75F" w14:textId="77777777" w:rsidR="00790DD4" w:rsidRPr="000D67C6" w:rsidRDefault="0041369D"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1218291D" w14:textId="751F3464" w:rsidR="00790DD4" w:rsidRPr="000D67C6" w:rsidRDefault="0041369D"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w:t>
            </w:r>
            <w:r w:rsidR="007C6A6A" w:rsidRPr="000D67C6">
              <w:rPr>
                <w:rFonts w:ascii="Arial" w:eastAsia="Times New Roman" w:hAnsi="Arial" w:cs="Arial"/>
                <w:b/>
                <w:bCs/>
                <w:sz w:val="18"/>
                <w:szCs w:val="18"/>
                <w:lang w:val="en-GB" w:eastAsia="en-GB"/>
              </w:rPr>
              <w:t>78</w:t>
            </w:r>
            <w:r w:rsidR="00B915B3" w:rsidRPr="000D67C6">
              <w:rPr>
                <w:rFonts w:ascii="Arial" w:eastAsia="Times New Roman" w:hAnsi="Arial" w:cs="Arial"/>
                <w:b/>
                <w:bCs/>
                <w:sz w:val="18"/>
                <w:szCs w:val="18"/>
                <w:lang w:val="en-GB" w:eastAsia="en-GB"/>
              </w:rPr>
              <w:t>4</w:t>
            </w:r>
            <w:r w:rsidRPr="000D67C6">
              <w:rPr>
                <w:rFonts w:ascii="Arial" w:eastAsia="Times New Roman" w:hAnsi="Arial" w:cs="Arial"/>
                <w:b/>
                <w:bCs/>
                <w:sz w:val="18"/>
                <w:szCs w:val="18"/>
                <w:lang w:val="en-GB" w:eastAsia="en-GB"/>
              </w:rPr>
              <w:t>)</w:t>
            </w:r>
          </w:p>
        </w:tc>
        <w:tc>
          <w:tcPr>
            <w:tcW w:w="1027" w:type="dxa"/>
            <w:tcBorders>
              <w:top w:val="nil"/>
              <w:left w:val="nil"/>
              <w:bottom w:val="nil"/>
              <w:right w:val="single" w:sz="4" w:space="0" w:color="auto"/>
            </w:tcBorders>
            <w:shd w:val="clear" w:color="auto" w:fill="auto"/>
            <w:noWrap/>
            <w:vAlign w:val="center"/>
          </w:tcPr>
          <w:p w14:paraId="43EDE998" w14:textId="67F083A2" w:rsidR="00790DD4" w:rsidRPr="000D67C6" w:rsidRDefault="00822496"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w:t>
            </w:r>
            <w:r w:rsidR="007C6A6A" w:rsidRPr="000D67C6">
              <w:rPr>
                <w:rFonts w:ascii="Arial" w:eastAsia="Times New Roman" w:hAnsi="Arial" w:cs="Arial"/>
                <w:b/>
                <w:bCs/>
                <w:sz w:val="18"/>
                <w:szCs w:val="18"/>
                <w:lang w:val="en-GB" w:eastAsia="en-GB"/>
              </w:rPr>
              <w:t>78</w:t>
            </w:r>
            <w:r w:rsidR="00B915B3" w:rsidRPr="000D67C6">
              <w:rPr>
                <w:rFonts w:ascii="Arial" w:eastAsia="Times New Roman" w:hAnsi="Arial" w:cs="Arial"/>
                <w:b/>
                <w:bCs/>
                <w:sz w:val="18"/>
                <w:szCs w:val="18"/>
                <w:lang w:val="en-GB" w:eastAsia="en-GB"/>
              </w:rPr>
              <w:t>4</w:t>
            </w:r>
          </w:p>
        </w:tc>
      </w:tr>
      <w:tr w:rsidR="00790DD4" w:rsidRPr="000D67C6" w14:paraId="77187F5F"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11980C0F"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(30)</w:t>
            </w:r>
          </w:p>
        </w:tc>
        <w:tc>
          <w:tcPr>
            <w:tcW w:w="990" w:type="dxa"/>
            <w:tcBorders>
              <w:top w:val="nil"/>
              <w:left w:val="nil"/>
              <w:bottom w:val="nil"/>
              <w:right w:val="nil"/>
            </w:tcBorders>
            <w:shd w:val="clear" w:color="auto" w:fill="auto"/>
            <w:noWrap/>
            <w:vAlign w:val="center"/>
            <w:hideMark/>
          </w:tcPr>
          <w:p w14:paraId="11134497"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2B3AFD9E"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(30)</w:t>
            </w:r>
          </w:p>
        </w:tc>
        <w:tc>
          <w:tcPr>
            <w:tcW w:w="1027" w:type="dxa"/>
            <w:tcBorders>
              <w:top w:val="nil"/>
              <w:left w:val="nil"/>
              <w:bottom w:val="nil"/>
              <w:right w:val="single" w:sz="4" w:space="0" w:color="auto"/>
            </w:tcBorders>
            <w:shd w:val="clear" w:color="auto" w:fill="auto"/>
            <w:noWrap/>
            <w:vAlign w:val="center"/>
            <w:hideMark/>
          </w:tcPr>
          <w:p w14:paraId="1120690C"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30</w:t>
            </w:r>
          </w:p>
        </w:tc>
        <w:tc>
          <w:tcPr>
            <w:tcW w:w="2103" w:type="dxa"/>
            <w:tcBorders>
              <w:top w:val="nil"/>
              <w:left w:val="single" w:sz="4" w:space="0" w:color="auto"/>
              <w:bottom w:val="nil"/>
              <w:right w:val="single" w:sz="4" w:space="0" w:color="auto"/>
            </w:tcBorders>
            <w:shd w:val="clear" w:color="auto" w:fill="auto"/>
            <w:vAlign w:val="center"/>
            <w:hideMark/>
          </w:tcPr>
          <w:p w14:paraId="236AB240"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 xml:space="preserve">Impairment &amp; Non- enhancing </w:t>
            </w:r>
          </w:p>
        </w:tc>
        <w:tc>
          <w:tcPr>
            <w:tcW w:w="1147" w:type="dxa"/>
            <w:tcBorders>
              <w:top w:val="nil"/>
              <w:left w:val="single" w:sz="4" w:space="0" w:color="auto"/>
              <w:bottom w:val="nil"/>
              <w:right w:val="nil"/>
            </w:tcBorders>
            <w:shd w:val="clear" w:color="auto" w:fill="auto"/>
            <w:noWrap/>
            <w:vAlign w:val="center"/>
          </w:tcPr>
          <w:p w14:paraId="4F450044" w14:textId="04BCDE5D" w:rsidR="00790DD4" w:rsidRPr="000D67C6" w:rsidRDefault="00B915B3"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(51)</w:t>
            </w:r>
          </w:p>
        </w:tc>
        <w:tc>
          <w:tcPr>
            <w:tcW w:w="1050" w:type="dxa"/>
            <w:tcBorders>
              <w:top w:val="nil"/>
              <w:left w:val="nil"/>
              <w:bottom w:val="nil"/>
              <w:right w:val="nil"/>
            </w:tcBorders>
            <w:shd w:val="clear" w:color="auto" w:fill="auto"/>
            <w:noWrap/>
            <w:vAlign w:val="center"/>
          </w:tcPr>
          <w:p w14:paraId="25280154"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0AC7B814" w14:textId="798BCE59" w:rsidR="00790DD4" w:rsidRPr="000D67C6" w:rsidRDefault="00B915B3"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(51)</w:t>
            </w:r>
          </w:p>
        </w:tc>
        <w:tc>
          <w:tcPr>
            <w:tcW w:w="1027" w:type="dxa"/>
            <w:tcBorders>
              <w:top w:val="nil"/>
              <w:left w:val="nil"/>
              <w:bottom w:val="nil"/>
              <w:right w:val="single" w:sz="4" w:space="0" w:color="auto"/>
            </w:tcBorders>
            <w:shd w:val="clear" w:color="auto" w:fill="auto"/>
            <w:noWrap/>
            <w:vAlign w:val="center"/>
          </w:tcPr>
          <w:p w14:paraId="2AED9276" w14:textId="049C0408" w:rsidR="00790DD4" w:rsidRPr="000D67C6" w:rsidRDefault="00B915B3"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51</w:t>
            </w:r>
          </w:p>
        </w:tc>
      </w:tr>
      <w:tr w:rsidR="00790DD4" w:rsidRPr="000D67C6" w14:paraId="09479D2F" w14:textId="77777777" w:rsidTr="00C53F10">
        <w:trPr>
          <w:trHeight w:val="423"/>
        </w:trPr>
        <w:tc>
          <w:tcPr>
            <w:tcW w:w="1147" w:type="dxa"/>
            <w:tcBorders>
              <w:top w:val="nil"/>
              <w:left w:val="single" w:sz="4" w:space="0" w:color="auto"/>
              <w:bottom w:val="nil"/>
              <w:right w:val="nil"/>
            </w:tcBorders>
            <w:shd w:val="clear" w:color="auto" w:fill="auto"/>
            <w:noWrap/>
            <w:vAlign w:val="center"/>
            <w:hideMark/>
          </w:tcPr>
          <w:p w14:paraId="0F666241"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(55)</w:t>
            </w:r>
          </w:p>
        </w:tc>
        <w:tc>
          <w:tcPr>
            <w:tcW w:w="990" w:type="dxa"/>
            <w:tcBorders>
              <w:top w:val="nil"/>
              <w:left w:val="nil"/>
              <w:bottom w:val="nil"/>
              <w:right w:val="nil"/>
            </w:tcBorders>
            <w:shd w:val="clear" w:color="auto" w:fill="auto"/>
            <w:noWrap/>
            <w:vAlign w:val="center"/>
            <w:hideMark/>
          </w:tcPr>
          <w:p w14:paraId="65D415BA"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145270AB"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(55)</w:t>
            </w:r>
          </w:p>
        </w:tc>
        <w:tc>
          <w:tcPr>
            <w:tcW w:w="1027" w:type="dxa"/>
            <w:tcBorders>
              <w:top w:val="nil"/>
              <w:left w:val="nil"/>
              <w:bottom w:val="nil"/>
              <w:right w:val="single" w:sz="4" w:space="0" w:color="auto"/>
            </w:tcBorders>
            <w:shd w:val="clear" w:color="auto" w:fill="auto"/>
            <w:noWrap/>
            <w:vAlign w:val="center"/>
            <w:hideMark/>
          </w:tcPr>
          <w:p w14:paraId="39B8F968"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55</w:t>
            </w:r>
          </w:p>
        </w:tc>
        <w:tc>
          <w:tcPr>
            <w:tcW w:w="2103" w:type="dxa"/>
            <w:tcBorders>
              <w:top w:val="nil"/>
              <w:left w:val="single" w:sz="4" w:space="0" w:color="auto"/>
              <w:bottom w:val="nil"/>
              <w:right w:val="single" w:sz="4" w:space="0" w:color="auto"/>
            </w:tcBorders>
            <w:shd w:val="clear" w:color="auto" w:fill="auto"/>
            <w:vAlign w:val="center"/>
            <w:hideMark/>
          </w:tcPr>
          <w:p w14:paraId="0844E7D9"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Intangible Amortisation</w:t>
            </w:r>
          </w:p>
        </w:tc>
        <w:tc>
          <w:tcPr>
            <w:tcW w:w="1147" w:type="dxa"/>
            <w:tcBorders>
              <w:top w:val="nil"/>
              <w:left w:val="single" w:sz="4" w:space="0" w:color="auto"/>
              <w:bottom w:val="nil"/>
              <w:right w:val="nil"/>
            </w:tcBorders>
            <w:shd w:val="clear" w:color="auto" w:fill="auto"/>
            <w:noWrap/>
            <w:vAlign w:val="center"/>
          </w:tcPr>
          <w:p w14:paraId="567F13DF" w14:textId="77777777" w:rsidR="00790DD4" w:rsidRPr="000D67C6" w:rsidRDefault="00045F89"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(107)</w:t>
            </w:r>
          </w:p>
        </w:tc>
        <w:tc>
          <w:tcPr>
            <w:tcW w:w="1050" w:type="dxa"/>
            <w:tcBorders>
              <w:top w:val="nil"/>
              <w:left w:val="nil"/>
              <w:bottom w:val="nil"/>
              <w:right w:val="nil"/>
            </w:tcBorders>
            <w:shd w:val="clear" w:color="auto" w:fill="auto"/>
            <w:noWrap/>
            <w:vAlign w:val="center"/>
          </w:tcPr>
          <w:p w14:paraId="642A3A03"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4300636D" w14:textId="77777777" w:rsidR="00790DD4" w:rsidRPr="000D67C6" w:rsidRDefault="00C046BB"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(107)</w:t>
            </w:r>
          </w:p>
        </w:tc>
        <w:tc>
          <w:tcPr>
            <w:tcW w:w="1027" w:type="dxa"/>
            <w:tcBorders>
              <w:top w:val="nil"/>
              <w:left w:val="nil"/>
              <w:bottom w:val="nil"/>
              <w:right w:val="single" w:sz="4" w:space="0" w:color="auto"/>
            </w:tcBorders>
            <w:shd w:val="clear" w:color="auto" w:fill="auto"/>
            <w:noWrap/>
            <w:vAlign w:val="center"/>
          </w:tcPr>
          <w:p w14:paraId="00F31A61"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107</w:t>
            </w:r>
          </w:p>
        </w:tc>
      </w:tr>
      <w:tr w:rsidR="00790DD4" w:rsidRPr="000D67C6" w14:paraId="0D9E831D"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1B65D26B"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21</w:t>
            </w:r>
          </w:p>
        </w:tc>
        <w:tc>
          <w:tcPr>
            <w:tcW w:w="990" w:type="dxa"/>
            <w:tcBorders>
              <w:top w:val="nil"/>
              <w:left w:val="nil"/>
              <w:bottom w:val="nil"/>
              <w:right w:val="nil"/>
            </w:tcBorders>
            <w:shd w:val="clear" w:color="auto" w:fill="auto"/>
            <w:noWrap/>
            <w:vAlign w:val="center"/>
            <w:hideMark/>
          </w:tcPr>
          <w:p w14:paraId="2C4616A5"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(21)</w:t>
            </w:r>
          </w:p>
        </w:tc>
        <w:tc>
          <w:tcPr>
            <w:tcW w:w="1124" w:type="dxa"/>
            <w:tcBorders>
              <w:top w:val="nil"/>
              <w:left w:val="nil"/>
              <w:bottom w:val="nil"/>
              <w:right w:val="nil"/>
            </w:tcBorders>
            <w:shd w:val="clear" w:color="auto" w:fill="auto"/>
            <w:noWrap/>
            <w:vAlign w:val="center"/>
            <w:hideMark/>
          </w:tcPr>
          <w:p w14:paraId="17DF89E1"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c>
          <w:tcPr>
            <w:tcW w:w="1027" w:type="dxa"/>
            <w:tcBorders>
              <w:top w:val="nil"/>
              <w:left w:val="nil"/>
              <w:bottom w:val="nil"/>
              <w:right w:val="single" w:sz="4" w:space="0" w:color="auto"/>
            </w:tcBorders>
            <w:shd w:val="clear" w:color="auto" w:fill="auto"/>
            <w:noWrap/>
            <w:vAlign w:val="center"/>
            <w:hideMark/>
          </w:tcPr>
          <w:p w14:paraId="75B934F8"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c>
          <w:tcPr>
            <w:tcW w:w="2103" w:type="dxa"/>
            <w:tcBorders>
              <w:top w:val="nil"/>
              <w:left w:val="single" w:sz="4" w:space="0" w:color="auto"/>
              <w:bottom w:val="nil"/>
              <w:right w:val="single" w:sz="4" w:space="0" w:color="auto"/>
            </w:tcBorders>
            <w:shd w:val="clear" w:color="auto" w:fill="auto"/>
            <w:vAlign w:val="center"/>
            <w:hideMark/>
          </w:tcPr>
          <w:p w14:paraId="5D320770"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 xml:space="preserve">Disposal of non-current assets </w:t>
            </w:r>
          </w:p>
        </w:tc>
        <w:tc>
          <w:tcPr>
            <w:tcW w:w="1147" w:type="dxa"/>
            <w:tcBorders>
              <w:top w:val="nil"/>
              <w:left w:val="single" w:sz="4" w:space="0" w:color="auto"/>
              <w:bottom w:val="nil"/>
              <w:right w:val="nil"/>
            </w:tcBorders>
            <w:shd w:val="clear" w:color="auto" w:fill="auto"/>
            <w:noWrap/>
            <w:vAlign w:val="center"/>
          </w:tcPr>
          <w:p w14:paraId="63544726" w14:textId="77777777" w:rsidR="00790DD4" w:rsidRPr="000D67C6" w:rsidRDefault="00045F89"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(29)</w:t>
            </w:r>
          </w:p>
        </w:tc>
        <w:tc>
          <w:tcPr>
            <w:tcW w:w="1050" w:type="dxa"/>
            <w:tcBorders>
              <w:top w:val="nil"/>
              <w:left w:val="nil"/>
              <w:bottom w:val="nil"/>
              <w:right w:val="nil"/>
            </w:tcBorders>
            <w:shd w:val="clear" w:color="auto" w:fill="auto"/>
            <w:noWrap/>
            <w:vAlign w:val="center"/>
          </w:tcPr>
          <w:p w14:paraId="333A797D"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(118)</w:t>
            </w:r>
          </w:p>
        </w:tc>
        <w:tc>
          <w:tcPr>
            <w:tcW w:w="1017" w:type="dxa"/>
            <w:tcBorders>
              <w:top w:val="nil"/>
              <w:left w:val="nil"/>
              <w:bottom w:val="nil"/>
              <w:right w:val="nil"/>
            </w:tcBorders>
            <w:shd w:val="clear" w:color="auto" w:fill="auto"/>
            <w:noWrap/>
            <w:vAlign w:val="center"/>
          </w:tcPr>
          <w:p w14:paraId="65536D7A"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(147)</w:t>
            </w:r>
          </w:p>
        </w:tc>
        <w:tc>
          <w:tcPr>
            <w:tcW w:w="1027" w:type="dxa"/>
            <w:tcBorders>
              <w:top w:val="nil"/>
              <w:left w:val="nil"/>
              <w:bottom w:val="nil"/>
              <w:right w:val="single" w:sz="4" w:space="0" w:color="auto"/>
            </w:tcBorders>
            <w:shd w:val="clear" w:color="auto" w:fill="auto"/>
            <w:noWrap/>
            <w:vAlign w:val="center"/>
          </w:tcPr>
          <w:p w14:paraId="4C9BBC95"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147</w:t>
            </w:r>
          </w:p>
        </w:tc>
      </w:tr>
      <w:tr w:rsidR="00790DD4" w:rsidRPr="000D67C6" w14:paraId="7E2FDDEF" w14:textId="77777777" w:rsidTr="00142C6F">
        <w:trPr>
          <w:trHeight w:val="979"/>
        </w:trPr>
        <w:tc>
          <w:tcPr>
            <w:tcW w:w="1147" w:type="dxa"/>
            <w:tcBorders>
              <w:top w:val="nil"/>
              <w:left w:val="single" w:sz="4" w:space="0" w:color="auto"/>
              <w:bottom w:val="nil"/>
              <w:right w:val="nil"/>
            </w:tcBorders>
            <w:shd w:val="clear" w:color="auto" w:fill="auto"/>
            <w:noWrap/>
            <w:vAlign w:val="center"/>
          </w:tcPr>
          <w:p w14:paraId="48F6F6BF"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(800)</w:t>
            </w:r>
          </w:p>
        </w:tc>
        <w:tc>
          <w:tcPr>
            <w:tcW w:w="990" w:type="dxa"/>
            <w:tcBorders>
              <w:top w:val="nil"/>
              <w:left w:val="nil"/>
              <w:bottom w:val="nil"/>
              <w:right w:val="nil"/>
            </w:tcBorders>
            <w:shd w:val="clear" w:color="auto" w:fill="auto"/>
            <w:noWrap/>
            <w:vAlign w:val="center"/>
          </w:tcPr>
          <w:p w14:paraId="4564E3D0"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tcPr>
          <w:p w14:paraId="4A848804"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(800)</w:t>
            </w:r>
          </w:p>
        </w:tc>
        <w:tc>
          <w:tcPr>
            <w:tcW w:w="1027" w:type="dxa"/>
            <w:tcBorders>
              <w:top w:val="nil"/>
              <w:left w:val="nil"/>
              <w:bottom w:val="nil"/>
              <w:right w:val="single" w:sz="4" w:space="0" w:color="auto"/>
            </w:tcBorders>
            <w:shd w:val="clear" w:color="auto" w:fill="auto"/>
            <w:noWrap/>
            <w:vAlign w:val="center"/>
          </w:tcPr>
          <w:p w14:paraId="5962D90B"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800</w:t>
            </w:r>
          </w:p>
        </w:tc>
        <w:tc>
          <w:tcPr>
            <w:tcW w:w="2103" w:type="dxa"/>
            <w:tcBorders>
              <w:top w:val="nil"/>
              <w:left w:val="single" w:sz="4" w:space="0" w:color="auto"/>
              <w:bottom w:val="nil"/>
              <w:right w:val="single" w:sz="4" w:space="0" w:color="auto"/>
            </w:tcBorders>
            <w:shd w:val="clear" w:color="auto" w:fill="auto"/>
            <w:vAlign w:val="center"/>
          </w:tcPr>
          <w:p w14:paraId="402D61CC"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Revenue Expenditure Funded from Capital Under Statute REFCUS</w:t>
            </w:r>
          </w:p>
        </w:tc>
        <w:tc>
          <w:tcPr>
            <w:tcW w:w="1147" w:type="dxa"/>
            <w:tcBorders>
              <w:top w:val="nil"/>
              <w:left w:val="single" w:sz="4" w:space="0" w:color="auto"/>
              <w:bottom w:val="nil"/>
              <w:right w:val="nil"/>
            </w:tcBorders>
            <w:shd w:val="clear" w:color="auto" w:fill="auto"/>
            <w:noWrap/>
            <w:vAlign w:val="center"/>
          </w:tcPr>
          <w:p w14:paraId="280DB10B" w14:textId="77777777" w:rsidR="00790DD4" w:rsidRPr="000D67C6" w:rsidRDefault="002C12DD"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50" w:type="dxa"/>
            <w:tcBorders>
              <w:top w:val="nil"/>
              <w:left w:val="nil"/>
              <w:bottom w:val="nil"/>
              <w:right w:val="nil"/>
            </w:tcBorders>
            <w:shd w:val="clear" w:color="auto" w:fill="auto"/>
            <w:noWrap/>
            <w:vAlign w:val="center"/>
          </w:tcPr>
          <w:p w14:paraId="304DB5FC"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304B46DC"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c>
          <w:tcPr>
            <w:tcW w:w="1027" w:type="dxa"/>
            <w:tcBorders>
              <w:top w:val="nil"/>
              <w:left w:val="nil"/>
              <w:bottom w:val="nil"/>
              <w:right w:val="single" w:sz="4" w:space="0" w:color="auto"/>
            </w:tcBorders>
            <w:shd w:val="clear" w:color="auto" w:fill="auto"/>
            <w:noWrap/>
            <w:vAlign w:val="center"/>
          </w:tcPr>
          <w:p w14:paraId="52EA363F"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r>
      <w:tr w:rsidR="00790DD4" w:rsidRPr="000D67C6" w14:paraId="607CE7B5"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0D620BDE"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1,320</w:t>
            </w:r>
          </w:p>
        </w:tc>
        <w:tc>
          <w:tcPr>
            <w:tcW w:w="990" w:type="dxa"/>
            <w:tcBorders>
              <w:top w:val="nil"/>
              <w:left w:val="nil"/>
              <w:bottom w:val="nil"/>
              <w:right w:val="nil"/>
            </w:tcBorders>
            <w:shd w:val="clear" w:color="auto" w:fill="auto"/>
            <w:noWrap/>
            <w:vAlign w:val="center"/>
            <w:hideMark/>
          </w:tcPr>
          <w:p w14:paraId="056E08D0"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6954B9C6"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1,320</w:t>
            </w:r>
          </w:p>
        </w:tc>
        <w:tc>
          <w:tcPr>
            <w:tcW w:w="1027" w:type="dxa"/>
            <w:tcBorders>
              <w:top w:val="nil"/>
              <w:left w:val="nil"/>
              <w:bottom w:val="nil"/>
              <w:right w:val="single" w:sz="4" w:space="0" w:color="auto"/>
            </w:tcBorders>
            <w:shd w:val="clear" w:color="auto" w:fill="auto"/>
            <w:noWrap/>
            <w:vAlign w:val="center"/>
            <w:hideMark/>
          </w:tcPr>
          <w:p w14:paraId="7267D331"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(1,320)</w:t>
            </w:r>
          </w:p>
        </w:tc>
        <w:tc>
          <w:tcPr>
            <w:tcW w:w="2103" w:type="dxa"/>
            <w:tcBorders>
              <w:top w:val="nil"/>
              <w:left w:val="single" w:sz="4" w:space="0" w:color="auto"/>
              <w:bottom w:val="nil"/>
              <w:right w:val="single" w:sz="4" w:space="0" w:color="auto"/>
            </w:tcBorders>
            <w:shd w:val="clear" w:color="auto" w:fill="auto"/>
            <w:vAlign w:val="center"/>
            <w:hideMark/>
          </w:tcPr>
          <w:p w14:paraId="141DFF15"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Capital Expenditure Funded Earmarked Reserves CERA</w:t>
            </w:r>
          </w:p>
        </w:tc>
        <w:tc>
          <w:tcPr>
            <w:tcW w:w="1147" w:type="dxa"/>
            <w:tcBorders>
              <w:top w:val="nil"/>
              <w:left w:val="single" w:sz="4" w:space="0" w:color="auto"/>
              <w:bottom w:val="nil"/>
              <w:right w:val="nil"/>
            </w:tcBorders>
            <w:shd w:val="clear" w:color="auto" w:fill="auto"/>
            <w:noWrap/>
            <w:vAlign w:val="center"/>
          </w:tcPr>
          <w:p w14:paraId="5DCF7AE8" w14:textId="77777777" w:rsidR="00790DD4" w:rsidRPr="000D67C6" w:rsidRDefault="002C12DD"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332</w:t>
            </w:r>
          </w:p>
        </w:tc>
        <w:tc>
          <w:tcPr>
            <w:tcW w:w="1050" w:type="dxa"/>
            <w:tcBorders>
              <w:top w:val="nil"/>
              <w:left w:val="nil"/>
              <w:bottom w:val="nil"/>
              <w:right w:val="nil"/>
            </w:tcBorders>
            <w:shd w:val="clear" w:color="auto" w:fill="auto"/>
            <w:noWrap/>
            <w:vAlign w:val="center"/>
          </w:tcPr>
          <w:p w14:paraId="7BAAEB8C"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671B4ED2"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332</w:t>
            </w:r>
          </w:p>
        </w:tc>
        <w:tc>
          <w:tcPr>
            <w:tcW w:w="1027" w:type="dxa"/>
            <w:tcBorders>
              <w:top w:val="nil"/>
              <w:left w:val="nil"/>
              <w:bottom w:val="nil"/>
              <w:right w:val="single" w:sz="4" w:space="0" w:color="auto"/>
            </w:tcBorders>
            <w:shd w:val="clear" w:color="auto" w:fill="auto"/>
            <w:noWrap/>
            <w:vAlign w:val="center"/>
          </w:tcPr>
          <w:p w14:paraId="1DABBCF6"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(332)</w:t>
            </w:r>
          </w:p>
        </w:tc>
      </w:tr>
      <w:tr w:rsidR="00790DD4" w:rsidRPr="000D67C6" w14:paraId="31D05152"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32D1E964"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10</w:t>
            </w:r>
          </w:p>
        </w:tc>
        <w:tc>
          <w:tcPr>
            <w:tcW w:w="990" w:type="dxa"/>
            <w:tcBorders>
              <w:top w:val="nil"/>
              <w:left w:val="nil"/>
              <w:bottom w:val="nil"/>
              <w:right w:val="nil"/>
            </w:tcBorders>
            <w:shd w:val="clear" w:color="auto" w:fill="auto"/>
            <w:noWrap/>
            <w:vAlign w:val="center"/>
            <w:hideMark/>
          </w:tcPr>
          <w:p w14:paraId="39F3649D"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4967B938"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w:t>
            </w:r>
          </w:p>
        </w:tc>
        <w:tc>
          <w:tcPr>
            <w:tcW w:w="1027" w:type="dxa"/>
            <w:tcBorders>
              <w:top w:val="nil"/>
              <w:left w:val="nil"/>
              <w:bottom w:val="nil"/>
              <w:right w:val="single" w:sz="4" w:space="0" w:color="auto"/>
            </w:tcBorders>
            <w:shd w:val="clear" w:color="auto" w:fill="auto"/>
            <w:noWrap/>
            <w:vAlign w:val="center"/>
            <w:hideMark/>
          </w:tcPr>
          <w:p w14:paraId="2B397F8C"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w:t>
            </w:r>
          </w:p>
        </w:tc>
        <w:tc>
          <w:tcPr>
            <w:tcW w:w="2103" w:type="dxa"/>
            <w:tcBorders>
              <w:top w:val="nil"/>
              <w:left w:val="single" w:sz="4" w:space="0" w:color="auto"/>
              <w:bottom w:val="nil"/>
              <w:right w:val="single" w:sz="4" w:space="0" w:color="auto"/>
            </w:tcBorders>
            <w:shd w:val="clear" w:color="auto" w:fill="auto"/>
            <w:vAlign w:val="center"/>
            <w:hideMark/>
          </w:tcPr>
          <w:p w14:paraId="57DEEE68"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Capital Expenditure Funded Donations</w:t>
            </w:r>
          </w:p>
        </w:tc>
        <w:tc>
          <w:tcPr>
            <w:tcW w:w="1147" w:type="dxa"/>
            <w:tcBorders>
              <w:top w:val="nil"/>
              <w:left w:val="single" w:sz="4" w:space="0" w:color="auto"/>
              <w:bottom w:val="nil"/>
              <w:right w:val="nil"/>
            </w:tcBorders>
            <w:shd w:val="clear" w:color="auto" w:fill="auto"/>
            <w:noWrap/>
            <w:vAlign w:val="center"/>
          </w:tcPr>
          <w:p w14:paraId="1E6CEFBD" w14:textId="77777777" w:rsidR="00790DD4" w:rsidRPr="000D67C6" w:rsidRDefault="002C12DD" w:rsidP="002C12DD">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84</w:t>
            </w:r>
          </w:p>
        </w:tc>
        <w:tc>
          <w:tcPr>
            <w:tcW w:w="1050" w:type="dxa"/>
            <w:tcBorders>
              <w:top w:val="nil"/>
              <w:left w:val="nil"/>
              <w:bottom w:val="nil"/>
              <w:right w:val="nil"/>
            </w:tcBorders>
            <w:shd w:val="clear" w:color="auto" w:fill="auto"/>
            <w:noWrap/>
            <w:vAlign w:val="center"/>
          </w:tcPr>
          <w:p w14:paraId="5435E4F9"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329E10F4"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84</w:t>
            </w:r>
          </w:p>
        </w:tc>
        <w:tc>
          <w:tcPr>
            <w:tcW w:w="1027" w:type="dxa"/>
            <w:tcBorders>
              <w:top w:val="nil"/>
              <w:left w:val="nil"/>
              <w:bottom w:val="nil"/>
              <w:right w:val="single" w:sz="4" w:space="0" w:color="auto"/>
            </w:tcBorders>
            <w:shd w:val="clear" w:color="auto" w:fill="auto"/>
            <w:noWrap/>
            <w:vAlign w:val="center"/>
          </w:tcPr>
          <w:p w14:paraId="74FD3B13"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(84)</w:t>
            </w:r>
          </w:p>
        </w:tc>
      </w:tr>
      <w:tr w:rsidR="00790DD4" w:rsidRPr="000D67C6" w14:paraId="28344582"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1FCC95BA"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969</w:t>
            </w:r>
          </w:p>
        </w:tc>
        <w:tc>
          <w:tcPr>
            <w:tcW w:w="990" w:type="dxa"/>
            <w:tcBorders>
              <w:top w:val="nil"/>
              <w:left w:val="nil"/>
              <w:bottom w:val="nil"/>
              <w:right w:val="nil"/>
            </w:tcBorders>
            <w:shd w:val="clear" w:color="auto" w:fill="auto"/>
            <w:noWrap/>
            <w:vAlign w:val="center"/>
            <w:hideMark/>
          </w:tcPr>
          <w:p w14:paraId="0698B95F"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2C0C18DA"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969</w:t>
            </w:r>
          </w:p>
        </w:tc>
        <w:tc>
          <w:tcPr>
            <w:tcW w:w="1027" w:type="dxa"/>
            <w:tcBorders>
              <w:top w:val="nil"/>
              <w:left w:val="nil"/>
              <w:bottom w:val="nil"/>
              <w:right w:val="single" w:sz="4" w:space="0" w:color="auto"/>
            </w:tcBorders>
            <w:shd w:val="clear" w:color="auto" w:fill="auto"/>
            <w:noWrap/>
            <w:vAlign w:val="center"/>
            <w:hideMark/>
          </w:tcPr>
          <w:p w14:paraId="67222488"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(969)</w:t>
            </w:r>
          </w:p>
        </w:tc>
        <w:tc>
          <w:tcPr>
            <w:tcW w:w="2103" w:type="dxa"/>
            <w:tcBorders>
              <w:top w:val="nil"/>
              <w:left w:val="single" w:sz="4" w:space="0" w:color="auto"/>
              <w:bottom w:val="nil"/>
              <w:right w:val="single" w:sz="4" w:space="0" w:color="auto"/>
            </w:tcBorders>
            <w:shd w:val="clear" w:color="auto" w:fill="auto"/>
            <w:vAlign w:val="center"/>
            <w:hideMark/>
          </w:tcPr>
          <w:p w14:paraId="23E05E3C"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Capital Expenditure Funded Grants</w:t>
            </w:r>
          </w:p>
        </w:tc>
        <w:tc>
          <w:tcPr>
            <w:tcW w:w="1147" w:type="dxa"/>
            <w:tcBorders>
              <w:top w:val="nil"/>
              <w:left w:val="single" w:sz="4" w:space="0" w:color="auto"/>
              <w:bottom w:val="nil"/>
              <w:right w:val="nil"/>
            </w:tcBorders>
            <w:shd w:val="clear" w:color="auto" w:fill="auto"/>
            <w:noWrap/>
            <w:vAlign w:val="center"/>
          </w:tcPr>
          <w:p w14:paraId="718BDBB1" w14:textId="77777777" w:rsidR="00790DD4" w:rsidRPr="000D67C6" w:rsidRDefault="002C12DD"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285</w:t>
            </w:r>
          </w:p>
        </w:tc>
        <w:tc>
          <w:tcPr>
            <w:tcW w:w="1050" w:type="dxa"/>
            <w:tcBorders>
              <w:top w:val="nil"/>
              <w:left w:val="nil"/>
              <w:bottom w:val="nil"/>
              <w:right w:val="nil"/>
            </w:tcBorders>
            <w:shd w:val="clear" w:color="auto" w:fill="auto"/>
            <w:noWrap/>
            <w:vAlign w:val="center"/>
          </w:tcPr>
          <w:p w14:paraId="1D780279"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2003A876"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285</w:t>
            </w:r>
          </w:p>
        </w:tc>
        <w:tc>
          <w:tcPr>
            <w:tcW w:w="1027" w:type="dxa"/>
            <w:tcBorders>
              <w:top w:val="nil"/>
              <w:left w:val="nil"/>
              <w:bottom w:val="nil"/>
              <w:right w:val="single" w:sz="4" w:space="0" w:color="auto"/>
            </w:tcBorders>
            <w:shd w:val="clear" w:color="auto" w:fill="auto"/>
            <w:noWrap/>
            <w:vAlign w:val="center"/>
          </w:tcPr>
          <w:p w14:paraId="47627BCD" w14:textId="77777777" w:rsidR="00790DD4" w:rsidRPr="000D67C6" w:rsidRDefault="00932A0F" w:rsidP="00932A0F">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(285)</w:t>
            </w:r>
          </w:p>
        </w:tc>
      </w:tr>
      <w:tr w:rsidR="00790DD4" w:rsidRPr="000D67C6" w14:paraId="5074CA52"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785B647D"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990" w:type="dxa"/>
            <w:tcBorders>
              <w:top w:val="nil"/>
              <w:left w:val="nil"/>
              <w:bottom w:val="nil"/>
              <w:right w:val="nil"/>
            </w:tcBorders>
            <w:shd w:val="clear" w:color="auto" w:fill="auto"/>
            <w:noWrap/>
            <w:vAlign w:val="center"/>
            <w:hideMark/>
          </w:tcPr>
          <w:p w14:paraId="652B0E90"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21</w:t>
            </w:r>
          </w:p>
        </w:tc>
        <w:tc>
          <w:tcPr>
            <w:tcW w:w="1124" w:type="dxa"/>
            <w:tcBorders>
              <w:top w:val="nil"/>
              <w:left w:val="nil"/>
              <w:bottom w:val="nil"/>
              <w:right w:val="nil"/>
            </w:tcBorders>
            <w:shd w:val="clear" w:color="auto" w:fill="auto"/>
            <w:noWrap/>
            <w:vAlign w:val="center"/>
            <w:hideMark/>
          </w:tcPr>
          <w:p w14:paraId="3FDA8D98"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21</w:t>
            </w:r>
          </w:p>
        </w:tc>
        <w:tc>
          <w:tcPr>
            <w:tcW w:w="1027" w:type="dxa"/>
            <w:tcBorders>
              <w:top w:val="nil"/>
              <w:left w:val="nil"/>
              <w:bottom w:val="nil"/>
              <w:right w:val="single" w:sz="4" w:space="0" w:color="auto"/>
            </w:tcBorders>
            <w:shd w:val="clear" w:color="auto" w:fill="auto"/>
            <w:noWrap/>
            <w:vAlign w:val="center"/>
            <w:hideMark/>
          </w:tcPr>
          <w:p w14:paraId="3E76CD8C"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(21)</w:t>
            </w:r>
          </w:p>
        </w:tc>
        <w:tc>
          <w:tcPr>
            <w:tcW w:w="2103" w:type="dxa"/>
            <w:tcBorders>
              <w:top w:val="nil"/>
              <w:left w:val="single" w:sz="4" w:space="0" w:color="auto"/>
              <w:bottom w:val="nil"/>
              <w:right w:val="single" w:sz="4" w:space="0" w:color="auto"/>
            </w:tcBorders>
            <w:shd w:val="clear" w:color="auto" w:fill="auto"/>
            <w:vAlign w:val="center"/>
            <w:hideMark/>
          </w:tcPr>
          <w:p w14:paraId="6EB838B7"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Capital Expenditure Funded Receipts</w:t>
            </w:r>
          </w:p>
        </w:tc>
        <w:tc>
          <w:tcPr>
            <w:tcW w:w="1147" w:type="dxa"/>
            <w:tcBorders>
              <w:top w:val="nil"/>
              <w:left w:val="single" w:sz="4" w:space="0" w:color="auto"/>
              <w:bottom w:val="nil"/>
              <w:right w:val="nil"/>
            </w:tcBorders>
            <w:shd w:val="clear" w:color="auto" w:fill="auto"/>
            <w:noWrap/>
            <w:vAlign w:val="center"/>
          </w:tcPr>
          <w:p w14:paraId="2C64C1E9" w14:textId="77777777" w:rsidR="00790DD4" w:rsidRPr="000D67C6" w:rsidRDefault="00053C11"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50" w:type="dxa"/>
            <w:tcBorders>
              <w:top w:val="nil"/>
              <w:left w:val="nil"/>
              <w:bottom w:val="nil"/>
              <w:right w:val="nil"/>
            </w:tcBorders>
            <w:shd w:val="clear" w:color="auto" w:fill="auto"/>
            <w:noWrap/>
            <w:vAlign w:val="center"/>
          </w:tcPr>
          <w:p w14:paraId="306FE42F"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118</w:t>
            </w:r>
          </w:p>
        </w:tc>
        <w:tc>
          <w:tcPr>
            <w:tcW w:w="1017" w:type="dxa"/>
            <w:tcBorders>
              <w:top w:val="nil"/>
              <w:left w:val="nil"/>
              <w:bottom w:val="nil"/>
              <w:right w:val="nil"/>
            </w:tcBorders>
            <w:shd w:val="clear" w:color="auto" w:fill="auto"/>
            <w:noWrap/>
            <w:vAlign w:val="center"/>
          </w:tcPr>
          <w:p w14:paraId="4F919F10"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118</w:t>
            </w:r>
          </w:p>
        </w:tc>
        <w:tc>
          <w:tcPr>
            <w:tcW w:w="1027" w:type="dxa"/>
            <w:tcBorders>
              <w:top w:val="nil"/>
              <w:left w:val="nil"/>
              <w:bottom w:val="nil"/>
              <w:right w:val="single" w:sz="4" w:space="0" w:color="auto"/>
            </w:tcBorders>
            <w:shd w:val="clear" w:color="auto" w:fill="auto"/>
            <w:noWrap/>
            <w:vAlign w:val="center"/>
          </w:tcPr>
          <w:p w14:paraId="2090074D"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(118)</w:t>
            </w:r>
          </w:p>
        </w:tc>
      </w:tr>
      <w:tr w:rsidR="00790DD4" w:rsidRPr="000D67C6" w14:paraId="0B1A8D8E" w14:textId="77777777" w:rsidTr="00630A83">
        <w:trPr>
          <w:trHeight w:val="288"/>
        </w:trPr>
        <w:tc>
          <w:tcPr>
            <w:tcW w:w="1147" w:type="dxa"/>
            <w:tcBorders>
              <w:top w:val="nil"/>
              <w:left w:val="single" w:sz="4" w:space="0" w:color="auto"/>
              <w:bottom w:val="nil"/>
              <w:right w:val="nil"/>
            </w:tcBorders>
            <w:shd w:val="clear" w:color="auto" w:fill="auto"/>
            <w:noWrap/>
            <w:vAlign w:val="center"/>
            <w:hideMark/>
          </w:tcPr>
          <w:p w14:paraId="23770614"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1,862</w:t>
            </w:r>
          </w:p>
        </w:tc>
        <w:tc>
          <w:tcPr>
            <w:tcW w:w="990" w:type="dxa"/>
            <w:tcBorders>
              <w:top w:val="nil"/>
              <w:left w:val="nil"/>
              <w:bottom w:val="nil"/>
              <w:right w:val="nil"/>
            </w:tcBorders>
            <w:shd w:val="clear" w:color="auto" w:fill="auto"/>
            <w:noWrap/>
            <w:vAlign w:val="center"/>
            <w:hideMark/>
          </w:tcPr>
          <w:p w14:paraId="2830F067"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78836FAA"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1,862</w:t>
            </w:r>
          </w:p>
        </w:tc>
        <w:tc>
          <w:tcPr>
            <w:tcW w:w="1027" w:type="dxa"/>
            <w:tcBorders>
              <w:top w:val="nil"/>
              <w:left w:val="nil"/>
              <w:bottom w:val="nil"/>
              <w:right w:val="single" w:sz="4" w:space="0" w:color="auto"/>
            </w:tcBorders>
            <w:shd w:val="clear" w:color="auto" w:fill="auto"/>
            <w:noWrap/>
            <w:vAlign w:val="center"/>
            <w:hideMark/>
          </w:tcPr>
          <w:p w14:paraId="655FBB33"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(1,862)</w:t>
            </w:r>
          </w:p>
        </w:tc>
        <w:tc>
          <w:tcPr>
            <w:tcW w:w="2103" w:type="dxa"/>
            <w:tcBorders>
              <w:top w:val="nil"/>
              <w:left w:val="single" w:sz="4" w:space="0" w:color="auto"/>
              <w:bottom w:val="nil"/>
              <w:right w:val="single" w:sz="4" w:space="0" w:color="auto"/>
            </w:tcBorders>
            <w:shd w:val="clear" w:color="auto" w:fill="auto"/>
            <w:vAlign w:val="center"/>
            <w:hideMark/>
          </w:tcPr>
          <w:p w14:paraId="249D89D7"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Financing Capital MRP</w:t>
            </w:r>
          </w:p>
        </w:tc>
        <w:tc>
          <w:tcPr>
            <w:tcW w:w="1147" w:type="dxa"/>
            <w:tcBorders>
              <w:top w:val="nil"/>
              <w:left w:val="single" w:sz="4" w:space="0" w:color="auto"/>
              <w:bottom w:val="nil"/>
              <w:right w:val="nil"/>
            </w:tcBorders>
            <w:shd w:val="clear" w:color="auto" w:fill="auto"/>
            <w:noWrap/>
            <w:vAlign w:val="center"/>
          </w:tcPr>
          <w:p w14:paraId="4ABDCFAD" w14:textId="77777777" w:rsidR="00790DD4" w:rsidRPr="000D67C6" w:rsidRDefault="00053C11"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1,941</w:t>
            </w:r>
          </w:p>
        </w:tc>
        <w:tc>
          <w:tcPr>
            <w:tcW w:w="1050" w:type="dxa"/>
            <w:tcBorders>
              <w:top w:val="nil"/>
              <w:left w:val="nil"/>
              <w:bottom w:val="nil"/>
              <w:right w:val="nil"/>
            </w:tcBorders>
            <w:shd w:val="clear" w:color="auto" w:fill="auto"/>
            <w:noWrap/>
            <w:vAlign w:val="center"/>
          </w:tcPr>
          <w:p w14:paraId="6ED50021" w14:textId="77777777" w:rsidR="00790DD4" w:rsidRPr="000D67C6" w:rsidRDefault="00C046BB"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7C72DB7C"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1,941</w:t>
            </w:r>
          </w:p>
        </w:tc>
        <w:tc>
          <w:tcPr>
            <w:tcW w:w="1027" w:type="dxa"/>
            <w:tcBorders>
              <w:top w:val="nil"/>
              <w:left w:val="nil"/>
              <w:bottom w:val="nil"/>
              <w:right w:val="single" w:sz="4" w:space="0" w:color="auto"/>
            </w:tcBorders>
            <w:shd w:val="clear" w:color="auto" w:fill="auto"/>
            <w:noWrap/>
            <w:vAlign w:val="center"/>
          </w:tcPr>
          <w:p w14:paraId="5D5B1AA8" w14:textId="77777777" w:rsidR="00790DD4" w:rsidRPr="000D67C6" w:rsidRDefault="00932A0F"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(1,941)</w:t>
            </w:r>
          </w:p>
        </w:tc>
      </w:tr>
      <w:tr w:rsidR="00790DD4" w:rsidRPr="000D67C6" w14:paraId="65CD1A84" w14:textId="77777777" w:rsidTr="00630A83">
        <w:trPr>
          <w:trHeight w:val="516"/>
        </w:trPr>
        <w:tc>
          <w:tcPr>
            <w:tcW w:w="1147" w:type="dxa"/>
            <w:tcBorders>
              <w:top w:val="single" w:sz="4" w:space="0" w:color="auto"/>
              <w:left w:val="single" w:sz="4" w:space="0" w:color="auto"/>
              <w:bottom w:val="single" w:sz="4" w:space="0" w:color="auto"/>
              <w:right w:val="nil"/>
            </w:tcBorders>
            <w:shd w:val="clear" w:color="auto" w:fill="auto"/>
            <w:noWrap/>
            <w:vAlign w:val="center"/>
            <w:hideMark/>
          </w:tcPr>
          <w:p w14:paraId="14B530FE"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595</w:t>
            </w:r>
          </w:p>
        </w:tc>
        <w:tc>
          <w:tcPr>
            <w:tcW w:w="990" w:type="dxa"/>
            <w:tcBorders>
              <w:top w:val="single" w:sz="4" w:space="0" w:color="auto"/>
              <w:left w:val="nil"/>
              <w:bottom w:val="single" w:sz="4" w:space="0" w:color="auto"/>
              <w:right w:val="nil"/>
            </w:tcBorders>
            <w:shd w:val="clear" w:color="auto" w:fill="auto"/>
            <w:noWrap/>
            <w:vAlign w:val="center"/>
            <w:hideMark/>
          </w:tcPr>
          <w:p w14:paraId="062540CA"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single" w:sz="4" w:space="0" w:color="auto"/>
              <w:left w:val="nil"/>
              <w:bottom w:val="single" w:sz="4" w:space="0" w:color="auto"/>
              <w:right w:val="nil"/>
            </w:tcBorders>
            <w:shd w:val="clear" w:color="auto" w:fill="auto"/>
            <w:noWrap/>
            <w:vAlign w:val="center"/>
            <w:hideMark/>
          </w:tcPr>
          <w:p w14:paraId="5E3347EB"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595</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05AE799"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(595)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C1A1" w14:textId="77777777" w:rsidR="00790DD4" w:rsidRPr="000D67C6" w:rsidRDefault="00790DD4" w:rsidP="00790DD4">
            <w:pPr>
              <w:spacing w:line="360" w:lineRule="auto"/>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 </w:t>
            </w:r>
          </w:p>
        </w:tc>
        <w:tc>
          <w:tcPr>
            <w:tcW w:w="1147" w:type="dxa"/>
            <w:tcBorders>
              <w:top w:val="single" w:sz="4" w:space="0" w:color="auto"/>
              <w:left w:val="single" w:sz="4" w:space="0" w:color="auto"/>
              <w:bottom w:val="single" w:sz="4" w:space="0" w:color="auto"/>
              <w:right w:val="nil"/>
            </w:tcBorders>
            <w:shd w:val="clear" w:color="auto" w:fill="auto"/>
            <w:noWrap/>
            <w:vAlign w:val="center"/>
          </w:tcPr>
          <w:p w14:paraId="75D830CD" w14:textId="73F2347C" w:rsidR="00790DD4" w:rsidRPr="000D67C6" w:rsidRDefault="00693900"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w:t>
            </w:r>
            <w:r w:rsidR="00E257FD" w:rsidRPr="000D67C6">
              <w:rPr>
                <w:rFonts w:ascii="Arial" w:eastAsia="Times New Roman" w:hAnsi="Arial" w:cs="Arial"/>
                <w:sz w:val="18"/>
                <w:szCs w:val="18"/>
                <w:lang w:val="en-GB" w:eastAsia="en-GB"/>
              </w:rPr>
              <w:t>329</w:t>
            </w:r>
            <w:r w:rsidRPr="000D67C6">
              <w:rPr>
                <w:rFonts w:ascii="Arial" w:eastAsia="Times New Roman" w:hAnsi="Arial" w:cs="Arial"/>
                <w:sz w:val="18"/>
                <w:szCs w:val="18"/>
                <w:lang w:val="en-GB" w:eastAsia="en-GB"/>
              </w:rPr>
              <w:t>)</w:t>
            </w:r>
          </w:p>
        </w:tc>
        <w:tc>
          <w:tcPr>
            <w:tcW w:w="1050" w:type="dxa"/>
            <w:tcBorders>
              <w:top w:val="single" w:sz="4" w:space="0" w:color="auto"/>
              <w:left w:val="nil"/>
              <w:bottom w:val="single" w:sz="4" w:space="0" w:color="auto"/>
              <w:right w:val="nil"/>
            </w:tcBorders>
            <w:shd w:val="clear" w:color="auto" w:fill="auto"/>
            <w:noWrap/>
            <w:vAlign w:val="center"/>
          </w:tcPr>
          <w:p w14:paraId="01D51739" w14:textId="77777777" w:rsidR="00790DD4" w:rsidRPr="000D67C6" w:rsidRDefault="00B5709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single" w:sz="4" w:space="0" w:color="auto"/>
              <w:left w:val="nil"/>
              <w:bottom w:val="single" w:sz="4" w:space="0" w:color="auto"/>
              <w:right w:val="nil"/>
            </w:tcBorders>
            <w:shd w:val="clear" w:color="auto" w:fill="auto"/>
            <w:noWrap/>
            <w:vAlign w:val="center"/>
          </w:tcPr>
          <w:p w14:paraId="66E884CD" w14:textId="0C7BD5A3" w:rsidR="00790DD4" w:rsidRPr="000D67C6" w:rsidRDefault="00693900"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w:t>
            </w:r>
            <w:r w:rsidR="00E257FD" w:rsidRPr="000D67C6">
              <w:rPr>
                <w:rFonts w:ascii="Arial" w:eastAsia="Times New Roman" w:hAnsi="Arial" w:cs="Arial"/>
                <w:sz w:val="18"/>
                <w:szCs w:val="18"/>
                <w:lang w:val="en-GB" w:eastAsia="en-GB"/>
              </w:rPr>
              <w:t>329</w:t>
            </w:r>
            <w:r w:rsidRPr="000D67C6">
              <w:rPr>
                <w:rFonts w:ascii="Arial" w:eastAsia="Times New Roman" w:hAnsi="Arial" w:cs="Arial"/>
                <w:sz w:val="18"/>
                <w:szCs w:val="18"/>
                <w:lang w:val="en-GB" w:eastAsia="en-GB"/>
              </w:rPr>
              <w:t>)</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13B94EE" w14:textId="0B57ED3C" w:rsidR="00790DD4" w:rsidRPr="000D67C6" w:rsidRDefault="00E257FD"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329</w:t>
            </w:r>
          </w:p>
        </w:tc>
      </w:tr>
      <w:tr w:rsidR="00790DD4" w:rsidRPr="000D67C6" w14:paraId="7226F1BB"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087F32AB"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(25,921)</w:t>
            </w:r>
          </w:p>
        </w:tc>
        <w:tc>
          <w:tcPr>
            <w:tcW w:w="990" w:type="dxa"/>
            <w:tcBorders>
              <w:top w:val="nil"/>
              <w:left w:val="nil"/>
              <w:bottom w:val="nil"/>
              <w:right w:val="nil"/>
            </w:tcBorders>
            <w:shd w:val="clear" w:color="auto" w:fill="auto"/>
            <w:noWrap/>
            <w:vAlign w:val="center"/>
            <w:hideMark/>
          </w:tcPr>
          <w:p w14:paraId="12C77A9A"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09B72D6E"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(25,921)</w:t>
            </w:r>
          </w:p>
        </w:tc>
        <w:tc>
          <w:tcPr>
            <w:tcW w:w="1027" w:type="dxa"/>
            <w:tcBorders>
              <w:top w:val="nil"/>
              <w:left w:val="nil"/>
              <w:bottom w:val="nil"/>
              <w:right w:val="single" w:sz="4" w:space="0" w:color="auto"/>
            </w:tcBorders>
            <w:shd w:val="clear" w:color="auto" w:fill="auto"/>
            <w:noWrap/>
            <w:vAlign w:val="center"/>
            <w:hideMark/>
          </w:tcPr>
          <w:p w14:paraId="53569360"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25,921</w:t>
            </w:r>
          </w:p>
        </w:tc>
        <w:tc>
          <w:tcPr>
            <w:tcW w:w="2103" w:type="dxa"/>
            <w:tcBorders>
              <w:top w:val="nil"/>
              <w:left w:val="single" w:sz="4" w:space="0" w:color="auto"/>
              <w:bottom w:val="nil"/>
              <w:right w:val="single" w:sz="4" w:space="0" w:color="auto"/>
            </w:tcBorders>
            <w:shd w:val="clear" w:color="auto" w:fill="auto"/>
            <w:vAlign w:val="center"/>
            <w:hideMark/>
          </w:tcPr>
          <w:p w14:paraId="3B60AF7A"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Reversal of retirements benefits in CIES</w:t>
            </w:r>
          </w:p>
        </w:tc>
        <w:tc>
          <w:tcPr>
            <w:tcW w:w="1147" w:type="dxa"/>
            <w:tcBorders>
              <w:top w:val="nil"/>
              <w:left w:val="single" w:sz="4" w:space="0" w:color="auto"/>
              <w:bottom w:val="nil"/>
              <w:right w:val="nil"/>
            </w:tcBorders>
            <w:shd w:val="clear" w:color="auto" w:fill="auto"/>
            <w:noWrap/>
            <w:vAlign w:val="center"/>
          </w:tcPr>
          <w:p w14:paraId="0738C0DA" w14:textId="5DC1EBF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w:t>
            </w:r>
            <w:r w:rsidR="00B93F0E">
              <w:rPr>
                <w:rFonts w:ascii="Arial" w:eastAsia="Times New Roman" w:hAnsi="Arial" w:cs="Arial"/>
                <w:sz w:val="18"/>
                <w:szCs w:val="18"/>
                <w:lang w:val="en-GB" w:eastAsia="en-GB"/>
              </w:rPr>
              <w:t>51</w:t>
            </w:r>
            <w:r w:rsidR="000A2D9D" w:rsidRPr="000D67C6">
              <w:rPr>
                <w:rFonts w:ascii="Arial" w:eastAsia="Times New Roman" w:hAnsi="Arial" w:cs="Arial"/>
                <w:sz w:val="18"/>
                <w:szCs w:val="18"/>
                <w:lang w:val="en-GB" w:eastAsia="en-GB"/>
              </w:rPr>
              <w:t>,</w:t>
            </w:r>
            <w:r w:rsidR="00B93F0E">
              <w:rPr>
                <w:rFonts w:ascii="Arial" w:eastAsia="Times New Roman" w:hAnsi="Arial" w:cs="Arial"/>
                <w:sz w:val="18"/>
                <w:szCs w:val="18"/>
                <w:lang w:val="en-GB" w:eastAsia="en-GB"/>
              </w:rPr>
              <w:t>6</w:t>
            </w:r>
            <w:r w:rsidR="000A2D9D" w:rsidRPr="000D67C6">
              <w:rPr>
                <w:rFonts w:ascii="Arial" w:eastAsia="Times New Roman" w:hAnsi="Arial" w:cs="Arial"/>
                <w:sz w:val="18"/>
                <w:szCs w:val="18"/>
                <w:lang w:val="en-GB" w:eastAsia="en-GB"/>
              </w:rPr>
              <w:t>59</w:t>
            </w:r>
            <w:r w:rsidRPr="000D67C6">
              <w:rPr>
                <w:rFonts w:ascii="Arial" w:eastAsia="Times New Roman" w:hAnsi="Arial" w:cs="Arial"/>
                <w:sz w:val="18"/>
                <w:szCs w:val="18"/>
                <w:lang w:val="en-GB" w:eastAsia="en-GB"/>
              </w:rPr>
              <w:t>)</w:t>
            </w:r>
          </w:p>
        </w:tc>
        <w:tc>
          <w:tcPr>
            <w:tcW w:w="1050" w:type="dxa"/>
            <w:tcBorders>
              <w:top w:val="nil"/>
              <w:left w:val="nil"/>
              <w:bottom w:val="nil"/>
              <w:right w:val="nil"/>
            </w:tcBorders>
            <w:shd w:val="clear" w:color="auto" w:fill="auto"/>
            <w:noWrap/>
            <w:vAlign w:val="center"/>
          </w:tcPr>
          <w:p w14:paraId="274B2365" w14:textId="7777777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08999603" w14:textId="36AD912D" w:rsidR="00790DD4" w:rsidRPr="000D67C6" w:rsidRDefault="00B4777A"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w:t>
            </w:r>
            <w:r w:rsidR="000D50E3">
              <w:rPr>
                <w:rFonts w:ascii="Arial" w:eastAsia="Times New Roman" w:hAnsi="Arial" w:cs="Arial"/>
                <w:b/>
                <w:bCs/>
                <w:sz w:val="18"/>
                <w:szCs w:val="18"/>
                <w:lang w:val="en-GB" w:eastAsia="en-GB"/>
              </w:rPr>
              <w:t>51</w:t>
            </w:r>
            <w:r w:rsidRPr="000D67C6">
              <w:rPr>
                <w:rFonts w:ascii="Arial" w:eastAsia="Times New Roman" w:hAnsi="Arial" w:cs="Arial"/>
                <w:b/>
                <w:bCs/>
                <w:sz w:val="18"/>
                <w:szCs w:val="18"/>
                <w:lang w:val="en-GB" w:eastAsia="en-GB"/>
              </w:rPr>
              <w:t>,</w:t>
            </w:r>
            <w:r w:rsidR="000D50E3">
              <w:rPr>
                <w:rFonts w:ascii="Arial" w:eastAsia="Times New Roman" w:hAnsi="Arial" w:cs="Arial"/>
                <w:b/>
                <w:bCs/>
                <w:sz w:val="18"/>
                <w:szCs w:val="18"/>
                <w:lang w:val="en-GB" w:eastAsia="en-GB"/>
              </w:rPr>
              <w:t>6</w:t>
            </w:r>
            <w:r w:rsidR="000A2D9D" w:rsidRPr="000D67C6">
              <w:rPr>
                <w:rFonts w:ascii="Arial" w:eastAsia="Times New Roman" w:hAnsi="Arial" w:cs="Arial"/>
                <w:b/>
                <w:bCs/>
                <w:sz w:val="18"/>
                <w:szCs w:val="18"/>
                <w:lang w:val="en-GB" w:eastAsia="en-GB"/>
              </w:rPr>
              <w:t>59)</w:t>
            </w:r>
          </w:p>
        </w:tc>
        <w:tc>
          <w:tcPr>
            <w:tcW w:w="1027" w:type="dxa"/>
            <w:tcBorders>
              <w:top w:val="nil"/>
              <w:left w:val="nil"/>
              <w:bottom w:val="nil"/>
              <w:right w:val="single" w:sz="4" w:space="0" w:color="auto"/>
            </w:tcBorders>
            <w:shd w:val="clear" w:color="auto" w:fill="auto"/>
            <w:noWrap/>
            <w:vAlign w:val="center"/>
          </w:tcPr>
          <w:p w14:paraId="071CAD09" w14:textId="3E69B494" w:rsidR="00790DD4" w:rsidRPr="000D67C6" w:rsidRDefault="0041015B" w:rsidP="00790DD4">
            <w:pPr>
              <w:jc w:val="right"/>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51</w:t>
            </w:r>
            <w:r w:rsidR="000A2D9D" w:rsidRPr="000D67C6">
              <w:rPr>
                <w:rFonts w:ascii="Arial" w:eastAsia="Times New Roman" w:hAnsi="Arial" w:cs="Arial"/>
                <w:b/>
                <w:bCs/>
                <w:sz w:val="18"/>
                <w:szCs w:val="18"/>
                <w:lang w:val="en-GB" w:eastAsia="en-GB"/>
              </w:rPr>
              <w:t>,</w:t>
            </w:r>
            <w:r>
              <w:rPr>
                <w:rFonts w:ascii="Arial" w:eastAsia="Times New Roman" w:hAnsi="Arial" w:cs="Arial"/>
                <w:b/>
                <w:bCs/>
                <w:sz w:val="18"/>
                <w:szCs w:val="18"/>
                <w:lang w:val="en-GB" w:eastAsia="en-GB"/>
              </w:rPr>
              <w:t>6</w:t>
            </w:r>
            <w:r w:rsidR="000A2D9D" w:rsidRPr="000D67C6">
              <w:rPr>
                <w:rFonts w:ascii="Arial" w:eastAsia="Times New Roman" w:hAnsi="Arial" w:cs="Arial"/>
                <w:b/>
                <w:bCs/>
                <w:sz w:val="18"/>
                <w:szCs w:val="18"/>
                <w:lang w:val="en-GB" w:eastAsia="en-GB"/>
              </w:rPr>
              <w:t>59</w:t>
            </w:r>
          </w:p>
        </w:tc>
      </w:tr>
      <w:tr w:rsidR="00790DD4" w:rsidRPr="000D67C6" w14:paraId="1A72138A" w14:textId="77777777" w:rsidTr="00630A83">
        <w:trPr>
          <w:trHeight w:val="864"/>
        </w:trPr>
        <w:tc>
          <w:tcPr>
            <w:tcW w:w="1147" w:type="dxa"/>
            <w:tcBorders>
              <w:top w:val="nil"/>
              <w:left w:val="single" w:sz="4" w:space="0" w:color="auto"/>
              <w:bottom w:val="nil"/>
              <w:right w:val="nil"/>
            </w:tcBorders>
            <w:shd w:val="clear" w:color="auto" w:fill="auto"/>
            <w:noWrap/>
            <w:vAlign w:val="center"/>
            <w:hideMark/>
          </w:tcPr>
          <w:p w14:paraId="5B148D5D"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15,004</w:t>
            </w:r>
          </w:p>
        </w:tc>
        <w:tc>
          <w:tcPr>
            <w:tcW w:w="990" w:type="dxa"/>
            <w:tcBorders>
              <w:top w:val="nil"/>
              <w:left w:val="nil"/>
              <w:bottom w:val="nil"/>
              <w:right w:val="nil"/>
            </w:tcBorders>
            <w:shd w:val="clear" w:color="auto" w:fill="auto"/>
            <w:noWrap/>
            <w:vAlign w:val="center"/>
            <w:hideMark/>
          </w:tcPr>
          <w:p w14:paraId="3E80217F"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5491D083"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15,004</w:t>
            </w:r>
          </w:p>
        </w:tc>
        <w:tc>
          <w:tcPr>
            <w:tcW w:w="1027" w:type="dxa"/>
            <w:tcBorders>
              <w:top w:val="nil"/>
              <w:left w:val="nil"/>
              <w:bottom w:val="nil"/>
              <w:right w:val="single" w:sz="4" w:space="0" w:color="auto"/>
            </w:tcBorders>
            <w:shd w:val="clear" w:color="auto" w:fill="auto"/>
            <w:noWrap/>
            <w:vAlign w:val="center"/>
            <w:hideMark/>
          </w:tcPr>
          <w:p w14:paraId="78F92773"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(15,004)</w:t>
            </w:r>
          </w:p>
        </w:tc>
        <w:tc>
          <w:tcPr>
            <w:tcW w:w="2103" w:type="dxa"/>
            <w:tcBorders>
              <w:top w:val="nil"/>
              <w:left w:val="single" w:sz="4" w:space="0" w:color="auto"/>
              <w:bottom w:val="nil"/>
              <w:right w:val="single" w:sz="4" w:space="0" w:color="auto"/>
            </w:tcBorders>
            <w:shd w:val="clear" w:color="auto" w:fill="auto"/>
            <w:vAlign w:val="center"/>
            <w:hideMark/>
          </w:tcPr>
          <w:p w14:paraId="096B5C45"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Employer's Pension Contributions &amp; payments to pensioners</w:t>
            </w:r>
          </w:p>
        </w:tc>
        <w:tc>
          <w:tcPr>
            <w:tcW w:w="1147" w:type="dxa"/>
            <w:tcBorders>
              <w:top w:val="nil"/>
              <w:left w:val="single" w:sz="4" w:space="0" w:color="auto"/>
              <w:bottom w:val="nil"/>
              <w:right w:val="nil"/>
            </w:tcBorders>
            <w:shd w:val="clear" w:color="auto" w:fill="auto"/>
            <w:noWrap/>
            <w:vAlign w:val="center"/>
          </w:tcPr>
          <w:p w14:paraId="76BF6F59" w14:textId="7777777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14,399</w:t>
            </w:r>
          </w:p>
        </w:tc>
        <w:tc>
          <w:tcPr>
            <w:tcW w:w="1050" w:type="dxa"/>
            <w:tcBorders>
              <w:top w:val="nil"/>
              <w:left w:val="nil"/>
              <w:bottom w:val="nil"/>
              <w:right w:val="nil"/>
            </w:tcBorders>
            <w:shd w:val="clear" w:color="auto" w:fill="auto"/>
            <w:noWrap/>
            <w:vAlign w:val="center"/>
          </w:tcPr>
          <w:p w14:paraId="291F9096" w14:textId="7777777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3AFA89A8" w14:textId="77777777" w:rsidR="00790DD4" w:rsidRPr="000D67C6" w:rsidRDefault="00B4777A"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14,399</w:t>
            </w:r>
          </w:p>
        </w:tc>
        <w:tc>
          <w:tcPr>
            <w:tcW w:w="1027" w:type="dxa"/>
            <w:tcBorders>
              <w:top w:val="nil"/>
              <w:left w:val="nil"/>
              <w:bottom w:val="nil"/>
              <w:right w:val="single" w:sz="4" w:space="0" w:color="auto"/>
            </w:tcBorders>
            <w:shd w:val="clear" w:color="auto" w:fill="auto"/>
            <w:noWrap/>
            <w:vAlign w:val="center"/>
          </w:tcPr>
          <w:p w14:paraId="387FD097" w14:textId="77777777" w:rsidR="00790DD4" w:rsidRPr="000D67C6" w:rsidRDefault="00B4777A"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(14,399)</w:t>
            </w:r>
          </w:p>
        </w:tc>
      </w:tr>
      <w:tr w:rsidR="00790DD4" w:rsidRPr="000D67C6" w14:paraId="2237FAC6" w14:textId="77777777" w:rsidTr="00630A83">
        <w:trPr>
          <w:trHeight w:val="530"/>
        </w:trPr>
        <w:tc>
          <w:tcPr>
            <w:tcW w:w="1147" w:type="dxa"/>
            <w:tcBorders>
              <w:top w:val="single" w:sz="4" w:space="0" w:color="auto"/>
              <w:left w:val="single" w:sz="4" w:space="0" w:color="auto"/>
              <w:bottom w:val="single" w:sz="4" w:space="0" w:color="auto"/>
              <w:right w:val="nil"/>
            </w:tcBorders>
            <w:shd w:val="clear" w:color="auto" w:fill="auto"/>
            <w:noWrap/>
            <w:vAlign w:val="center"/>
            <w:hideMark/>
          </w:tcPr>
          <w:p w14:paraId="25645114"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(10,917)</w:t>
            </w:r>
          </w:p>
        </w:tc>
        <w:tc>
          <w:tcPr>
            <w:tcW w:w="990" w:type="dxa"/>
            <w:tcBorders>
              <w:top w:val="single" w:sz="4" w:space="0" w:color="auto"/>
              <w:left w:val="nil"/>
              <w:bottom w:val="single" w:sz="4" w:space="0" w:color="auto"/>
              <w:right w:val="nil"/>
            </w:tcBorders>
            <w:shd w:val="clear" w:color="auto" w:fill="auto"/>
            <w:noWrap/>
            <w:vAlign w:val="center"/>
            <w:hideMark/>
          </w:tcPr>
          <w:p w14:paraId="14872BBC"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single" w:sz="4" w:space="0" w:color="auto"/>
              <w:left w:val="nil"/>
              <w:bottom w:val="single" w:sz="4" w:space="0" w:color="auto"/>
              <w:right w:val="nil"/>
            </w:tcBorders>
            <w:shd w:val="clear" w:color="auto" w:fill="auto"/>
            <w:noWrap/>
            <w:vAlign w:val="center"/>
            <w:hideMark/>
          </w:tcPr>
          <w:p w14:paraId="20A57901"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(10,917)</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71FED90" w14:textId="77777777" w:rsidR="00790DD4" w:rsidRPr="000D67C6" w:rsidRDefault="00790DD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10,917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6AC0" w14:textId="77777777" w:rsidR="00790DD4" w:rsidRPr="000D67C6" w:rsidRDefault="00790DD4" w:rsidP="00790DD4">
            <w:pPr>
              <w:spacing w:line="360" w:lineRule="auto"/>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 </w:t>
            </w:r>
          </w:p>
        </w:tc>
        <w:tc>
          <w:tcPr>
            <w:tcW w:w="1147" w:type="dxa"/>
            <w:tcBorders>
              <w:top w:val="single" w:sz="4" w:space="0" w:color="auto"/>
              <w:left w:val="single" w:sz="4" w:space="0" w:color="auto"/>
              <w:bottom w:val="single" w:sz="4" w:space="0" w:color="auto"/>
              <w:right w:val="nil"/>
            </w:tcBorders>
            <w:shd w:val="clear" w:color="auto" w:fill="auto"/>
            <w:noWrap/>
            <w:vAlign w:val="center"/>
          </w:tcPr>
          <w:p w14:paraId="0BB145DC" w14:textId="20C7197B" w:rsidR="00790DD4" w:rsidRPr="000D67C6" w:rsidRDefault="00B4777A"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w:t>
            </w:r>
            <w:r w:rsidR="00676B2C">
              <w:rPr>
                <w:rFonts w:ascii="Arial" w:eastAsia="Times New Roman" w:hAnsi="Arial" w:cs="Arial"/>
                <w:sz w:val="18"/>
                <w:szCs w:val="18"/>
                <w:lang w:val="en-GB" w:eastAsia="en-GB"/>
              </w:rPr>
              <w:t>37</w:t>
            </w:r>
            <w:r w:rsidR="00584154" w:rsidRPr="000D67C6">
              <w:rPr>
                <w:rFonts w:ascii="Arial" w:eastAsia="Times New Roman" w:hAnsi="Arial" w:cs="Arial"/>
                <w:sz w:val="18"/>
                <w:szCs w:val="18"/>
                <w:lang w:val="en-GB" w:eastAsia="en-GB"/>
              </w:rPr>
              <w:t>,</w:t>
            </w:r>
            <w:r w:rsidR="00CD1FC8">
              <w:rPr>
                <w:rFonts w:ascii="Arial" w:eastAsia="Times New Roman" w:hAnsi="Arial" w:cs="Arial"/>
                <w:sz w:val="18"/>
                <w:szCs w:val="18"/>
                <w:lang w:val="en-GB" w:eastAsia="en-GB"/>
              </w:rPr>
              <w:t>2</w:t>
            </w:r>
            <w:r w:rsidR="00584154" w:rsidRPr="000D67C6">
              <w:rPr>
                <w:rFonts w:ascii="Arial" w:eastAsia="Times New Roman" w:hAnsi="Arial" w:cs="Arial"/>
                <w:sz w:val="18"/>
                <w:szCs w:val="18"/>
                <w:lang w:val="en-GB" w:eastAsia="en-GB"/>
              </w:rPr>
              <w:t>60</w:t>
            </w:r>
            <w:r w:rsidRPr="000D67C6">
              <w:rPr>
                <w:rFonts w:ascii="Arial" w:eastAsia="Times New Roman" w:hAnsi="Arial" w:cs="Arial"/>
                <w:sz w:val="18"/>
                <w:szCs w:val="18"/>
                <w:lang w:val="en-GB" w:eastAsia="en-GB"/>
              </w:rPr>
              <w:t>)</w:t>
            </w:r>
          </w:p>
        </w:tc>
        <w:tc>
          <w:tcPr>
            <w:tcW w:w="1050" w:type="dxa"/>
            <w:tcBorders>
              <w:top w:val="single" w:sz="4" w:space="0" w:color="auto"/>
              <w:left w:val="nil"/>
              <w:bottom w:val="single" w:sz="4" w:space="0" w:color="auto"/>
              <w:right w:val="nil"/>
            </w:tcBorders>
            <w:shd w:val="clear" w:color="auto" w:fill="auto"/>
            <w:noWrap/>
            <w:vAlign w:val="center"/>
          </w:tcPr>
          <w:p w14:paraId="2AD1B103" w14:textId="77777777" w:rsidR="00790DD4" w:rsidRPr="000D67C6" w:rsidRDefault="00B4777A"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single" w:sz="4" w:space="0" w:color="auto"/>
              <w:left w:val="nil"/>
              <w:bottom w:val="single" w:sz="4" w:space="0" w:color="auto"/>
              <w:right w:val="nil"/>
            </w:tcBorders>
            <w:shd w:val="clear" w:color="auto" w:fill="auto"/>
            <w:noWrap/>
            <w:vAlign w:val="center"/>
          </w:tcPr>
          <w:p w14:paraId="49807A62" w14:textId="339AE0E4" w:rsidR="00790DD4" w:rsidRPr="000D67C6" w:rsidRDefault="00B4777A"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w:t>
            </w:r>
            <w:r w:rsidR="00584154" w:rsidRPr="000D67C6">
              <w:rPr>
                <w:rFonts w:ascii="Arial" w:eastAsia="Times New Roman" w:hAnsi="Arial" w:cs="Arial"/>
                <w:sz w:val="18"/>
                <w:szCs w:val="18"/>
                <w:lang w:val="en-GB" w:eastAsia="en-GB"/>
              </w:rPr>
              <w:t>3</w:t>
            </w:r>
            <w:r w:rsidR="00F76B33">
              <w:rPr>
                <w:rFonts w:ascii="Arial" w:eastAsia="Times New Roman" w:hAnsi="Arial" w:cs="Arial"/>
                <w:sz w:val="18"/>
                <w:szCs w:val="18"/>
                <w:lang w:val="en-GB" w:eastAsia="en-GB"/>
              </w:rPr>
              <w:t>7</w:t>
            </w:r>
            <w:r w:rsidR="00584154" w:rsidRPr="000D67C6">
              <w:rPr>
                <w:rFonts w:ascii="Arial" w:eastAsia="Times New Roman" w:hAnsi="Arial" w:cs="Arial"/>
                <w:sz w:val="18"/>
                <w:szCs w:val="18"/>
                <w:lang w:val="en-GB" w:eastAsia="en-GB"/>
              </w:rPr>
              <w:t>,</w:t>
            </w:r>
            <w:r w:rsidR="00F76B33">
              <w:rPr>
                <w:rFonts w:ascii="Arial" w:eastAsia="Times New Roman" w:hAnsi="Arial" w:cs="Arial"/>
                <w:sz w:val="18"/>
                <w:szCs w:val="18"/>
                <w:lang w:val="en-GB" w:eastAsia="en-GB"/>
              </w:rPr>
              <w:t>2</w:t>
            </w:r>
            <w:r w:rsidR="00584154" w:rsidRPr="000D67C6">
              <w:rPr>
                <w:rFonts w:ascii="Arial" w:eastAsia="Times New Roman" w:hAnsi="Arial" w:cs="Arial"/>
                <w:sz w:val="18"/>
                <w:szCs w:val="18"/>
                <w:lang w:val="en-GB" w:eastAsia="en-GB"/>
              </w:rPr>
              <w:t>60</w:t>
            </w:r>
            <w:r w:rsidRPr="000D67C6">
              <w:rPr>
                <w:rFonts w:ascii="Arial" w:eastAsia="Times New Roman" w:hAnsi="Arial" w:cs="Arial"/>
                <w:sz w:val="18"/>
                <w:szCs w:val="18"/>
                <w:lang w:val="en-GB" w:eastAsia="en-GB"/>
              </w:rPr>
              <w:t>)</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0E3E794" w14:textId="10A63F17" w:rsidR="00790DD4" w:rsidRPr="000D67C6" w:rsidRDefault="00584154" w:rsidP="00790DD4">
            <w:pPr>
              <w:spacing w:line="360" w:lineRule="auto"/>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3</w:t>
            </w:r>
            <w:r w:rsidR="0057650D">
              <w:rPr>
                <w:rFonts w:ascii="Arial" w:eastAsia="Times New Roman" w:hAnsi="Arial" w:cs="Arial"/>
                <w:sz w:val="18"/>
                <w:szCs w:val="18"/>
                <w:lang w:val="en-GB" w:eastAsia="en-GB"/>
              </w:rPr>
              <w:t>7</w:t>
            </w:r>
            <w:r w:rsidRPr="000D67C6">
              <w:rPr>
                <w:rFonts w:ascii="Arial" w:eastAsia="Times New Roman" w:hAnsi="Arial" w:cs="Arial"/>
                <w:sz w:val="18"/>
                <w:szCs w:val="18"/>
                <w:lang w:val="en-GB" w:eastAsia="en-GB"/>
              </w:rPr>
              <w:t>,</w:t>
            </w:r>
            <w:r w:rsidR="0057650D">
              <w:rPr>
                <w:rFonts w:ascii="Arial" w:eastAsia="Times New Roman" w:hAnsi="Arial" w:cs="Arial"/>
                <w:sz w:val="18"/>
                <w:szCs w:val="18"/>
                <w:lang w:val="en-GB" w:eastAsia="en-GB"/>
              </w:rPr>
              <w:t>2</w:t>
            </w:r>
            <w:r w:rsidRPr="000D67C6">
              <w:rPr>
                <w:rFonts w:ascii="Arial" w:eastAsia="Times New Roman" w:hAnsi="Arial" w:cs="Arial"/>
                <w:sz w:val="18"/>
                <w:szCs w:val="18"/>
                <w:lang w:val="en-GB" w:eastAsia="en-GB"/>
              </w:rPr>
              <w:t>60</w:t>
            </w:r>
          </w:p>
        </w:tc>
      </w:tr>
      <w:tr w:rsidR="00790DD4" w:rsidRPr="000D67C6" w14:paraId="05D8933D" w14:textId="77777777" w:rsidTr="00630A83">
        <w:trPr>
          <w:trHeight w:val="576"/>
        </w:trPr>
        <w:tc>
          <w:tcPr>
            <w:tcW w:w="1147" w:type="dxa"/>
            <w:tcBorders>
              <w:top w:val="nil"/>
              <w:left w:val="single" w:sz="4" w:space="0" w:color="auto"/>
              <w:bottom w:val="nil"/>
              <w:right w:val="nil"/>
            </w:tcBorders>
            <w:shd w:val="clear" w:color="auto" w:fill="auto"/>
            <w:noWrap/>
            <w:vAlign w:val="center"/>
            <w:hideMark/>
          </w:tcPr>
          <w:p w14:paraId="589C47E2"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(31)</w:t>
            </w:r>
          </w:p>
        </w:tc>
        <w:tc>
          <w:tcPr>
            <w:tcW w:w="990" w:type="dxa"/>
            <w:tcBorders>
              <w:top w:val="nil"/>
              <w:left w:val="nil"/>
              <w:bottom w:val="nil"/>
              <w:right w:val="nil"/>
            </w:tcBorders>
            <w:shd w:val="clear" w:color="auto" w:fill="auto"/>
            <w:noWrap/>
            <w:vAlign w:val="center"/>
            <w:hideMark/>
          </w:tcPr>
          <w:p w14:paraId="7E7E8DA7" w14:textId="77777777" w:rsidR="00790DD4" w:rsidRPr="000D67C6" w:rsidRDefault="00790DD4"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124" w:type="dxa"/>
            <w:tcBorders>
              <w:top w:val="nil"/>
              <w:left w:val="nil"/>
              <w:bottom w:val="nil"/>
              <w:right w:val="nil"/>
            </w:tcBorders>
            <w:shd w:val="clear" w:color="auto" w:fill="auto"/>
            <w:noWrap/>
            <w:vAlign w:val="center"/>
            <w:hideMark/>
          </w:tcPr>
          <w:p w14:paraId="580D36BA"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(31)</w:t>
            </w:r>
          </w:p>
        </w:tc>
        <w:tc>
          <w:tcPr>
            <w:tcW w:w="1027" w:type="dxa"/>
            <w:tcBorders>
              <w:top w:val="nil"/>
              <w:left w:val="nil"/>
              <w:bottom w:val="nil"/>
              <w:right w:val="single" w:sz="4" w:space="0" w:color="auto"/>
            </w:tcBorders>
            <w:shd w:val="clear" w:color="auto" w:fill="auto"/>
            <w:noWrap/>
            <w:vAlign w:val="center"/>
            <w:hideMark/>
          </w:tcPr>
          <w:p w14:paraId="0DF96F8A" w14:textId="77777777" w:rsidR="00790DD4" w:rsidRPr="000D67C6" w:rsidRDefault="00790DD4"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31</w:t>
            </w:r>
          </w:p>
        </w:tc>
        <w:tc>
          <w:tcPr>
            <w:tcW w:w="2103" w:type="dxa"/>
            <w:tcBorders>
              <w:top w:val="nil"/>
              <w:left w:val="single" w:sz="4" w:space="0" w:color="auto"/>
              <w:bottom w:val="nil"/>
              <w:right w:val="single" w:sz="4" w:space="0" w:color="auto"/>
            </w:tcBorders>
            <w:shd w:val="clear" w:color="auto" w:fill="auto"/>
            <w:vAlign w:val="center"/>
            <w:hideMark/>
          </w:tcPr>
          <w:p w14:paraId="3538BF2D" w14:textId="77777777" w:rsidR="00790DD4" w:rsidRPr="000D67C6" w:rsidRDefault="00790DD4" w:rsidP="00790DD4">
            <w:pPr>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Movement in Accumulated Absence accrual</w:t>
            </w:r>
          </w:p>
        </w:tc>
        <w:tc>
          <w:tcPr>
            <w:tcW w:w="1147" w:type="dxa"/>
            <w:tcBorders>
              <w:top w:val="nil"/>
              <w:left w:val="single" w:sz="4" w:space="0" w:color="auto"/>
              <w:bottom w:val="nil"/>
              <w:right w:val="nil"/>
            </w:tcBorders>
            <w:shd w:val="clear" w:color="auto" w:fill="auto"/>
            <w:noWrap/>
            <w:vAlign w:val="center"/>
          </w:tcPr>
          <w:p w14:paraId="5D0AE41B" w14:textId="7777777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(4)</w:t>
            </w:r>
          </w:p>
        </w:tc>
        <w:tc>
          <w:tcPr>
            <w:tcW w:w="1050" w:type="dxa"/>
            <w:tcBorders>
              <w:top w:val="nil"/>
              <w:left w:val="nil"/>
              <w:bottom w:val="nil"/>
              <w:right w:val="nil"/>
            </w:tcBorders>
            <w:shd w:val="clear" w:color="auto" w:fill="auto"/>
            <w:noWrap/>
            <w:vAlign w:val="center"/>
          </w:tcPr>
          <w:p w14:paraId="05DDD9F2" w14:textId="77777777" w:rsidR="00790DD4" w:rsidRPr="000D67C6" w:rsidRDefault="00B4777A" w:rsidP="00790DD4">
            <w:pPr>
              <w:jc w:val="right"/>
              <w:rPr>
                <w:rFonts w:ascii="Arial" w:eastAsia="Times New Roman" w:hAnsi="Arial" w:cs="Arial"/>
                <w:sz w:val="18"/>
                <w:szCs w:val="18"/>
                <w:lang w:val="en-GB" w:eastAsia="en-GB"/>
              </w:rPr>
            </w:pPr>
            <w:r w:rsidRPr="000D67C6">
              <w:rPr>
                <w:rFonts w:ascii="Arial" w:eastAsia="Times New Roman" w:hAnsi="Arial" w:cs="Arial"/>
                <w:sz w:val="18"/>
                <w:szCs w:val="18"/>
                <w:lang w:val="en-GB" w:eastAsia="en-GB"/>
              </w:rPr>
              <w:t>0</w:t>
            </w:r>
          </w:p>
        </w:tc>
        <w:tc>
          <w:tcPr>
            <w:tcW w:w="1017" w:type="dxa"/>
            <w:tcBorders>
              <w:top w:val="nil"/>
              <w:left w:val="nil"/>
              <w:bottom w:val="nil"/>
              <w:right w:val="nil"/>
            </w:tcBorders>
            <w:shd w:val="clear" w:color="auto" w:fill="auto"/>
            <w:noWrap/>
            <w:vAlign w:val="center"/>
          </w:tcPr>
          <w:p w14:paraId="2AFECF3D" w14:textId="77777777" w:rsidR="00790DD4" w:rsidRPr="000D67C6" w:rsidRDefault="00B4777A"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(4)</w:t>
            </w:r>
          </w:p>
        </w:tc>
        <w:tc>
          <w:tcPr>
            <w:tcW w:w="1027" w:type="dxa"/>
            <w:tcBorders>
              <w:top w:val="nil"/>
              <w:left w:val="nil"/>
              <w:bottom w:val="nil"/>
              <w:right w:val="single" w:sz="4" w:space="0" w:color="auto"/>
            </w:tcBorders>
            <w:shd w:val="clear" w:color="auto" w:fill="auto"/>
            <w:noWrap/>
            <w:vAlign w:val="center"/>
          </w:tcPr>
          <w:p w14:paraId="0C612517" w14:textId="77777777" w:rsidR="00790DD4" w:rsidRPr="000D67C6" w:rsidRDefault="00751E62" w:rsidP="00790DD4">
            <w:pPr>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4</w:t>
            </w:r>
          </w:p>
        </w:tc>
      </w:tr>
      <w:tr w:rsidR="00790DD4" w:rsidRPr="000D67C6" w14:paraId="517CA6E7" w14:textId="77777777" w:rsidTr="00630A83">
        <w:trPr>
          <w:trHeight w:val="864"/>
        </w:trPr>
        <w:tc>
          <w:tcPr>
            <w:tcW w:w="1147" w:type="dxa"/>
            <w:tcBorders>
              <w:top w:val="single" w:sz="4" w:space="0" w:color="auto"/>
              <w:left w:val="single" w:sz="4" w:space="0" w:color="auto"/>
              <w:bottom w:val="single" w:sz="4" w:space="0" w:color="auto"/>
              <w:right w:val="nil"/>
            </w:tcBorders>
            <w:shd w:val="clear" w:color="auto" w:fill="auto"/>
            <w:noWrap/>
            <w:vAlign w:val="center"/>
            <w:hideMark/>
          </w:tcPr>
          <w:p w14:paraId="60954142" w14:textId="77777777" w:rsidR="00790DD4" w:rsidRPr="000D67C6" w:rsidRDefault="00790DD4"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(10,353)</w:t>
            </w:r>
          </w:p>
        </w:tc>
        <w:tc>
          <w:tcPr>
            <w:tcW w:w="990" w:type="dxa"/>
            <w:tcBorders>
              <w:top w:val="single" w:sz="4" w:space="0" w:color="auto"/>
              <w:left w:val="nil"/>
              <w:bottom w:val="single" w:sz="4" w:space="0" w:color="auto"/>
              <w:right w:val="nil"/>
            </w:tcBorders>
            <w:shd w:val="clear" w:color="auto" w:fill="auto"/>
            <w:noWrap/>
            <w:vAlign w:val="center"/>
            <w:hideMark/>
          </w:tcPr>
          <w:p w14:paraId="58F5605C" w14:textId="77777777" w:rsidR="00790DD4" w:rsidRPr="000D67C6" w:rsidRDefault="00790DD4"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c>
          <w:tcPr>
            <w:tcW w:w="1124" w:type="dxa"/>
            <w:tcBorders>
              <w:top w:val="single" w:sz="4" w:space="0" w:color="auto"/>
              <w:left w:val="nil"/>
              <w:bottom w:val="single" w:sz="4" w:space="0" w:color="auto"/>
              <w:right w:val="nil"/>
            </w:tcBorders>
            <w:shd w:val="clear" w:color="auto" w:fill="auto"/>
            <w:noWrap/>
            <w:vAlign w:val="center"/>
            <w:hideMark/>
          </w:tcPr>
          <w:p w14:paraId="587E8C07" w14:textId="77777777" w:rsidR="00790DD4" w:rsidRPr="000D67C6" w:rsidRDefault="00790DD4"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(10,353)</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9CEC3E2" w14:textId="77777777" w:rsidR="00790DD4" w:rsidRPr="000D67C6" w:rsidRDefault="00790DD4"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10,353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78AF" w14:textId="77777777" w:rsidR="00790DD4" w:rsidRPr="000D67C6" w:rsidRDefault="00790DD4" w:rsidP="00790DD4">
            <w:pPr>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Adjustments between accounting basis &amp; funding basis under regulation</w:t>
            </w:r>
          </w:p>
        </w:tc>
        <w:tc>
          <w:tcPr>
            <w:tcW w:w="1147" w:type="dxa"/>
            <w:tcBorders>
              <w:top w:val="single" w:sz="4" w:space="0" w:color="auto"/>
              <w:left w:val="single" w:sz="4" w:space="0" w:color="auto"/>
              <w:bottom w:val="single" w:sz="4" w:space="0" w:color="auto"/>
              <w:right w:val="nil"/>
            </w:tcBorders>
            <w:shd w:val="clear" w:color="auto" w:fill="auto"/>
            <w:noWrap/>
            <w:vAlign w:val="center"/>
          </w:tcPr>
          <w:p w14:paraId="3D4BCBA2" w14:textId="314DA3B1" w:rsidR="00790DD4" w:rsidRPr="000D67C6" w:rsidRDefault="00B4777A"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w:t>
            </w:r>
            <w:r w:rsidR="00741F48" w:rsidRPr="000D67C6">
              <w:rPr>
                <w:rFonts w:ascii="Arial" w:eastAsia="Times New Roman" w:hAnsi="Arial" w:cs="Arial"/>
                <w:b/>
                <w:bCs/>
                <w:sz w:val="18"/>
                <w:szCs w:val="18"/>
                <w:lang w:val="en-GB" w:eastAsia="en-GB"/>
              </w:rPr>
              <w:t>3</w:t>
            </w:r>
            <w:r w:rsidR="00FC2D4E">
              <w:rPr>
                <w:rFonts w:ascii="Arial" w:eastAsia="Times New Roman" w:hAnsi="Arial" w:cs="Arial"/>
                <w:b/>
                <w:bCs/>
                <w:sz w:val="18"/>
                <w:szCs w:val="18"/>
                <w:lang w:val="en-GB" w:eastAsia="en-GB"/>
              </w:rPr>
              <w:t>7</w:t>
            </w:r>
            <w:r w:rsidR="00741F48" w:rsidRPr="000D67C6">
              <w:rPr>
                <w:rFonts w:ascii="Arial" w:eastAsia="Times New Roman" w:hAnsi="Arial" w:cs="Arial"/>
                <w:b/>
                <w:bCs/>
                <w:sz w:val="18"/>
                <w:szCs w:val="18"/>
                <w:lang w:val="en-GB" w:eastAsia="en-GB"/>
              </w:rPr>
              <w:t>,</w:t>
            </w:r>
            <w:r w:rsidR="00C77D1A">
              <w:rPr>
                <w:rFonts w:ascii="Arial" w:eastAsia="Times New Roman" w:hAnsi="Arial" w:cs="Arial"/>
                <w:b/>
                <w:bCs/>
                <w:sz w:val="18"/>
                <w:szCs w:val="18"/>
                <w:lang w:val="en-GB" w:eastAsia="en-GB"/>
              </w:rPr>
              <w:t>5</w:t>
            </w:r>
            <w:r w:rsidR="00741F48" w:rsidRPr="000D67C6">
              <w:rPr>
                <w:rFonts w:ascii="Arial" w:eastAsia="Times New Roman" w:hAnsi="Arial" w:cs="Arial"/>
                <w:b/>
                <w:bCs/>
                <w:sz w:val="18"/>
                <w:szCs w:val="18"/>
                <w:lang w:val="en-GB" w:eastAsia="en-GB"/>
              </w:rPr>
              <w:t>93</w:t>
            </w:r>
            <w:r w:rsidRPr="000D67C6">
              <w:rPr>
                <w:rFonts w:ascii="Arial" w:eastAsia="Times New Roman" w:hAnsi="Arial" w:cs="Arial"/>
                <w:b/>
                <w:bCs/>
                <w:sz w:val="18"/>
                <w:szCs w:val="18"/>
                <w:lang w:val="en-GB" w:eastAsia="en-GB"/>
              </w:rPr>
              <w:t>)</w:t>
            </w:r>
          </w:p>
        </w:tc>
        <w:tc>
          <w:tcPr>
            <w:tcW w:w="1050" w:type="dxa"/>
            <w:tcBorders>
              <w:top w:val="single" w:sz="4" w:space="0" w:color="auto"/>
              <w:left w:val="nil"/>
              <w:bottom w:val="single" w:sz="4" w:space="0" w:color="auto"/>
              <w:right w:val="nil"/>
            </w:tcBorders>
            <w:shd w:val="clear" w:color="auto" w:fill="auto"/>
            <w:noWrap/>
            <w:vAlign w:val="center"/>
          </w:tcPr>
          <w:p w14:paraId="1FCFDB92" w14:textId="77777777" w:rsidR="00790DD4" w:rsidRPr="000D67C6" w:rsidRDefault="00B4777A"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0</w:t>
            </w:r>
          </w:p>
        </w:tc>
        <w:tc>
          <w:tcPr>
            <w:tcW w:w="1017" w:type="dxa"/>
            <w:tcBorders>
              <w:top w:val="single" w:sz="4" w:space="0" w:color="auto"/>
              <w:left w:val="nil"/>
              <w:bottom w:val="single" w:sz="4" w:space="0" w:color="auto"/>
              <w:right w:val="nil"/>
            </w:tcBorders>
            <w:shd w:val="clear" w:color="auto" w:fill="auto"/>
            <w:noWrap/>
            <w:vAlign w:val="center"/>
          </w:tcPr>
          <w:p w14:paraId="04274217" w14:textId="5747362D" w:rsidR="00790DD4" w:rsidRPr="000D67C6" w:rsidRDefault="00B4777A"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w:t>
            </w:r>
            <w:r w:rsidR="00741F48" w:rsidRPr="000D67C6">
              <w:rPr>
                <w:rFonts w:ascii="Arial" w:eastAsia="Times New Roman" w:hAnsi="Arial" w:cs="Arial"/>
                <w:b/>
                <w:bCs/>
                <w:sz w:val="18"/>
                <w:szCs w:val="18"/>
                <w:lang w:val="en-GB" w:eastAsia="en-GB"/>
              </w:rPr>
              <w:t>3</w:t>
            </w:r>
            <w:r w:rsidR="00C77D1A">
              <w:rPr>
                <w:rFonts w:ascii="Arial" w:eastAsia="Times New Roman" w:hAnsi="Arial" w:cs="Arial"/>
                <w:b/>
                <w:bCs/>
                <w:sz w:val="18"/>
                <w:szCs w:val="18"/>
                <w:lang w:val="en-GB" w:eastAsia="en-GB"/>
              </w:rPr>
              <w:t>7</w:t>
            </w:r>
            <w:r w:rsidR="00741F48" w:rsidRPr="000D67C6">
              <w:rPr>
                <w:rFonts w:ascii="Arial" w:eastAsia="Times New Roman" w:hAnsi="Arial" w:cs="Arial"/>
                <w:b/>
                <w:bCs/>
                <w:sz w:val="18"/>
                <w:szCs w:val="18"/>
                <w:lang w:val="en-GB" w:eastAsia="en-GB"/>
              </w:rPr>
              <w:t>,</w:t>
            </w:r>
            <w:r w:rsidR="00C77D1A">
              <w:rPr>
                <w:rFonts w:ascii="Arial" w:eastAsia="Times New Roman" w:hAnsi="Arial" w:cs="Arial"/>
                <w:b/>
                <w:bCs/>
                <w:sz w:val="18"/>
                <w:szCs w:val="18"/>
                <w:lang w:val="en-GB" w:eastAsia="en-GB"/>
              </w:rPr>
              <w:t>5</w:t>
            </w:r>
            <w:r w:rsidR="00741F48" w:rsidRPr="000D67C6">
              <w:rPr>
                <w:rFonts w:ascii="Arial" w:eastAsia="Times New Roman" w:hAnsi="Arial" w:cs="Arial"/>
                <w:b/>
                <w:bCs/>
                <w:sz w:val="18"/>
                <w:szCs w:val="18"/>
                <w:lang w:val="en-GB" w:eastAsia="en-GB"/>
              </w:rPr>
              <w:t>93</w:t>
            </w:r>
            <w:r w:rsidRPr="000D67C6">
              <w:rPr>
                <w:rFonts w:ascii="Arial" w:eastAsia="Times New Roman" w:hAnsi="Arial" w:cs="Arial"/>
                <w:b/>
                <w:bCs/>
                <w:sz w:val="18"/>
                <w:szCs w:val="18"/>
                <w:lang w:val="en-GB" w:eastAsia="en-GB"/>
              </w:rPr>
              <w:t>)</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11F1BDB" w14:textId="1DAC129C" w:rsidR="00790DD4" w:rsidRPr="000D67C6" w:rsidRDefault="00741F48" w:rsidP="00790DD4">
            <w:pPr>
              <w:spacing w:line="480" w:lineRule="auto"/>
              <w:jc w:val="right"/>
              <w:rPr>
                <w:rFonts w:ascii="Arial" w:eastAsia="Times New Roman" w:hAnsi="Arial" w:cs="Arial"/>
                <w:b/>
                <w:bCs/>
                <w:sz w:val="18"/>
                <w:szCs w:val="18"/>
                <w:lang w:val="en-GB" w:eastAsia="en-GB"/>
              </w:rPr>
            </w:pPr>
            <w:r w:rsidRPr="000D67C6">
              <w:rPr>
                <w:rFonts w:ascii="Arial" w:eastAsia="Times New Roman" w:hAnsi="Arial" w:cs="Arial"/>
                <w:b/>
                <w:bCs/>
                <w:sz w:val="18"/>
                <w:szCs w:val="18"/>
                <w:lang w:val="en-GB" w:eastAsia="en-GB"/>
              </w:rPr>
              <w:t>3</w:t>
            </w:r>
            <w:r w:rsidR="002E584B">
              <w:rPr>
                <w:rFonts w:ascii="Arial" w:eastAsia="Times New Roman" w:hAnsi="Arial" w:cs="Arial"/>
                <w:b/>
                <w:bCs/>
                <w:sz w:val="18"/>
                <w:szCs w:val="18"/>
                <w:lang w:val="en-GB" w:eastAsia="en-GB"/>
              </w:rPr>
              <w:t>7</w:t>
            </w:r>
            <w:r w:rsidRPr="000D67C6">
              <w:rPr>
                <w:rFonts w:ascii="Arial" w:eastAsia="Times New Roman" w:hAnsi="Arial" w:cs="Arial"/>
                <w:b/>
                <w:bCs/>
                <w:sz w:val="18"/>
                <w:szCs w:val="18"/>
                <w:lang w:val="en-GB" w:eastAsia="en-GB"/>
              </w:rPr>
              <w:t>,</w:t>
            </w:r>
            <w:r w:rsidR="002E584B">
              <w:rPr>
                <w:rFonts w:ascii="Arial" w:eastAsia="Times New Roman" w:hAnsi="Arial" w:cs="Arial"/>
                <w:b/>
                <w:bCs/>
                <w:sz w:val="18"/>
                <w:szCs w:val="18"/>
                <w:lang w:val="en-GB" w:eastAsia="en-GB"/>
              </w:rPr>
              <w:t>5</w:t>
            </w:r>
            <w:r w:rsidRPr="000D67C6">
              <w:rPr>
                <w:rFonts w:ascii="Arial" w:eastAsia="Times New Roman" w:hAnsi="Arial" w:cs="Arial"/>
                <w:b/>
                <w:bCs/>
                <w:sz w:val="18"/>
                <w:szCs w:val="18"/>
                <w:lang w:val="en-GB" w:eastAsia="en-GB"/>
              </w:rPr>
              <w:t>93</w:t>
            </w:r>
          </w:p>
        </w:tc>
      </w:tr>
    </w:tbl>
    <w:p w14:paraId="30734F5C" w14:textId="77777777" w:rsidR="00991296" w:rsidRPr="000D67C6" w:rsidRDefault="00991296">
      <w:pPr>
        <w:rPr>
          <w:rFonts w:ascii="Arial" w:hAnsi="Arial" w:cs="Arial"/>
          <w:sz w:val="28"/>
          <w:lang w:val="pt-BR"/>
        </w:rPr>
        <w:sectPr w:rsidR="00991296" w:rsidRPr="000D67C6" w:rsidSect="00FB7274">
          <w:footerReference w:type="default" r:id="rId18"/>
          <w:pgSz w:w="11900" w:h="16840"/>
          <w:pgMar w:top="1135" w:right="1440" w:bottom="1276" w:left="1440" w:header="708" w:footer="708" w:gutter="0"/>
          <w:cols w:space="708"/>
          <w:docGrid w:linePitch="360"/>
        </w:sectPr>
      </w:pPr>
    </w:p>
    <w:p w14:paraId="52B84361" w14:textId="77777777" w:rsidR="008F013B" w:rsidRPr="000D67C6" w:rsidRDefault="00DC09B3" w:rsidP="00B54EA6">
      <w:pPr>
        <w:rPr>
          <w:rFonts w:ascii="Arial" w:hAnsi="Arial" w:cs="Arial"/>
          <w:b/>
          <w:sz w:val="28"/>
          <w:lang w:val="pt-BR"/>
        </w:rPr>
      </w:pPr>
      <w:r w:rsidRPr="000D67C6">
        <w:rPr>
          <w:rFonts w:ascii="Arial" w:hAnsi="Arial" w:cs="Arial"/>
          <w:b/>
          <w:sz w:val="28"/>
          <w:lang w:val="pt-BR"/>
        </w:rPr>
        <w:t>Note 9</w:t>
      </w:r>
      <w:r w:rsidR="008F013B" w:rsidRPr="000D67C6">
        <w:rPr>
          <w:rFonts w:ascii="Arial" w:hAnsi="Arial" w:cs="Arial"/>
          <w:b/>
          <w:sz w:val="28"/>
          <w:lang w:val="pt-BR"/>
        </w:rPr>
        <w:t xml:space="preserve"> </w:t>
      </w:r>
      <w:r w:rsidR="006F1CD5" w:rsidRPr="000D67C6">
        <w:rPr>
          <w:rFonts w:ascii="Arial" w:hAnsi="Arial" w:cs="Arial"/>
          <w:b/>
          <w:sz w:val="28"/>
          <w:lang w:val="pt-BR"/>
        </w:rPr>
        <w:t>–</w:t>
      </w:r>
      <w:r w:rsidR="008F013B" w:rsidRPr="000D67C6">
        <w:rPr>
          <w:rFonts w:ascii="Arial" w:hAnsi="Arial" w:cs="Arial"/>
          <w:b/>
          <w:sz w:val="28"/>
          <w:lang w:val="pt-BR"/>
        </w:rPr>
        <w:t xml:space="preserve"> </w:t>
      </w:r>
      <w:r w:rsidR="006F1CD5" w:rsidRPr="000D67C6">
        <w:rPr>
          <w:rFonts w:ascii="Arial" w:hAnsi="Arial" w:cs="Arial"/>
          <w:b/>
          <w:sz w:val="28"/>
          <w:lang w:val="pt-BR"/>
        </w:rPr>
        <w:t xml:space="preserve">Usable </w:t>
      </w:r>
      <w:r w:rsidR="008F013B" w:rsidRPr="000D67C6">
        <w:rPr>
          <w:rFonts w:ascii="Arial" w:hAnsi="Arial" w:cs="Arial"/>
          <w:b/>
          <w:sz w:val="28"/>
          <w:lang w:val="pt-BR"/>
        </w:rPr>
        <w:t xml:space="preserve"> Reserves</w:t>
      </w:r>
    </w:p>
    <w:p w14:paraId="01FDBA9B" w14:textId="77777777" w:rsidR="00687CBA" w:rsidRPr="000D67C6" w:rsidRDefault="00687CBA" w:rsidP="00B54EA6">
      <w:pPr>
        <w:rPr>
          <w:rFonts w:ascii="Arial" w:hAnsi="Arial" w:cs="Arial"/>
          <w:b/>
          <w:sz w:val="28"/>
          <w:lang w:val="pt-BR"/>
        </w:rPr>
      </w:pPr>
    </w:p>
    <w:p w14:paraId="7DEC8207" w14:textId="77777777" w:rsidR="008F013B" w:rsidRPr="000D67C6" w:rsidRDefault="008F013B" w:rsidP="00C97EE1">
      <w:pPr>
        <w:pStyle w:val="Normal0"/>
        <w:spacing w:line="259" w:lineRule="auto"/>
        <w:rPr>
          <w:rFonts w:ascii="Arial" w:eastAsia="Calibri" w:hAnsi="Arial" w:cs="Arial"/>
          <w:sz w:val="22"/>
          <w:szCs w:val="22"/>
          <w:lang w:val="pt-BR"/>
        </w:rPr>
      </w:pPr>
    </w:p>
    <w:tbl>
      <w:tblPr>
        <w:tblW w:w="13466" w:type="dxa"/>
        <w:jc w:val="center"/>
        <w:tblLayout w:type="fixed"/>
        <w:tblLook w:val="04A0" w:firstRow="1" w:lastRow="0" w:firstColumn="1" w:lastColumn="0" w:noHBand="0" w:noVBand="1"/>
      </w:tblPr>
      <w:tblGrid>
        <w:gridCol w:w="3261"/>
        <w:gridCol w:w="992"/>
        <w:gridCol w:w="993"/>
        <w:gridCol w:w="1134"/>
        <w:gridCol w:w="1134"/>
        <w:gridCol w:w="1134"/>
        <w:gridCol w:w="1134"/>
        <w:gridCol w:w="1134"/>
        <w:gridCol w:w="1275"/>
        <w:gridCol w:w="1275"/>
      </w:tblGrid>
      <w:tr w:rsidR="00790DD4" w:rsidRPr="000D67C6" w14:paraId="4CBCF802" w14:textId="77777777" w:rsidTr="00B0161A">
        <w:trPr>
          <w:trHeight w:val="281"/>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75454FD0" w14:textId="77777777" w:rsidR="00790DD4" w:rsidRPr="000D67C6" w:rsidRDefault="00790DD4" w:rsidP="009D437D">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7F13C67C"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Balance at 1 April</w:t>
            </w:r>
          </w:p>
          <w:p w14:paraId="34B280DA"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2017</w:t>
            </w:r>
          </w:p>
        </w:tc>
        <w:tc>
          <w:tcPr>
            <w:tcW w:w="993" w:type="dxa"/>
            <w:tcBorders>
              <w:top w:val="single" w:sz="4" w:space="0" w:color="auto"/>
              <w:bottom w:val="single" w:sz="4" w:space="0" w:color="auto"/>
            </w:tcBorders>
            <w:shd w:val="clear" w:color="auto" w:fill="auto"/>
            <w:tcMar>
              <w:top w:w="20" w:type="dxa"/>
              <w:left w:w="20" w:type="dxa"/>
              <w:bottom w:w="20" w:type="dxa"/>
              <w:right w:w="20" w:type="dxa"/>
            </w:tcMar>
          </w:tcPr>
          <w:p w14:paraId="3F060423"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Transfers In 2017/18</w:t>
            </w:r>
          </w:p>
        </w:tc>
        <w:tc>
          <w:tcPr>
            <w:tcW w:w="1134" w:type="dxa"/>
            <w:tcBorders>
              <w:top w:val="single" w:sz="4" w:space="0" w:color="auto"/>
              <w:bottom w:val="single" w:sz="4" w:space="0" w:color="auto"/>
            </w:tcBorders>
            <w:shd w:val="clear" w:color="auto" w:fill="auto"/>
            <w:tcMar>
              <w:top w:w="20" w:type="dxa"/>
              <w:left w:w="20" w:type="dxa"/>
              <w:bottom w:w="20" w:type="dxa"/>
              <w:right w:w="20" w:type="dxa"/>
            </w:tcMar>
          </w:tcPr>
          <w:p w14:paraId="64D97D7E"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Transfers Out 2017/18</w:t>
            </w:r>
          </w:p>
        </w:tc>
        <w:tc>
          <w:tcPr>
            <w:tcW w:w="1134" w:type="dxa"/>
            <w:tcBorders>
              <w:top w:val="single" w:sz="4" w:space="0" w:color="auto"/>
              <w:bottom w:val="single" w:sz="4" w:space="0" w:color="auto"/>
            </w:tcBorders>
          </w:tcPr>
          <w:p w14:paraId="06B02F42"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Appropr-iation to Capital</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0119A58"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Balance at 31 March 2018</w:t>
            </w:r>
          </w:p>
        </w:tc>
        <w:tc>
          <w:tcPr>
            <w:tcW w:w="1134" w:type="dxa"/>
            <w:tcBorders>
              <w:top w:val="single" w:sz="4" w:space="0" w:color="auto"/>
              <w:left w:val="single" w:sz="4" w:space="0" w:color="auto"/>
              <w:bottom w:val="single" w:sz="4" w:space="0" w:color="auto"/>
            </w:tcBorders>
          </w:tcPr>
          <w:p w14:paraId="2E5AF19E"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Transfers</w:t>
            </w:r>
          </w:p>
          <w:p w14:paraId="71F41775"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In</w:t>
            </w:r>
          </w:p>
          <w:p w14:paraId="3C34D446"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2018/19</w:t>
            </w:r>
          </w:p>
        </w:tc>
        <w:tc>
          <w:tcPr>
            <w:tcW w:w="1134" w:type="dxa"/>
            <w:tcBorders>
              <w:top w:val="single" w:sz="4" w:space="0" w:color="auto"/>
              <w:left w:val="nil"/>
              <w:bottom w:val="single" w:sz="4" w:space="0" w:color="auto"/>
            </w:tcBorders>
          </w:tcPr>
          <w:p w14:paraId="51C04324"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Transfers</w:t>
            </w:r>
          </w:p>
          <w:p w14:paraId="57DCA161"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Out</w:t>
            </w:r>
          </w:p>
          <w:p w14:paraId="4627F642" w14:textId="77777777" w:rsidR="00790DD4" w:rsidRPr="000D67C6" w:rsidRDefault="00790DD4" w:rsidP="009D437D">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2018/19</w:t>
            </w:r>
          </w:p>
        </w:tc>
        <w:tc>
          <w:tcPr>
            <w:tcW w:w="1275" w:type="dxa"/>
            <w:tcBorders>
              <w:top w:val="single" w:sz="4" w:space="0" w:color="auto"/>
              <w:bottom w:val="single" w:sz="4" w:space="0" w:color="auto"/>
              <w:right w:val="single" w:sz="4" w:space="0" w:color="auto"/>
            </w:tcBorders>
          </w:tcPr>
          <w:p w14:paraId="061F0AA9" w14:textId="77777777" w:rsidR="00790DD4" w:rsidRPr="000D67C6" w:rsidRDefault="00790DD4" w:rsidP="0030527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Appropr-iation to Capital</w:t>
            </w:r>
          </w:p>
        </w:tc>
        <w:tc>
          <w:tcPr>
            <w:tcW w:w="1275" w:type="dxa"/>
            <w:tcBorders>
              <w:top w:val="single" w:sz="4" w:space="0" w:color="auto"/>
              <w:left w:val="single" w:sz="4" w:space="0" w:color="auto"/>
              <w:bottom w:val="single" w:sz="4" w:space="0" w:color="auto"/>
              <w:right w:val="single" w:sz="4" w:space="0" w:color="auto"/>
            </w:tcBorders>
          </w:tcPr>
          <w:p w14:paraId="6FE8B036" w14:textId="77777777" w:rsidR="00790DD4" w:rsidRPr="000D67C6" w:rsidRDefault="00790DD4" w:rsidP="00B937D4">
            <w:pPr>
              <w:pStyle w:val="T1TableStyle"/>
              <w:rPr>
                <w:rFonts w:ascii="Arial" w:eastAsia="Verdana" w:hAnsi="Arial" w:cs="Arial"/>
                <w:b/>
                <w:sz w:val="20"/>
                <w:szCs w:val="20"/>
                <w:lang w:val="pt-BR"/>
              </w:rPr>
            </w:pPr>
            <w:r w:rsidRPr="000D67C6">
              <w:rPr>
                <w:rFonts w:ascii="Arial" w:eastAsia="Verdana" w:hAnsi="Arial" w:cs="Arial"/>
                <w:b/>
                <w:sz w:val="20"/>
                <w:szCs w:val="20"/>
                <w:lang w:val="pt-BR"/>
              </w:rPr>
              <w:t>Balance at 31 March 2019</w:t>
            </w:r>
          </w:p>
        </w:tc>
      </w:tr>
      <w:tr w:rsidR="00790DD4" w:rsidRPr="000D67C6" w14:paraId="27AFE7AB" w14:textId="77777777" w:rsidTr="00B0161A">
        <w:trPr>
          <w:trHeight w:val="118"/>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8835041" w14:textId="77777777" w:rsidR="00790DD4" w:rsidRPr="000D67C6" w:rsidRDefault="00790DD4" w:rsidP="008F013B">
            <w:pPr>
              <w:pStyle w:val="T1TableStyle"/>
              <w:jc w:val="center"/>
              <w:rPr>
                <w:rFonts w:ascii="Arial" w:eastAsia="Verdana" w:hAnsi="Arial" w:cs="Arial"/>
                <w:sz w:val="20"/>
                <w:szCs w:val="20"/>
                <w:lang w:val="pt-BR"/>
              </w:rPr>
            </w:pPr>
            <w:r w:rsidRPr="000D67C6">
              <w:rPr>
                <w:rFonts w:ascii="Arial" w:eastAsia="Verdana" w:hAnsi="Arial" w:cs="Arial"/>
                <w:sz w:val="20"/>
                <w:szCs w:val="20"/>
                <w:lang w:val="pt-B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0AA73D4"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993" w:type="dxa"/>
            <w:tcBorders>
              <w:top w:val="single" w:sz="4" w:space="0" w:color="auto"/>
              <w:bottom w:val="single" w:sz="4" w:space="0" w:color="auto"/>
            </w:tcBorders>
            <w:shd w:val="clear" w:color="auto" w:fill="auto"/>
            <w:tcMar>
              <w:top w:w="20" w:type="dxa"/>
              <w:left w:w="20" w:type="dxa"/>
              <w:bottom w:w="20" w:type="dxa"/>
              <w:right w:w="20" w:type="dxa"/>
            </w:tcMar>
          </w:tcPr>
          <w:p w14:paraId="162A57EC"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134" w:type="dxa"/>
            <w:tcBorders>
              <w:top w:val="single" w:sz="4" w:space="0" w:color="auto"/>
              <w:bottom w:val="single" w:sz="4" w:space="0" w:color="auto"/>
            </w:tcBorders>
            <w:shd w:val="clear" w:color="auto" w:fill="auto"/>
            <w:tcMar>
              <w:top w:w="20" w:type="dxa"/>
              <w:left w:w="20" w:type="dxa"/>
              <w:bottom w:w="20" w:type="dxa"/>
              <w:right w:w="20" w:type="dxa"/>
            </w:tcMar>
          </w:tcPr>
          <w:p w14:paraId="717BAC48"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134" w:type="dxa"/>
            <w:tcBorders>
              <w:top w:val="single" w:sz="4" w:space="0" w:color="auto"/>
              <w:bottom w:val="single" w:sz="4" w:space="0" w:color="auto"/>
            </w:tcBorders>
          </w:tcPr>
          <w:p w14:paraId="308D4529"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6A30B3D"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134" w:type="dxa"/>
            <w:tcBorders>
              <w:top w:val="single" w:sz="4" w:space="0" w:color="auto"/>
              <w:left w:val="single" w:sz="4" w:space="0" w:color="auto"/>
              <w:bottom w:val="single" w:sz="4" w:space="0" w:color="auto"/>
            </w:tcBorders>
          </w:tcPr>
          <w:p w14:paraId="27F2F8BB"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134" w:type="dxa"/>
            <w:tcBorders>
              <w:top w:val="single" w:sz="4" w:space="0" w:color="auto"/>
              <w:left w:val="nil"/>
              <w:bottom w:val="single" w:sz="4" w:space="0" w:color="auto"/>
            </w:tcBorders>
          </w:tcPr>
          <w:p w14:paraId="2F3CE20B"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275" w:type="dxa"/>
            <w:tcBorders>
              <w:top w:val="single" w:sz="4" w:space="0" w:color="auto"/>
              <w:bottom w:val="single" w:sz="4" w:space="0" w:color="auto"/>
              <w:right w:val="single" w:sz="4" w:space="0" w:color="auto"/>
            </w:tcBorders>
          </w:tcPr>
          <w:p w14:paraId="4DB89E1B"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c>
          <w:tcPr>
            <w:tcW w:w="1275" w:type="dxa"/>
            <w:tcBorders>
              <w:top w:val="single" w:sz="4" w:space="0" w:color="auto"/>
              <w:left w:val="single" w:sz="4" w:space="0" w:color="auto"/>
              <w:bottom w:val="single" w:sz="4" w:space="0" w:color="auto"/>
              <w:right w:val="single" w:sz="4" w:space="0" w:color="auto"/>
            </w:tcBorders>
          </w:tcPr>
          <w:p w14:paraId="3E96510B" w14:textId="77777777" w:rsidR="00790DD4" w:rsidRPr="000D67C6" w:rsidRDefault="00790DD4" w:rsidP="008F013B">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£000</w:t>
            </w:r>
          </w:p>
        </w:tc>
      </w:tr>
      <w:tr w:rsidR="00790DD4" w:rsidRPr="000D67C6" w14:paraId="34C27C65" w14:textId="77777777" w:rsidTr="00B0161A">
        <w:trPr>
          <w:trHeight w:val="347"/>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22574857" w14:textId="77777777" w:rsidR="00790DD4" w:rsidRPr="000D67C6" w:rsidRDefault="00790DD4" w:rsidP="00790DD4">
            <w:pPr>
              <w:pStyle w:val="T1TableStyle"/>
              <w:spacing w:before="240"/>
              <w:rPr>
                <w:rFonts w:ascii="Arial" w:eastAsia="Verdana" w:hAnsi="Arial" w:cs="Arial"/>
                <w:b/>
                <w:sz w:val="20"/>
                <w:szCs w:val="20"/>
                <w:lang w:val="pt-BR"/>
              </w:rPr>
            </w:pPr>
            <w:r w:rsidRPr="000D67C6">
              <w:rPr>
                <w:rFonts w:ascii="Arial" w:eastAsia="Verdana" w:hAnsi="Arial" w:cs="Arial"/>
                <w:b/>
                <w:sz w:val="20"/>
                <w:szCs w:val="20"/>
                <w:lang w:val="pt-BR"/>
              </w:rPr>
              <w:t>General Fund Balance</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097EF472" w14:textId="77777777" w:rsidR="00790DD4" w:rsidRPr="000D67C6" w:rsidRDefault="00790DD4"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(361)</w:t>
            </w:r>
          </w:p>
        </w:tc>
        <w:tc>
          <w:tcPr>
            <w:tcW w:w="993" w:type="dxa"/>
            <w:tcBorders>
              <w:top w:val="single" w:sz="4" w:space="0" w:color="auto"/>
              <w:left w:val="single" w:sz="4" w:space="0" w:color="auto"/>
              <w:bottom w:val="single" w:sz="4" w:space="0" w:color="auto"/>
            </w:tcBorders>
            <w:tcMar>
              <w:top w:w="20" w:type="dxa"/>
              <w:left w:w="20" w:type="dxa"/>
              <w:bottom w:w="20" w:type="dxa"/>
              <w:right w:w="20" w:type="dxa"/>
            </w:tcMar>
            <w:vAlign w:val="center"/>
          </w:tcPr>
          <w:p w14:paraId="66746DC9" w14:textId="77777777" w:rsidR="00790DD4" w:rsidRPr="000D67C6" w:rsidRDefault="00790DD4"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(346)</w:t>
            </w:r>
          </w:p>
        </w:tc>
        <w:tc>
          <w:tcPr>
            <w:tcW w:w="1134" w:type="dxa"/>
            <w:tcBorders>
              <w:top w:val="single" w:sz="4" w:space="0" w:color="auto"/>
              <w:left w:val="nil"/>
              <w:bottom w:val="single" w:sz="4" w:space="0" w:color="auto"/>
            </w:tcBorders>
            <w:tcMar>
              <w:top w:w="20" w:type="dxa"/>
              <w:left w:w="20" w:type="dxa"/>
              <w:bottom w:w="20" w:type="dxa"/>
              <w:right w:w="20" w:type="dxa"/>
            </w:tcMar>
            <w:vAlign w:val="center"/>
          </w:tcPr>
          <w:p w14:paraId="1BA4B6F3" w14:textId="77777777" w:rsidR="00790DD4" w:rsidRPr="000D67C6" w:rsidRDefault="00790DD4"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134" w:type="dxa"/>
            <w:tcBorders>
              <w:top w:val="single" w:sz="4" w:space="0" w:color="auto"/>
              <w:bottom w:val="single" w:sz="4" w:space="0" w:color="auto"/>
              <w:right w:val="single" w:sz="4" w:space="0" w:color="auto"/>
            </w:tcBorders>
            <w:vAlign w:val="center"/>
          </w:tcPr>
          <w:p w14:paraId="190B5695" w14:textId="77777777" w:rsidR="00790DD4" w:rsidRPr="000D67C6" w:rsidRDefault="00790DD4"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3053E7C" w14:textId="77777777" w:rsidR="00790DD4" w:rsidRPr="000D67C6" w:rsidRDefault="00790DD4"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(707)</w:t>
            </w:r>
          </w:p>
        </w:tc>
        <w:tc>
          <w:tcPr>
            <w:tcW w:w="1134" w:type="dxa"/>
            <w:tcBorders>
              <w:top w:val="single" w:sz="4" w:space="0" w:color="auto"/>
              <w:left w:val="single" w:sz="4" w:space="0" w:color="auto"/>
              <w:bottom w:val="single" w:sz="4" w:space="0" w:color="auto"/>
            </w:tcBorders>
            <w:vAlign w:val="center"/>
          </w:tcPr>
          <w:p w14:paraId="5B3B0944" w14:textId="422C5047" w:rsidR="00790DD4" w:rsidRPr="000D67C6" w:rsidRDefault="00086576"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(173)</w:t>
            </w:r>
          </w:p>
        </w:tc>
        <w:tc>
          <w:tcPr>
            <w:tcW w:w="1134" w:type="dxa"/>
            <w:tcBorders>
              <w:top w:val="single" w:sz="4" w:space="0" w:color="auto"/>
              <w:left w:val="nil"/>
              <w:bottom w:val="single" w:sz="4" w:space="0" w:color="auto"/>
            </w:tcBorders>
            <w:vAlign w:val="center"/>
          </w:tcPr>
          <w:p w14:paraId="02DF56F7" w14:textId="77777777" w:rsidR="00790DD4" w:rsidRPr="000D67C6" w:rsidRDefault="00C246AF"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275" w:type="dxa"/>
            <w:tcBorders>
              <w:top w:val="single" w:sz="4" w:space="0" w:color="auto"/>
              <w:bottom w:val="single" w:sz="4" w:space="0" w:color="auto"/>
              <w:right w:val="single" w:sz="4" w:space="0" w:color="auto"/>
            </w:tcBorders>
            <w:vAlign w:val="center"/>
          </w:tcPr>
          <w:p w14:paraId="4D17EC5D" w14:textId="77777777" w:rsidR="00790DD4" w:rsidRPr="000D67C6" w:rsidRDefault="00C246AF"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29D39331" w14:textId="2C54C592" w:rsidR="00790DD4" w:rsidRPr="000D67C6" w:rsidRDefault="00C246AF" w:rsidP="00790DD4">
            <w:pPr>
              <w:pStyle w:val="T1TableStyle"/>
              <w:spacing w:before="240"/>
              <w:jc w:val="right"/>
              <w:rPr>
                <w:rFonts w:ascii="Arial" w:eastAsia="Verdana" w:hAnsi="Arial" w:cs="Arial"/>
                <w:b/>
                <w:sz w:val="20"/>
                <w:szCs w:val="20"/>
                <w:lang w:val="pt-BR"/>
              </w:rPr>
            </w:pPr>
            <w:r w:rsidRPr="000D67C6">
              <w:rPr>
                <w:rFonts w:ascii="Arial" w:eastAsia="Verdana" w:hAnsi="Arial" w:cs="Arial"/>
                <w:b/>
                <w:sz w:val="20"/>
                <w:szCs w:val="20"/>
                <w:lang w:val="pt-BR"/>
              </w:rPr>
              <w:t>(</w:t>
            </w:r>
            <w:r w:rsidR="005C576D" w:rsidRPr="000D67C6">
              <w:rPr>
                <w:rFonts w:ascii="Arial" w:eastAsia="Verdana" w:hAnsi="Arial" w:cs="Arial"/>
                <w:b/>
                <w:sz w:val="20"/>
                <w:szCs w:val="20"/>
                <w:lang w:val="pt-BR"/>
              </w:rPr>
              <w:t>880</w:t>
            </w:r>
            <w:r w:rsidRPr="000D67C6">
              <w:rPr>
                <w:rFonts w:ascii="Arial" w:eastAsia="Verdana" w:hAnsi="Arial" w:cs="Arial"/>
                <w:b/>
                <w:sz w:val="20"/>
                <w:szCs w:val="20"/>
                <w:lang w:val="pt-BR"/>
              </w:rPr>
              <w:t>)</w:t>
            </w:r>
          </w:p>
        </w:tc>
      </w:tr>
      <w:tr w:rsidR="00790DD4" w:rsidRPr="000D67C6" w14:paraId="120414CE" w14:textId="77777777" w:rsidTr="00B0161A">
        <w:trPr>
          <w:trHeight w:val="397"/>
          <w:jc w:val="center"/>
        </w:trPr>
        <w:tc>
          <w:tcPr>
            <w:tcW w:w="3261" w:type="dxa"/>
            <w:tcBorders>
              <w:top w:val="single" w:sz="4" w:space="0" w:color="auto"/>
              <w:left w:val="single" w:sz="4" w:space="0" w:color="auto"/>
              <w:right w:val="single" w:sz="4" w:space="0" w:color="auto"/>
            </w:tcBorders>
            <w:shd w:val="clear" w:color="auto" w:fill="auto"/>
            <w:tcMar>
              <w:top w:w="20" w:type="dxa"/>
              <w:left w:w="20" w:type="dxa"/>
              <w:bottom w:w="20" w:type="dxa"/>
              <w:right w:w="20" w:type="dxa"/>
            </w:tcMar>
            <w:vAlign w:val="center"/>
          </w:tcPr>
          <w:p w14:paraId="242AEE02" w14:textId="77777777" w:rsidR="00790DD4" w:rsidRPr="000D67C6" w:rsidRDefault="00790DD4" w:rsidP="00790DD4">
            <w:pPr>
              <w:pStyle w:val="T1TableStyle"/>
              <w:rPr>
                <w:rFonts w:ascii="Arial" w:eastAsia="Verdana" w:hAnsi="Arial" w:cs="Arial"/>
                <w:b/>
                <w:sz w:val="20"/>
                <w:szCs w:val="20"/>
                <w:lang w:val="pt-BR"/>
              </w:rPr>
            </w:pPr>
            <w:r w:rsidRPr="000D67C6">
              <w:rPr>
                <w:rFonts w:ascii="Arial" w:eastAsia="Verdana" w:hAnsi="Arial" w:cs="Arial"/>
                <w:b/>
                <w:sz w:val="20"/>
                <w:szCs w:val="20"/>
                <w:lang w:val="pt-BR"/>
              </w:rPr>
              <w:t>Earmarked Reserves:</w:t>
            </w:r>
          </w:p>
        </w:tc>
        <w:tc>
          <w:tcPr>
            <w:tcW w:w="992" w:type="dxa"/>
            <w:tcBorders>
              <w:top w:val="single" w:sz="4" w:space="0" w:color="auto"/>
              <w:left w:val="single" w:sz="4" w:space="0" w:color="auto"/>
              <w:right w:val="single" w:sz="4" w:space="0" w:color="auto"/>
            </w:tcBorders>
            <w:shd w:val="clear" w:color="auto" w:fill="auto"/>
            <w:tcMar>
              <w:top w:w="20" w:type="dxa"/>
              <w:left w:w="20" w:type="dxa"/>
              <w:bottom w:w="20" w:type="dxa"/>
              <w:right w:w="20" w:type="dxa"/>
            </w:tcMar>
            <w:vAlign w:val="center"/>
          </w:tcPr>
          <w:p w14:paraId="1DF988DD" w14:textId="77777777" w:rsidR="00790DD4" w:rsidRPr="000D67C6" w:rsidRDefault="00790DD4" w:rsidP="00790DD4">
            <w:pPr>
              <w:pStyle w:val="T1TableStyle"/>
              <w:jc w:val="center"/>
              <w:rPr>
                <w:rFonts w:ascii="Arial" w:eastAsia="Verdana" w:hAnsi="Arial" w:cs="Arial"/>
                <w:sz w:val="20"/>
                <w:szCs w:val="20"/>
                <w:lang w:val="pt-BR"/>
              </w:rPr>
            </w:pPr>
            <w:r w:rsidRPr="000D67C6">
              <w:rPr>
                <w:rFonts w:ascii="Arial" w:eastAsia="Verdana" w:hAnsi="Arial" w:cs="Arial"/>
                <w:sz w:val="20"/>
                <w:szCs w:val="20"/>
                <w:lang w:val="pt-BR"/>
              </w:rPr>
              <w:t xml:space="preserve"> </w:t>
            </w:r>
          </w:p>
        </w:tc>
        <w:tc>
          <w:tcPr>
            <w:tcW w:w="993" w:type="dxa"/>
            <w:tcBorders>
              <w:top w:val="single" w:sz="4" w:space="0" w:color="auto"/>
              <w:left w:val="single" w:sz="4" w:space="0" w:color="auto"/>
            </w:tcBorders>
            <w:tcMar>
              <w:top w:w="20" w:type="dxa"/>
              <w:left w:w="20" w:type="dxa"/>
              <w:bottom w:w="20" w:type="dxa"/>
              <w:right w:w="20" w:type="dxa"/>
            </w:tcMar>
            <w:vAlign w:val="center"/>
          </w:tcPr>
          <w:p w14:paraId="09043A5D" w14:textId="77777777" w:rsidR="00790DD4" w:rsidRPr="000D67C6" w:rsidRDefault="00790DD4" w:rsidP="00790DD4">
            <w:pPr>
              <w:pStyle w:val="T1TableStyle"/>
              <w:jc w:val="center"/>
              <w:rPr>
                <w:rFonts w:ascii="Arial" w:eastAsia="Verdana" w:hAnsi="Arial" w:cs="Arial"/>
                <w:sz w:val="20"/>
                <w:szCs w:val="20"/>
                <w:lang w:val="pt-BR"/>
              </w:rPr>
            </w:pPr>
          </w:p>
        </w:tc>
        <w:tc>
          <w:tcPr>
            <w:tcW w:w="1134" w:type="dxa"/>
            <w:tcBorders>
              <w:top w:val="single" w:sz="4" w:space="0" w:color="auto"/>
              <w:left w:val="nil"/>
            </w:tcBorders>
            <w:tcMar>
              <w:top w:w="20" w:type="dxa"/>
              <w:left w:w="20" w:type="dxa"/>
              <w:bottom w:w="20" w:type="dxa"/>
              <w:right w:w="20" w:type="dxa"/>
            </w:tcMar>
            <w:vAlign w:val="center"/>
          </w:tcPr>
          <w:p w14:paraId="023FBE7B" w14:textId="77777777" w:rsidR="00790DD4" w:rsidRPr="000D67C6" w:rsidRDefault="00790DD4" w:rsidP="00790DD4">
            <w:pPr>
              <w:pStyle w:val="T1TableStyle"/>
              <w:jc w:val="center"/>
              <w:rPr>
                <w:rFonts w:ascii="Arial" w:eastAsia="Verdana" w:hAnsi="Arial" w:cs="Arial"/>
                <w:sz w:val="20"/>
                <w:szCs w:val="20"/>
                <w:lang w:val="pt-BR"/>
              </w:rPr>
            </w:pPr>
          </w:p>
        </w:tc>
        <w:tc>
          <w:tcPr>
            <w:tcW w:w="1134" w:type="dxa"/>
            <w:tcBorders>
              <w:top w:val="single" w:sz="4" w:space="0" w:color="auto"/>
              <w:right w:val="single" w:sz="4" w:space="0" w:color="auto"/>
            </w:tcBorders>
            <w:vAlign w:val="center"/>
          </w:tcPr>
          <w:p w14:paraId="627B2D1A" w14:textId="77777777" w:rsidR="00790DD4" w:rsidRPr="000D67C6" w:rsidRDefault="00790DD4" w:rsidP="00790DD4">
            <w:pPr>
              <w:pStyle w:val="T1TableStyle"/>
              <w:jc w:val="center"/>
              <w:rPr>
                <w:rFonts w:ascii="Arial" w:eastAsia="Verdana" w:hAnsi="Arial" w:cs="Arial"/>
                <w:sz w:val="20"/>
                <w:szCs w:val="20"/>
                <w:lang w:val="pt-BR"/>
              </w:rPr>
            </w:pPr>
          </w:p>
        </w:tc>
        <w:tc>
          <w:tcPr>
            <w:tcW w:w="1134" w:type="dxa"/>
            <w:tcBorders>
              <w:top w:val="single" w:sz="4" w:space="0" w:color="auto"/>
              <w:left w:val="single" w:sz="4" w:space="0" w:color="auto"/>
              <w:right w:val="single" w:sz="4" w:space="0" w:color="auto"/>
            </w:tcBorders>
            <w:tcMar>
              <w:top w:w="20" w:type="dxa"/>
              <w:left w:w="20" w:type="dxa"/>
              <w:bottom w:w="20" w:type="dxa"/>
              <w:right w:w="20" w:type="dxa"/>
            </w:tcMar>
            <w:vAlign w:val="center"/>
          </w:tcPr>
          <w:p w14:paraId="2A7E3609" w14:textId="77777777" w:rsidR="00790DD4" w:rsidRPr="000D67C6" w:rsidRDefault="00790DD4" w:rsidP="00790DD4">
            <w:pPr>
              <w:pStyle w:val="T1TableStyle"/>
              <w:jc w:val="center"/>
              <w:rPr>
                <w:rFonts w:ascii="Arial" w:eastAsia="Verdana" w:hAnsi="Arial" w:cs="Arial"/>
                <w:sz w:val="20"/>
                <w:szCs w:val="20"/>
                <w:lang w:val="pt-BR"/>
              </w:rPr>
            </w:pPr>
          </w:p>
        </w:tc>
        <w:tc>
          <w:tcPr>
            <w:tcW w:w="1134" w:type="dxa"/>
            <w:tcBorders>
              <w:top w:val="single" w:sz="4" w:space="0" w:color="auto"/>
              <w:left w:val="single" w:sz="4" w:space="0" w:color="auto"/>
            </w:tcBorders>
            <w:vAlign w:val="center"/>
          </w:tcPr>
          <w:p w14:paraId="46EBBDDA" w14:textId="77777777" w:rsidR="00790DD4" w:rsidRPr="000D67C6" w:rsidRDefault="00790DD4" w:rsidP="00790DD4">
            <w:pPr>
              <w:pStyle w:val="T1TableStyle"/>
              <w:jc w:val="center"/>
              <w:rPr>
                <w:rFonts w:ascii="Arial" w:eastAsia="Verdana" w:hAnsi="Arial" w:cs="Arial"/>
                <w:sz w:val="20"/>
                <w:szCs w:val="20"/>
                <w:lang w:val="pt-BR"/>
              </w:rPr>
            </w:pPr>
          </w:p>
        </w:tc>
        <w:tc>
          <w:tcPr>
            <w:tcW w:w="1134" w:type="dxa"/>
            <w:tcBorders>
              <w:top w:val="single" w:sz="4" w:space="0" w:color="auto"/>
              <w:left w:val="nil"/>
            </w:tcBorders>
            <w:vAlign w:val="center"/>
          </w:tcPr>
          <w:p w14:paraId="5CDF3214" w14:textId="77777777" w:rsidR="00790DD4" w:rsidRPr="000D67C6" w:rsidRDefault="00790DD4" w:rsidP="00790DD4">
            <w:pPr>
              <w:pStyle w:val="T1TableStyle"/>
              <w:jc w:val="center"/>
              <w:rPr>
                <w:rFonts w:ascii="Arial" w:eastAsia="Verdana" w:hAnsi="Arial" w:cs="Arial"/>
                <w:sz w:val="20"/>
                <w:szCs w:val="20"/>
                <w:lang w:val="pt-BR"/>
              </w:rPr>
            </w:pPr>
          </w:p>
        </w:tc>
        <w:tc>
          <w:tcPr>
            <w:tcW w:w="1275" w:type="dxa"/>
            <w:tcBorders>
              <w:top w:val="single" w:sz="4" w:space="0" w:color="auto"/>
              <w:right w:val="single" w:sz="4" w:space="0" w:color="auto"/>
            </w:tcBorders>
            <w:vAlign w:val="center"/>
          </w:tcPr>
          <w:p w14:paraId="799119F4" w14:textId="77777777" w:rsidR="00790DD4" w:rsidRPr="000D67C6" w:rsidRDefault="00790DD4" w:rsidP="00790DD4">
            <w:pPr>
              <w:pStyle w:val="T1TableStyle"/>
              <w:jc w:val="center"/>
              <w:rPr>
                <w:rFonts w:ascii="Arial" w:eastAsia="Verdana" w:hAnsi="Arial" w:cs="Arial"/>
                <w:sz w:val="20"/>
                <w:szCs w:val="20"/>
                <w:lang w:val="pt-BR"/>
              </w:rPr>
            </w:pPr>
          </w:p>
        </w:tc>
        <w:tc>
          <w:tcPr>
            <w:tcW w:w="1275" w:type="dxa"/>
            <w:tcBorders>
              <w:top w:val="single" w:sz="4" w:space="0" w:color="auto"/>
              <w:left w:val="single" w:sz="4" w:space="0" w:color="auto"/>
              <w:right w:val="single" w:sz="4" w:space="0" w:color="auto"/>
            </w:tcBorders>
            <w:vAlign w:val="center"/>
          </w:tcPr>
          <w:p w14:paraId="4E9DAD09" w14:textId="77777777" w:rsidR="00790DD4" w:rsidRPr="000D67C6" w:rsidRDefault="00790DD4" w:rsidP="00790DD4">
            <w:pPr>
              <w:pStyle w:val="T1TableStyle"/>
              <w:jc w:val="center"/>
              <w:rPr>
                <w:rFonts w:ascii="Arial" w:eastAsia="Verdana" w:hAnsi="Arial" w:cs="Arial"/>
                <w:sz w:val="20"/>
                <w:szCs w:val="20"/>
                <w:lang w:val="pt-BR"/>
              </w:rPr>
            </w:pPr>
          </w:p>
        </w:tc>
      </w:tr>
      <w:tr w:rsidR="00800289" w:rsidRPr="000D67C6" w14:paraId="4E12C046"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419ED0D8"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Invest to Save Fund</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04BEB62E"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(1,164)</w:t>
            </w:r>
          </w:p>
        </w:tc>
        <w:tc>
          <w:tcPr>
            <w:tcW w:w="993" w:type="dxa"/>
            <w:tcBorders>
              <w:left w:val="single" w:sz="4" w:space="0" w:color="auto"/>
            </w:tcBorders>
            <w:tcMar>
              <w:top w:w="20" w:type="dxa"/>
              <w:left w:w="20" w:type="dxa"/>
              <w:bottom w:w="20" w:type="dxa"/>
              <w:right w:w="20" w:type="dxa"/>
            </w:tcMar>
            <w:vAlign w:val="center"/>
          </w:tcPr>
          <w:p w14:paraId="235FAFAC"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28E30C5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295E0C1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973</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180208E6"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(191)</w:t>
            </w:r>
          </w:p>
        </w:tc>
        <w:tc>
          <w:tcPr>
            <w:tcW w:w="1134" w:type="dxa"/>
            <w:tcBorders>
              <w:left w:val="single" w:sz="4" w:space="0" w:color="auto"/>
            </w:tcBorders>
            <w:vAlign w:val="center"/>
          </w:tcPr>
          <w:p w14:paraId="211C2AC9" w14:textId="04E859B2"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(160)</w:t>
            </w:r>
          </w:p>
        </w:tc>
        <w:tc>
          <w:tcPr>
            <w:tcW w:w="1134" w:type="dxa"/>
            <w:tcBorders>
              <w:left w:val="nil"/>
            </w:tcBorders>
            <w:vAlign w:val="center"/>
          </w:tcPr>
          <w:p w14:paraId="50A22295" w14:textId="64CAECB9"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7715857E"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0FAF2B09"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(351)</w:t>
            </w:r>
          </w:p>
        </w:tc>
      </w:tr>
      <w:tr w:rsidR="00800289" w:rsidRPr="000D67C6" w14:paraId="65392C0B"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40672CA0"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Minumum Revenue Provision</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127BEE1"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(648)</w:t>
            </w:r>
          </w:p>
        </w:tc>
        <w:tc>
          <w:tcPr>
            <w:tcW w:w="993" w:type="dxa"/>
            <w:tcBorders>
              <w:left w:val="single" w:sz="4" w:space="0" w:color="auto"/>
            </w:tcBorders>
            <w:tcMar>
              <w:top w:w="20" w:type="dxa"/>
              <w:left w:w="20" w:type="dxa"/>
              <w:bottom w:w="20" w:type="dxa"/>
              <w:right w:w="20" w:type="dxa"/>
            </w:tcMar>
            <w:vAlign w:val="center"/>
          </w:tcPr>
          <w:p w14:paraId="7CD2A5E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3832E1B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130AD546"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21A48818"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(648)</w:t>
            </w:r>
          </w:p>
        </w:tc>
        <w:tc>
          <w:tcPr>
            <w:tcW w:w="1134" w:type="dxa"/>
            <w:tcBorders>
              <w:left w:val="single" w:sz="4" w:space="0" w:color="auto"/>
            </w:tcBorders>
            <w:vAlign w:val="center"/>
          </w:tcPr>
          <w:p w14:paraId="4005B3E5" w14:textId="1B6F9B81"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35D3345B"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028C4A9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5B158FC4"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(648)</w:t>
            </w:r>
          </w:p>
        </w:tc>
      </w:tr>
      <w:tr w:rsidR="00800289" w:rsidRPr="000D67C6" w14:paraId="53CE1EC5"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D5B8AAB"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Capital Fund</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BE3B8CF"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(1,000)</w:t>
            </w:r>
          </w:p>
        </w:tc>
        <w:tc>
          <w:tcPr>
            <w:tcW w:w="993" w:type="dxa"/>
            <w:tcBorders>
              <w:left w:val="single" w:sz="4" w:space="0" w:color="auto"/>
            </w:tcBorders>
            <w:tcMar>
              <w:top w:w="20" w:type="dxa"/>
              <w:left w:w="20" w:type="dxa"/>
              <w:bottom w:w="20" w:type="dxa"/>
              <w:right w:w="20" w:type="dxa"/>
            </w:tcMar>
            <w:vAlign w:val="center"/>
          </w:tcPr>
          <w:p w14:paraId="0A35AC41"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481DDEE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3CFE1578"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7A8A8198"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(1,000)</w:t>
            </w:r>
          </w:p>
        </w:tc>
        <w:tc>
          <w:tcPr>
            <w:tcW w:w="1134" w:type="dxa"/>
            <w:tcBorders>
              <w:left w:val="single" w:sz="4" w:space="0" w:color="auto"/>
            </w:tcBorders>
            <w:vAlign w:val="center"/>
          </w:tcPr>
          <w:p w14:paraId="2E9A9EBA" w14:textId="4C94CF6C"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(400)</w:t>
            </w:r>
          </w:p>
        </w:tc>
        <w:tc>
          <w:tcPr>
            <w:tcW w:w="1134" w:type="dxa"/>
            <w:tcBorders>
              <w:left w:val="nil"/>
            </w:tcBorders>
            <w:vAlign w:val="center"/>
          </w:tcPr>
          <w:p w14:paraId="7CC81ECE" w14:textId="1D8C8F9D"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2452D1DA"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18496C58"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(1,400)</w:t>
            </w:r>
          </w:p>
        </w:tc>
      </w:tr>
      <w:tr w:rsidR="00800289" w:rsidRPr="000D67C6" w14:paraId="0C2078D9"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257F4B40"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Major Incidents</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F76AE5E"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(400)</w:t>
            </w:r>
          </w:p>
        </w:tc>
        <w:tc>
          <w:tcPr>
            <w:tcW w:w="993" w:type="dxa"/>
            <w:tcBorders>
              <w:left w:val="single" w:sz="4" w:space="0" w:color="auto"/>
            </w:tcBorders>
            <w:tcMar>
              <w:top w:w="20" w:type="dxa"/>
              <w:left w:w="20" w:type="dxa"/>
              <w:bottom w:w="20" w:type="dxa"/>
              <w:right w:w="20" w:type="dxa"/>
            </w:tcMar>
            <w:vAlign w:val="center"/>
          </w:tcPr>
          <w:p w14:paraId="270C1701"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15DB467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182A6F6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2EFFF8FD"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(400)</w:t>
            </w:r>
          </w:p>
        </w:tc>
        <w:tc>
          <w:tcPr>
            <w:tcW w:w="1134" w:type="dxa"/>
            <w:tcBorders>
              <w:left w:val="single" w:sz="4" w:space="0" w:color="auto"/>
            </w:tcBorders>
            <w:vAlign w:val="center"/>
          </w:tcPr>
          <w:p w14:paraId="2CFFDB73" w14:textId="344D830C"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6E92A6F0"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0B1B2F11"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2CE9459E"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(400)</w:t>
            </w:r>
          </w:p>
        </w:tc>
      </w:tr>
      <w:tr w:rsidR="00800289" w:rsidRPr="000D67C6" w14:paraId="359015B3" w14:textId="77777777" w:rsidTr="00B0161A">
        <w:trPr>
          <w:trHeight w:val="554"/>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4C8C405"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 xml:space="preserve">Fundraising &amp; Miscellaneous Ring-Fenced </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514CD95"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(422)</w:t>
            </w:r>
          </w:p>
        </w:tc>
        <w:tc>
          <w:tcPr>
            <w:tcW w:w="993" w:type="dxa"/>
            <w:tcBorders>
              <w:left w:val="single" w:sz="4" w:space="0" w:color="auto"/>
            </w:tcBorders>
            <w:tcMar>
              <w:top w:w="20" w:type="dxa"/>
              <w:left w:w="20" w:type="dxa"/>
              <w:bottom w:w="20" w:type="dxa"/>
              <w:right w:w="20" w:type="dxa"/>
            </w:tcMar>
            <w:vAlign w:val="center"/>
          </w:tcPr>
          <w:p w14:paraId="7A1F97D4"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(19)</w:t>
            </w:r>
          </w:p>
        </w:tc>
        <w:tc>
          <w:tcPr>
            <w:tcW w:w="1134" w:type="dxa"/>
            <w:tcBorders>
              <w:left w:val="nil"/>
            </w:tcBorders>
            <w:tcMar>
              <w:top w:w="20" w:type="dxa"/>
              <w:left w:w="20" w:type="dxa"/>
              <w:bottom w:w="20" w:type="dxa"/>
              <w:right w:w="20" w:type="dxa"/>
            </w:tcMar>
            <w:vAlign w:val="center"/>
          </w:tcPr>
          <w:p w14:paraId="2910A3E4"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5</w:t>
            </w:r>
          </w:p>
        </w:tc>
        <w:tc>
          <w:tcPr>
            <w:tcW w:w="1134" w:type="dxa"/>
            <w:tcBorders>
              <w:right w:val="single" w:sz="4" w:space="0" w:color="auto"/>
            </w:tcBorders>
            <w:vAlign w:val="center"/>
          </w:tcPr>
          <w:p w14:paraId="7E6C2FA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50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176DF57D"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(386)</w:t>
            </w:r>
          </w:p>
        </w:tc>
        <w:tc>
          <w:tcPr>
            <w:tcW w:w="1134" w:type="dxa"/>
            <w:tcBorders>
              <w:left w:val="single" w:sz="4" w:space="0" w:color="auto"/>
            </w:tcBorders>
            <w:vAlign w:val="center"/>
          </w:tcPr>
          <w:p w14:paraId="706F76C7" w14:textId="22478E9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(169)</w:t>
            </w:r>
          </w:p>
        </w:tc>
        <w:tc>
          <w:tcPr>
            <w:tcW w:w="1134" w:type="dxa"/>
            <w:tcBorders>
              <w:left w:val="nil"/>
            </w:tcBorders>
            <w:vAlign w:val="center"/>
          </w:tcPr>
          <w:p w14:paraId="7F2C9D3C" w14:textId="02A5ED59"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6D990B31"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250</w:t>
            </w:r>
          </w:p>
        </w:tc>
        <w:tc>
          <w:tcPr>
            <w:tcW w:w="1275" w:type="dxa"/>
            <w:tcBorders>
              <w:left w:val="single" w:sz="4" w:space="0" w:color="auto"/>
              <w:right w:val="single" w:sz="4" w:space="0" w:color="auto"/>
            </w:tcBorders>
            <w:vAlign w:val="center"/>
          </w:tcPr>
          <w:p w14:paraId="234F5582"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(305)</w:t>
            </w:r>
          </w:p>
        </w:tc>
      </w:tr>
      <w:tr w:rsidR="00800289" w:rsidRPr="000D67C6" w14:paraId="7FE6D0DF"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39D33B7"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Levy Equalisation Reserve</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0D5DC74"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(1,000)</w:t>
            </w:r>
          </w:p>
        </w:tc>
        <w:tc>
          <w:tcPr>
            <w:tcW w:w="993" w:type="dxa"/>
            <w:tcBorders>
              <w:left w:val="single" w:sz="4" w:space="0" w:color="auto"/>
            </w:tcBorders>
            <w:tcMar>
              <w:top w:w="20" w:type="dxa"/>
              <w:left w:w="20" w:type="dxa"/>
              <w:bottom w:w="20" w:type="dxa"/>
              <w:right w:w="20" w:type="dxa"/>
            </w:tcMar>
            <w:vAlign w:val="center"/>
          </w:tcPr>
          <w:p w14:paraId="57773A69"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1408BA1F"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2DD8E0EC"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74399745"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(1,000)</w:t>
            </w:r>
          </w:p>
        </w:tc>
        <w:tc>
          <w:tcPr>
            <w:tcW w:w="1134" w:type="dxa"/>
            <w:tcBorders>
              <w:left w:val="single" w:sz="4" w:space="0" w:color="auto"/>
            </w:tcBorders>
            <w:vAlign w:val="center"/>
          </w:tcPr>
          <w:p w14:paraId="606D3497" w14:textId="69DAFD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58876EE1"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5EB58866"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753EA903"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(1,000)</w:t>
            </w:r>
          </w:p>
        </w:tc>
      </w:tr>
      <w:tr w:rsidR="00800289" w:rsidRPr="000D67C6" w14:paraId="2398B769"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4E7F3B8"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 xml:space="preserve">Software &amp; Communication </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17DCBA8"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(1,500)</w:t>
            </w:r>
          </w:p>
        </w:tc>
        <w:tc>
          <w:tcPr>
            <w:tcW w:w="993" w:type="dxa"/>
            <w:tcBorders>
              <w:left w:val="single" w:sz="4" w:space="0" w:color="auto"/>
            </w:tcBorders>
            <w:tcMar>
              <w:top w:w="20" w:type="dxa"/>
              <w:left w:w="20" w:type="dxa"/>
              <w:bottom w:w="20" w:type="dxa"/>
              <w:right w:w="20" w:type="dxa"/>
            </w:tcMar>
            <w:vAlign w:val="center"/>
          </w:tcPr>
          <w:p w14:paraId="31FAE8D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01C4314B"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5EA3B6E7"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297</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49AC9FA6"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(1,203)</w:t>
            </w:r>
          </w:p>
        </w:tc>
        <w:tc>
          <w:tcPr>
            <w:tcW w:w="1134" w:type="dxa"/>
            <w:tcBorders>
              <w:left w:val="single" w:sz="4" w:space="0" w:color="auto"/>
            </w:tcBorders>
            <w:vAlign w:val="center"/>
          </w:tcPr>
          <w:p w14:paraId="7E758B14" w14:textId="131BF75B"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7E656E0E"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143C0F97"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82</w:t>
            </w:r>
          </w:p>
        </w:tc>
        <w:tc>
          <w:tcPr>
            <w:tcW w:w="1275" w:type="dxa"/>
            <w:tcBorders>
              <w:left w:val="single" w:sz="4" w:space="0" w:color="auto"/>
              <w:right w:val="single" w:sz="4" w:space="0" w:color="auto"/>
            </w:tcBorders>
            <w:vAlign w:val="center"/>
          </w:tcPr>
          <w:p w14:paraId="5F2EDB1C"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(1,121)</w:t>
            </w:r>
          </w:p>
        </w:tc>
      </w:tr>
      <w:tr w:rsidR="00800289" w:rsidRPr="000D67C6" w14:paraId="1DCF5DB7" w14:textId="77777777" w:rsidTr="00B0161A">
        <w:trPr>
          <w:trHeight w:val="240"/>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4C102C0"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 xml:space="preserve">Risk Management </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B933DCA"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(500)</w:t>
            </w:r>
          </w:p>
        </w:tc>
        <w:tc>
          <w:tcPr>
            <w:tcW w:w="993" w:type="dxa"/>
            <w:tcBorders>
              <w:left w:val="single" w:sz="4" w:space="0" w:color="auto"/>
            </w:tcBorders>
            <w:tcMar>
              <w:top w:w="20" w:type="dxa"/>
              <w:left w:w="20" w:type="dxa"/>
              <w:bottom w:w="20" w:type="dxa"/>
              <w:right w:w="20" w:type="dxa"/>
            </w:tcMar>
            <w:vAlign w:val="center"/>
          </w:tcPr>
          <w:p w14:paraId="0AB6578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1047EA13"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31EB9832"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363A7FF8"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(500)</w:t>
            </w:r>
          </w:p>
        </w:tc>
        <w:tc>
          <w:tcPr>
            <w:tcW w:w="1134" w:type="dxa"/>
            <w:tcBorders>
              <w:left w:val="single" w:sz="4" w:space="0" w:color="auto"/>
            </w:tcBorders>
            <w:vAlign w:val="center"/>
          </w:tcPr>
          <w:p w14:paraId="7D4C23B5" w14:textId="4DEB8DBD"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6D02D60E"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20DAC84E"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04431D80"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(500)</w:t>
            </w:r>
          </w:p>
        </w:tc>
      </w:tr>
      <w:tr w:rsidR="00800289" w:rsidRPr="000D67C6" w14:paraId="61E5921B" w14:textId="77777777" w:rsidTr="00B0161A">
        <w:trPr>
          <w:trHeight w:val="533"/>
          <w:jc w:val="center"/>
        </w:trPr>
        <w:tc>
          <w:tcPr>
            <w:tcW w:w="3261"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74B0162" w14:textId="77777777" w:rsidR="00800289" w:rsidRPr="000D67C6" w:rsidRDefault="00800289" w:rsidP="00800289">
            <w:pPr>
              <w:pStyle w:val="T1TableStyle"/>
              <w:rPr>
                <w:rFonts w:ascii="Arial" w:eastAsia="Verdana" w:hAnsi="Arial" w:cs="Arial"/>
                <w:sz w:val="20"/>
                <w:szCs w:val="20"/>
                <w:lang w:val="pt-BR"/>
              </w:rPr>
            </w:pPr>
            <w:r w:rsidRPr="000D67C6">
              <w:rPr>
                <w:rFonts w:ascii="Arial" w:eastAsia="Verdana" w:hAnsi="Arial" w:cs="Arial"/>
                <w:sz w:val="20"/>
                <w:szCs w:val="20"/>
                <w:lang w:val="pt-BR"/>
              </w:rPr>
              <w:t>Managing Change - Employees &amp; Pensions</w:t>
            </w:r>
          </w:p>
        </w:tc>
        <w:tc>
          <w:tcPr>
            <w:tcW w:w="992"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380E684"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(2,000)</w:t>
            </w:r>
          </w:p>
        </w:tc>
        <w:tc>
          <w:tcPr>
            <w:tcW w:w="993" w:type="dxa"/>
            <w:tcBorders>
              <w:left w:val="single" w:sz="4" w:space="0" w:color="auto"/>
            </w:tcBorders>
            <w:tcMar>
              <w:top w:w="20" w:type="dxa"/>
              <w:left w:w="20" w:type="dxa"/>
              <w:bottom w:w="20" w:type="dxa"/>
              <w:right w:w="20" w:type="dxa"/>
            </w:tcMar>
            <w:vAlign w:val="center"/>
          </w:tcPr>
          <w:p w14:paraId="13182E99"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tcMar>
              <w:top w:w="20" w:type="dxa"/>
              <w:left w:w="20" w:type="dxa"/>
              <w:bottom w:w="20" w:type="dxa"/>
              <w:right w:w="20" w:type="dxa"/>
            </w:tcMar>
            <w:vAlign w:val="center"/>
          </w:tcPr>
          <w:p w14:paraId="21C0527D"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right w:val="single" w:sz="4" w:space="0" w:color="auto"/>
            </w:tcBorders>
            <w:vAlign w:val="center"/>
          </w:tcPr>
          <w:p w14:paraId="6A295402"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single" w:sz="4" w:space="0" w:color="auto"/>
              <w:right w:val="single" w:sz="4" w:space="0" w:color="auto"/>
            </w:tcBorders>
            <w:tcMar>
              <w:top w:w="20" w:type="dxa"/>
              <w:left w:w="20" w:type="dxa"/>
              <w:bottom w:w="20" w:type="dxa"/>
              <w:right w:w="20" w:type="dxa"/>
            </w:tcMar>
            <w:vAlign w:val="center"/>
          </w:tcPr>
          <w:p w14:paraId="4E88BF52" w14:textId="77777777"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(2,000)</w:t>
            </w:r>
          </w:p>
        </w:tc>
        <w:tc>
          <w:tcPr>
            <w:tcW w:w="1134" w:type="dxa"/>
            <w:tcBorders>
              <w:left w:val="single" w:sz="4" w:space="0" w:color="auto"/>
            </w:tcBorders>
            <w:vAlign w:val="center"/>
          </w:tcPr>
          <w:p w14:paraId="6F208A86" w14:textId="64F4CF29" w:rsidR="00800289" w:rsidRPr="000D67C6" w:rsidRDefault="005C576D"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134" w:type="dxa"/>
            <w:tcBorders>
              <w:left w:val="nil"/>
            </w:tcBorders>
            <w:vAlign w:val="center"/>
          </w:tcPr>
          <w:p w14:paraId="4E6F196F" w14:textId="3E7FCF86"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right w:val="single" w:sz="4" w:space="0" w:color="auto"/>
            </w:tcBorders>
            <w:vAlign w:val="center"/>
          </w:tcPr>
          <w:p w14:paraId="172FA0C0" w14:textId="77777777" w:rsidR="00800289" w:rsidRPr="000D67C6" w:rsidRDefault="00800289" w:rsidP="00800289">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1275" w:type="dxa"/>
            <w:tcBorders>
              <w:left w:val="single" w:sz="4" w:space="0" w:color="auto"/>
              <w:right w:val="single" w:sz="4" w:space="0" w:color="auto"/>
            </w:tcBorders>
            <w:vAlign w:val="center"/>
          </w:tcPr>
          <w:p w14:paraId="1936AF08" w14:textId="3ED4FD68" w:rsidR="00800289" w:rsidRPr="000D67C6" w:rsidRDefault="00800289" w:rsidP="00800289">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w:t>
            </w:r>
            <w:r w:rsidR="005C576D" w:rsidRPr="000D67C6">
              <w:rPr>
                <w:rFonts w:ascii="Arial" w:eastAsia="Verdana" w:hAnsi="Arial" w:cs="Arial"/>
                <w:b/>
                <w:sz w:val="20"/>
                <w:szCs w:val="20"/>
                <w:lang w:val="pt-BR"/>
              </w:rPr>
              <w:t>000</w:t>
            </w:r>
            <w:r w:rsidRPr="000D67C6">
              <w:rPr>
                <w:rFonts w:ascii="Arial" w:eastAsia="Verdana" w:hAnsi="Arial" w:cs="Arial"/>
                <w:b/>
                <w:sz w:val="20"/>
                <w:szCs w:val="20"/>
                <w:lang w:val="pt-BR"/>
              </w:rPr>
              <w:t>)</w:t>
            </w:r>
          </w:p>
        </w:tc>
      </w:tr>
      <w:tr w:rsidR="00790DD4" w:rsidRPr="000D67C6" w14:paraId="046B779F" w14:textId="77777777" w:rsidTr="00B0161A">
        <w:trPr>
          <w:trHeight w:val="297"/>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3F230B99" w14:textId="77777777" w:rsidR="00790DD4" w:rsidRPr="000D67C6" w:rsidRDefault="00790DD4" w:rsidP="00790DD4">
            <w:pPr>
              <w:pStyle w:val="T1TableStyle"/>
              <w:rPr>
                <w:rFonts w:ascii="Arial" w:eastAsia="Verdana" w:hAnsi="Arial" w:cs="Arial"/>
                <w:b/>
                <w:sz w:val="20"/>
                <w:szCs w:val="20"/>
                <w:lang w:val="pt-BR"/>
              </w:rPr>
            </w:pPr>
            <w:r w:rsidRPr="000D67C6">
              <w:rPr>
                <w:rFonts w:ascii="Arial" w:eastAsia="Verdana" w:hAnsi="Arial" w:cs="Arial"/>
                <w:b/>
                <w:sz w:val="20"/>
                <w:szCs w:val="20"/>
                <w:lang w:val="pt-BR"/>
              </w:rPr>
              <w:t>Earmarked Reserves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3E80B4BD"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(8,634)</w:t>
            </w:r>
          </w:p>
        </w:tc>
        <w:tc>
          <w:tcPr>
            <w:tcW w:w="993" w:type="dxa"/>
            <w:tcBorders>
              <w:top w:val="single" w:sz="4" w:space="0" w:color="auto"/>
              <w:left w:val="single" w:sz="4" w:space="0" w:color="auto"/>
              <w:bottom w:val="single" w:sz="4" w:space="0" w:color="auto"/>
            </w:tcBorders>
            <w:tcMar>
              <w:top w:w="20" w:type="dxa"/>
              <w:left w:w="20" w:type="dxa"/>
              <w:bottom w:w="20" w:type="dxa"/>
              <w:right w:w="20" w:type="dxa"/>
            </w:tcMar>
            <w:vAlign w:val="center"/>
          </w:tcPr>
          <w:p w14:paraId="6AA28D6D"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(19)</w:t>
            </w:r>
          </w:p>
        </w:tc>
        <w:tc>
          <w:tcPr>
            <w:tcW w:w="1134" w:type="dxa"/>
            <w:tcBorders>
              <w:top w:val="single" w:sz="4" w:space="0" w:color="auto"/>
              <w:left w:val="nil"/>
              <w:bottom w:val="single" w:sz="4" w:space="0" w:color="auto"/>
            </w:tcBorders>
            <w:tcMar>
              <w:top w:w="20" w:type="dxa"/>
              <w:left w:w="20" w:type="dxa"/>
              <w:bottom w:w="20" w:type="dxa"/>
              <w:right w:w="20" w:type="dxa"/>
            </w:tcMar>
            <w:vAlign w:val="center"/>
          </w:tcPr>
          <w:p w14:paraId="79187579"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5</w:t>
            </w:r>
          </w:p>
        </w:tc>
        <w:tc>
          <w:tcPr>
            <w:tcW w:w="1134" w:type="dxa"/>
            <w:tcBorders>
              <w:top w:val="single" w:sz="4" w:space="0" w:color="auto"/>
              <w:bottom w:val="single" w:sz="4" w:space="0" w:color="auto"/>
              <w:right w:val="single" w:sz="4" w:space="0" w:color="auto"/>
            </w:tcBorders>
            <w:vAlign w:val="center"/>
          </w:tcPr>
          <w:p w14:paraId="3A5F8BDB"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1,320</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E8535C9"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(7,328)</w:t>
            </w:r>
          </w:p>
        </w:tc>
        <w:tc>
          <w:tcPr>
            <w:tcW w:w="1134" w:type="dxa"/>
            <w:tcBorders>
              <w:top w:val="single" w:sz="4" w:space="0" w:color="auto"/>
              <w:left w:val="single" w:sz="4" w:space="0" w:color="auto"/>
              <w:bottom w:val="single" w:sz="4" w:space="0" w:color="auto"/>
            </w:tcBorders>
            <w:vAlign w:val="center"/>
          </w:tcPr>
          <w:p w14:paraId="576D4911" w14:textId="0637C5A2" w:rsidR="00790DD4" w:rsidRPr="000D67C6" w:rsidRDefault="00800289"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w:t>
            </w:r>
            <w:r w:rsidR="005C576D" w:rsidRPr="000D67C6">
              <w:rPr>
                <w:rFonts w:ascii="Arial" w:eastAsia="Verdana" w:hAnsi="Arial" w:cs="Arial"/>
                <w:b/>
                <w:sz w:val="20"/>
                <w:szCs w:val="20"/>
                <w:lang w:val="pt-BR"/>
              </w:rPr>
              <w:t>729</w:t>
            </w:r>
            <w:r w:rsidRPr="000D67C6">
              <w:rPr>
                <w:rFonts w:ascii="Arial" w:eastAsia="Verdana" w:hAnsi="Arial" w:cs="Arial"/>
                <w:b/>
                <w:sz w:val="20"/>
                <w:szCs w:val="20"/>
                <w:lang w:val="pt-BR"/>
              </w:rPr>
              <w:t>)</w:t>
            </w:r>
          </w:p>
        </w:tc>
        <w:tc>
          <w:tcPr>
            <w:tcW w:w="1134" w:type="dxa"/>
            <w:tcBorders>
              <w:top w:val="single" w:sz="4" w:space="0" w:color="auto"/>
              <w:left w:val="nil"/>
              <w:bottom w:val="single" w:sz="4" w:space="0" w:color="auto"/>
            </w:tcBorders>
            <w:vAlign w:val="center"/>
          </w:tcPr>
          <w:p w14:paraId="1699047E" w14:textId="2CACB4C3" w:rsidR="00790DD4" w:rsidRPr="000D67C6" w:rsidRDefault="00800289"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275" w:type="dxa"/>
            <w:tcBorders>
              <w:top w:val="single" w:sz="4" w:space="0" w:color="auto"/>
              <w:bottom w:val="single" w:sz="4" w:space="0" w:color="auto"/>
              <w:right w:val="single" w:sz="4" w:space="0" w:color="auto"/>
            </w:tcBorders>
            <w:vAlign w:val="center"/>
          </w:tcPr>
          <w:p w14:paraId="074E1E28" w14:textId="77777777" w:rsidR="002C4DDE" w:rsidRPr="000D67C6" w:rsidRDefault="002C4DDE"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332</w:t>
            </w:r>
          </w:p>
        </w:tc>
        <w:tc>
          <w:tcPr>
            <w:tcW w:w="1275" w:type="dxa"/>
            <w:tcBorders>
              <w:top w:val="single" w:sz="4" w:space="0" w:color="auto"/>
              <w:left w:val="single" w:sz="4" w:space="0" w:color="auto"/>
              <w:bottom w:val="single" w:sz="4" w:space="0" w:color="auto"/>
              <w:right w:val="single" w:sz="4" w:space="0" w:color="auto"/>
            </w:tcBorders>
            <w:vAlign w:val="center"/>
          </w:tcPr>
          <w:p w14:paraId="5AE7A9D7" w14:textId="477F8D4B" w:rsidR="00790DD4" w:rsidRPr="000D67C6" w:rsidRDefault="002C4DDE"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(7,</w:t>
            </w:r>
            <w:r w:rsidR="005C576D" w:rsidRPr="000D67C6">
              <w:rPr>
                <w:rFonts w:ascii="Arial" w:eastAsia="Verdana" w:hAnsi="Arial" w:cs="Arial"/>
                <w:b/>
                <w:sz w:val="20"/>
                <w:szCs w:val="20"/>
                <w:lang w:val="pt-BR"/>
              </w:rPr>
              <w:t>725</w:t>
            </w:r>
            <w:r w:rsidRPr="000D67C6">
              <w:rPr>
                <w:rFonts w:ascii="Arial" w:eastAsia="Verdana" w:hAnsi="Arial" w:cs="Arial"/>
                <w:b/>
                <w:sz w:val="20"/>
                <w:szCs w:val="20"/>
                <w:lang w:val="pt-BR"/>
              </w:rPr>
              <w:t>)</w:t>
            </w:r>
          </w:p>
        </w:tc>
      </w:tr>
      <w:tr w:rsidR="00790DD4" w:rsidRPr="000D67C6" w14:paraId="1485A31C" w14:textId="77777777" w:rsidTr="00B0161A">
        <w:trPr>
          <w:trHeight w:val="297"/>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29D8D26C" w14:textId="77777777" w:rsidR="00790DD4" w:rsidRPr="000D67C6" w:rsidRDefault="00790DD4" w:rsidP="00790DD4">
            <w:pPr>
              <w:pStyle w:val="T1TableStyle"/>
              <w:rPr>
                <w:rFonts w:ascii="Arial" w:eastAsia="Verdana" w:hAnsi="Arial" w:cs="Arial"/>
                <w:b/>
                <w:sz w:val="20"/>
                <w:szCs w:val="20"/>
                <w:lang w:val="pt-BR"/>
              </w:rPr>
            </w:pPr>
            <w:r w:rsidRPr="000D67C6">
              <w:rPr>
                <w:rFonts w:ascii="Arial" w:eastAsia="Verdana" w:hAnsi="Arial" w:cs="Arial"/>
                <w:b/>
                <w:sz w:val="20"/>
                <w:szCs w:val="20"/>
                <w:lang w:val="pt-BR"/>
              </w:rPr>
              <w:t xml:space="preserve">Capital Receipts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7E0D53E5"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993" w:type="dxa"/>
            <w:tcBorders>
              <w:top w:val="single" w:sz="4" w:space="0" w:color="auto"/>
              <w:left w:val="single" w:sz="4" w:space="0" w:color="auto"/>
              <w:bottom w:val="single" w:sz="4" w:space="0" w:color="auto"/>
            </w:tcBorders>
            <w:tcMar>
              <w:top w:w="20" w:type="dxa"/>
              <w:left w:w="20" w:type="dxa"/>
              <w:bottom w:w="20" w:type="dxa"/>
              <w:right w:w="20" w:type="dxa"/>
            </w:tcMar>
            <w:vAlign w:val="center"/>
          </w:tcPr>
          <w:p w14:paraId="60587026"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(21)</w:t>
            </w:r>
          </w:p>
        </w:tc>
        <w:tc>
          <w:tcPr>
            <w:tcW w:w="1134" w:type="dxa"/>
            <w:tcBorders>
              <w:top w:val="single" w:sz="4" w:space="0" w:color="auto"/>
              <w:left w:val="nil"/>
              <w:bottom w:val="single" w:sz="4" w:space="0" w:color="auto"/>
            </w:tcBorders>
            <w:tcMar>
              <w:top w:w="20" w:type="dxa"/>
              <w:left w:w="20" w:type="dxa"/>
              <w:bottom w:w="20" w:type="dxa"/>
              <w:right w:w="20" w:type="dxa"/>
            </w:tcMar>
            <w:vAlign w:val="center"/>
          </w:tcPr>
          <w:p w14:paraId="3BD35AAA"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134" w:type="dxa"/>
            <w:tcBorders>
              <w:top w:val="single" w:sz="4" w:space="0" w:color="auto"/>
              <w:bottom w:val="single" w:sz="4" w:space="0" w:color="auto"/>
              <w:right w:val="single" w:sz="4" w:space="0" w:color="auto"/>
            </w:tcBorders>
            <w:vAlign w:val="center"/>
          </w:tcPr>
          <w:p w14:paraId="364A0513"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21</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0B17129"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134" w:type="dxa"/>
            <w:tcBorders>
              <w:top w:val="single" w:sz="4" w:space="0" w:color="auto"/>
              <w:left w:val="single" w:sz="4" w:space="0" w:color="auto"/>
              <w:bottom w:val="single" w:sz="4" w:space="0" w:color="auto"/>
            </w:tcBorders>
            <w:vAlign w:val="center"/>
          </w:tcPr>
          <w:p w14:paraId="424F01C5" w14:textId="5BD5C285" w:rsidR="00790DD4" w:rsidRPr="000D67C6" w:rsidRDefault="00E66968"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w:t>
            </w:r>
            <w:r w:rsidR="000916A5" w:rsidRPr="000D67C6">
              <w:rPr>
                <w:rFonts w:ascii="Arial" w:eastAsia="Verdana" w:hAnsi="Arial" w:cs="Arial"/>
                <w:b/>
                <w:sz w:val="20"/>
                <w:szCs w:val="20"/>
                <w:lang w:val="pt-BR"/>
              </w:rPr>
              <w:t>18</w:t>
            </w:r>
            <w:r w:rsidRPr="000D67C6">
              <w:rPr>
                <w:rFonts w:ascii="Arial" w:eastAsia="Verdana" w:hAnsi="Arial" w:cs="Arial"/>
                <w:b/>
                <w:sz w:val="20"/>
                <w:szCs w:val="20"/>
                <w:lang w:val="pt-BR"/>
              </w:rPr>
              <w:t>)</w:t>
            </w:r>
          </w:p>
        </w:tc>
        <w:tc>
          <w:tcPr>
            <w:tcW w:w="1134" w:type="dxa"/>
            <w:tcBorders>
              <w:top w:val="single" w:sz="4" w:space="0" w:color="auto"/>
              <w:left w:val="nil"/>
              <w:bottom w:val="single" w:sz="4" w:space="0" w:color="auto"/>
            </w:tcBorders>
            <w:vAlign w:val="center"/>
          </w:tcPr>
          <w:p w14:paraId="6C03AE2B" w14:textId="77777777" w:rsidR="00790DD4" w:rsidRPr="000D67C6" w:rsidRDefault="002C4DDE"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275" w:type="dxa"/>
            <w:tcBorders>
              <w:top w:val="single" w:sz="4" w:space="0" w:color="auto"/>
              <w:bottom w:val="single" w:sz="4" w:space="0" w:color="auto"/>
              <w:right w:val="single" w:sz="4" w:space="0" w:color="auto"/>
            </w:tcBorders>
            <w:vAlign w:val="center"/>
          </w:tcPr>
          <w:p w14:paraId="643D8C06" w14:textId="78590405" w:rsidR="00790DD4" w:rsidRPr="000D67C6" w:rsidRDefault="000916A5"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118</w:t>
            </w:r>
          </w:p>
        </w:tc>
        <w:tc>
          <w:tcPr>
            <w:tcW w:w="1275" w:type="dxa"/>
            <w:tcBorders>
              <w:top w:val="single" w:sz="4" w:space="0" w:color="auto"/>
              <w:left w:val="single" w:sz="4" w:space="0" w:color="auto"/>
              <w:bottom w:val="single" w:sz="4" w:space="0" w:color="auto"/>
              <w:right w:val="single" w:sz="4" w:space="0" w:color="auto"/>
            </w:tcBorders>
            <w:vAlign w:val="center"/>
          </w:tcPr>
          <w:p w14:paraId="2831AB4E" w14:textId="77777777" w:rsidR="00790DD4" w:rsidRPr="000D67C6" w:rsidRDefault="002C4DDE"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r>
      <w:tr w:rsidR="00790DD4" w:rsidRPr="000D67C6" w14:paraId="34F6D328" w14:textId="77777777" w:rsidTr="00B0161A">
        <w:trPr>
          <w:trHeight w:val="598"/>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65CF1F7E" w14:textId="77777777" w:rsidR="00790DD4" w:rsidRPr="000D67C6" w:rsidRDefault="00790DD4" w:rsidP="00790DD4">
            <w:pPr>
              <w:pStyle w:val="T1TableStyle"/>
              <w:rPr>
                <w:rFonts w:ascii="Arial" w:eastAsia="Verdana" w:hAnsi="Arial" w:cs="Arial"/>
                <w:b/>
                <w:sz w:val="20"/>
                <w:szCs w:val="20"/>
                <w:lang w:val="pt-BR"/>
              </w:rPr>
            </w:pPr>
            <w:r w:rsidRPr="000D67C6">
              <w:rPr>
                <w:rFonts w:ascii="Arial" w:eastAsia="Verdana" w:hAnsi="Arial" w:cs="Arial"/>
                <w:b/>
                <w:sz w:val="20"/>
                <w:szCs w:val="20"/>
                <w:lang w:val="pt-BR"/>
              </w:rPr>
              <w:t>Total Usable Reserves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55F81910"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(8,995)</w:t>
            </w:r>
          </w:p>
        </w:tc>
        <w:tc>
          <w:tcPr>
            <w:tcW w:w="993" w:type="dxa"/>
            <w:tcBorders>
              <w:top w:val="single" w:sz="4" w:space="0" w:color="auto"/>
              <w:left w:val="single" w:sz="4" w:space="0" w:color="auto"/>
              <w:bottom w:val="single" w:sz="4" w:space="0" w:color="auto"/>
            </w:tcBorders>
            <w:tcMar>
              <w:top w:w="20" w:type="dxa"/>
              <w:left w:w="20" w:type="dxa"/>
              <w:bottom w:w="20" w:type="dxa"/>
              <w:right w:w="20" w:type="dxa"/>
            </w:tcMar>
            <w:vAlign w:val="center"/>
          </w:tcPr>
          <w:p w14:paraId="29E6510E"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(386)</w:t>
            </w:r>
          </w:p>
        </w:tc>
        <w:tc>
          <w:tcPr>
            <w:tcW w:w="1134" w:type="dxa"/>
            <w:tcBorders>
              <w:top w:val="single" w:sz="4" w:space="0" w:color="auto"/>
              <w:left w:val="nil"/>
              <w:bottom w:val="single" w:sz="4" w:space="0" w:color="auto"/>
            </w:tcBorders>
            <w:tcMar>
              <w:top w:w="20" w:type="dxa"/>
              <w:left w:w="20" w:type="dxa"/>
              <w:bottom w:w="20" w:type="dxa"/>
              <w:right w:w="20" w:type="dxa"/>
            </w:tcMar>
            <w:vAlign w:val="center"/>
          </w:tcPr>
          <w:p w14:paraId="03C0628D"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5</w:t>
            </w:r>
          </w:p>
        </w:tc>
        <w:tc>
          <w:tcPr>
            <w:tcW w:w="1134" w:type="dxa"/>
            <w:tcBorders>
              <w:top w:val="single" w:sz="4" w:space="0" w:color="auto"/>
              <w:bottom w:val="single" w:sz="4" w:space="0" w:color="auto"/>
              <w:right w:val="single" w:sz="4" w:space="0" w:color="auto"/>
            </w:tcBorders>
            <w:vAlign w:val="center"/>
          </w:tcPr>
          <w:p w14:paraId="0691743F"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1,341</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5255122" w14:textId="77777777" w:rsidR="00790DD4" w:rsidRPr="000D67C6" w:rsidRDefault="00790DD4"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(8,035)</w:t>
            </w:r>
          </w:p>
        </w:tc>
        <w:tc>
          <w:tcPr>
            <w:tcW w:w="1134" w:type="dxa"/>
            <w:tcBorders>
              <w:top w:val="single" w:sz="4" w:space="0" w:color="auto"/>
              <w:left w:val="single" w:sz="4" w:space="0" w:color="auto"/>
              <w:bottom w:val="single" w:sz="4" w:space="0" w:color="auto"/>
            </w:tcBorders>
            <w:vAlign w:val="center"/>
          </w:tcPr>
          <w:p w14:paraId="53A63A53" w14:textId="15315293" w:rsidR="00790DD4" w:rsidRPr="000D67C6" w:rsidRDefault="00800289"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w:t>
            </w:r>
            <w:r w:rsidR="000916A5" w:rsidRPr="000D67C6">
              <w:rPr>
                <w:rFonts w:ascii="Arial" w:eastAsia="Verdana" w:hAnsi="Arial" w:cs="Arial"/>
                <w:b/>
                <w:sz w:val="20"/>
                <w:szCs w:val="20"/>
                <w:lang w:val="pt-BR"/>
              </w:rPr>
              <w:t>1</w:t>
            </w:r>
            <w:r w:rsidR="00AB43FD" w:rsidRPr="000D67C6">
              <w:rPr>
                <w:rFonts w:ascii="Arial" w:eastAsia="Verdana" w:hAnsi="Arial" w:cs="Arial"/>
                <w:b/>
                <w:sz w:val="20"/>
                <w:szCs w:val="20"/>
                <w:lang w:val="pt-BR"/>
              </w:rPr>
              <w:t>,</w:t>
            </w:r>
            <w:r w:rsidR="000916A5" w:rsidRPr="000D67C6">
              <w:rPr>
                <w:rFonts w:ascii="Arial" w:eastAsia="Verdana" w:hAnsi="Arial" w:cs="Arial"/>
                <w:b/>
                <w:sz w:val="20"/>
                <w:szCs w:val="20"/>
                <w:lang w:val="pt-BR"/>
              </w:rPr>
              <w:t>020</w:t>
            </w:r>
            <w:r w:rsidRPr="000D67C6">
              <w:rPr>
                <w:rFonts w:ascii="Arial" w:eastAsia="Verdana" w:hAnsi="Arial" w:cs="Arial"/>
                <w:b/>
                <w:sz w:val="20"/>
                <w:szCs w:val="20"/>
                <w:lang w:val="pt-BR"/>
              </w:rPr>
              <w:t>)</w:t>
            </w:r>
          </w:p>
        </w:tc>
        <w:tc>
          <w:tcPr>
            <w:tcW w:w="1134" w:type="dxa"/>
            <w:tcBorders>
              <w:top w:val="single" w:sz="4" w:space="0" w:color="auto"/>
              <w:left w:val="nil"/>
              <w:bottom w:val="single" w:sz="4" w:space="0" w:color="auto"/>
            </w:tcBorders>
            <w:vAlign w:val="center"/>
          </w:tcPr>
          <w:p w14:paraId="2B186C1A" w14:textId="0D617FD9" w:rsidR="00790DD4" w:rsidRPr="000D67C6" w:rsidRDefault="00800289"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0</w:t>
            </w:r>
          </w:p>
        </w:tc>
        <w:tc>
          <w:tcPr>
            <w:tcW w:w="1275" w:type="dxa"/>
            <w:tcBorders>
              <w:top w:val="single" w:sz="4" w:space="0" w:color="auto"/>
              <w:bottom w:val="single" w:sz="4" w:space="0" w:color="auto"/>
              <w:right w:val="single" w:sz="4" w:space="0" w:color="auto"/>
            </w:tcBorders>
            <w:vAlign w:val="center"/>
          </w:tcPr>
          <w:p w14:paraId="62F7F523" w14:textId="16C605E3" w:rsidR="00AD1042" w:rsidRPr="000D67C6" w:rsidRDefault="000916A5" w:rsidP="00AD1042">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450</w:t>
            </w:r>
          </w:p>
        </w:tc>
        <w:tc>
          <w:tcPr>
            <w:tcW w:w="1275" w:type="dxa"/>
            <w:tcBorders>
              <w:top w:val="single" w:sz="4" w:space="0" w:color="auto"/>
              <w:left w:val="single" w:sz="4" w:space="0" w:color="auto"/>
              <w:bottom w:val="single" w:sz="4" w:space="0" w:color="auto"/>
              <w:right w:val="single" w:sz="4" w:space="0" w:color="auto"/>
            </w:tcBorders>
            <w:vAlign w:val="center"/>
          </w:tcPr>
          <w:p w14:paraId="5D843BCB" w14:textId="77777777" w:rsidR="00790DD4" w:rsidRPr="000D67C6" w:rsidRDefault="00AD1042" w:rsidP="00790DD4">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(8,6</w:t>
            </w:r>
            <w:r w:rsidR="00B0161A" w:rsidRPr="000D67C6">
              <w:rPr>
                <w:rFonts w:ascii="Arial" w:eastAsia="Verdana" w:hAnsi="Arial" w:cs="Arial"/>
                <w:b/>
                <w:sz w:val="20"/>
                <w:szCs w:val="20"/>
                <w:lang w:val="pt-BR"/>
              </w:rPr>
              <w:t>05</w:t>
            </w:r>
            <w:r w:rsidRPr="000D67C6">
              <w:rPr>
                <w:rFonts w:ascii="Arial" w:eastAsia="Verdana" w:hAnsi="Arial" w:cs="Arial"/>
                <w:b/>
                <w:sz w:val="20"/>
                <w:szCs w:val="20"/>
                <w:lang w:val="pt-BR"/>
              </w:rPr>
              <w:t>)</w:t>
            </w:r>
          </w:p>
        </w:tc>
      </w:tr>
    </w:tbl>
    <w:p w14:paraId="7C0F7B65" w14:textId="77777777" w:rsidR="00166E4B" w:rsidRPr="000D67C6" w:rsidRDefault="006C6EFD" w:rsidP="006C6EFD">
      <w:pPr>
        <w:pStyle w:val="Normal0"/>
        <w:spacing w:after="160" w:line="259" w:lineRule="auto"/>
        <w:rPr>
          <w:rFonts w:ascii="Arial" w:eastAsia="Calibri" w:hAnsi="Arial" w:cs="Arial"/>
          <w:sz w:val="20"/>
          <w:szCs w:val="20"/>
          <w:lang w:val="pt-BR"/>
        </w:rPr>
        <w:sectPr w:rsidR="00166E4B" w:rsidRPr="000D67C6" w:rsidSect="00FB7274">
          <w:pgSz w:w="16840" w:h="11900" w:orient="landscape"/>
          <w:pgMar w:top="993" w:right="1440" w:bottom="1276" w:left="1440" w:header="708" w:footer="708" w:gutter="0"/>
          <w:cols w:space="708"/>
          <w:docGrid w:linePitch="360"/>
        </w:sectPr>
      </w:pPr>
      <w:r w:rsidRPr="000D67C6">
        <w:rPr>
          <w:rFonts w:ascii="Arial" w:eastAsia="Calibri" w:hAnsi="Arial" w:cs="Arial"/>
          <w:sz w:val="20"/>
          <w:szCs w:val="20"/>
          <w:lang w:val="pt-BR"/>
        </w:rPr>
        <w:t xml:space="preserve"> </w:t>
      </w:r>
    </w:p>
    <w:p w14:paraId="78FDD809" w14:textId="77777777" w:rsidR="006C6EFD" w:rsidRPr="000D67C6" w:rsidRDefault="006C6EFD" w:rsidP="006C6EFD">
      <w:pPr>
        <w:pStyle w:val="Normal0"/>
        <w:spacing w:after="160" w:line="259" w:lineRule="auto"/>
        <w:rPr>
          <w:rFonts w:ascii="Arial" w:eastAsia="Calibri" w:hAnsi="Arial" w:cs="Arial"/>
          <w:sz w:val="22"/>
          <w:szCs w:val="22"/>
          <w:lang w:val="pt-BR"/>
        </w:rPr>
      </w:pPr>
      <w:r w:rsidRPr="000D67C6">
        <w:rPr>
          <w:rFonts w:ascii="Arial" w:eastAsia="Calibri" w:hAnsi="Arial" w:cs="Arial"/>
          <w:sz w:val="22"/>
          <w:szCs w:val="22"/>
          <w:lang w:val="pt-BR"/>
        </w:rPr>
        <w:t>An overview of the purpose of the Usable Reserves held by the Authority is detailed in the following table:</w:t>
      </w:r>
    </w:p>
    <w:p w14:paraId="3D55C555" w14:textId="77777777" w:rsidR="007E0593" w:rsidRPr="000D67C6" w:rsidRDefault="007E0593" w:rsidP="007E0593">
      <w:pPr>
        <w:pStyle w:val="Normal0"/>
        <w:spacing w:line="259" w:lineRule="auto"/>
        <w:rPr>
          <w:rFonts w:ascii="Arial" w:hAnsi="Arial" w:cs="Arial"/>
          <w:sz w:val="28"/>
          <w:lang w:val="pt-BR"/>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587"/>
      </w:tblGrid>
      <w:tr w:rsidR="006C6EFD" w:rsidRPr="000D67C6" w14:paraId="3F378402" w14:textId="77777777" w:rsidTr="007457BC">
        <w:trPr>
          <w:trHeight w:val="288"/>
        </w:trPr>
        <w:tc>
          <w:tcPr>
            <w:tcW w:w="2060" w:type="dxa"/>
            <w:shd w:val="clear" w:color="auto" w:fill="auto"/>
            <w:hideMark/>
          </w:tcPr>
          <w:p w14:paraId="1E8035A8" w14:textId="77777777" w:rsidR="006C6EFD" w:rsidRPr="000D67C6" w:rsidRDefault="006C6EFD" w:rsidP="007457BC">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Name</w:t>
            </w:r>
          </w:p>
        </w:tc>
        <w:tc>
          <w:tcPr>
            <w:tcW w:w="6587" w:type="dxa"/>
            <w:shd w:val="clear" w:color="auto" w:fill="auto"/>
            <w:hideMark/>
          </w:tcPr>
          <w:p w14:paraId="37973776" w14:textId="77777777" w:rsidR="006C6EFD" w:rsidRPr="000D67C6" w:rsidRDefault="006C6EFD" w:rsidP="007457BC">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Purpose</w:t>
            </w:r>
          </w:p>
        </w:tc>
      </w:tr>
      <w:tr w:rsidR="006C6EFD" w:rsidRPr="000D67C6" w14:paraId="764805F1" w14:textId="77777777" w:rsidTr="007457BC">
        <w:trPr>
          <w:trHeight w:val="686"/>
        </w:trPr>
        <w:tc>
          <w:tcPr>
            <w:tcW w:w="2060" w:type="dxa"/>
            <w:shd w:val="clear" w:color="auto" w:fill="auto"/>
          </w:tcPr>
          <w:p w14:paraId="4FD007E8"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General Fund Balance</w:t>
            </w:r>
          </w:p>
        </w:tc>
        <w:tc>
          <w:tcPr>
            <w:tcW w:w="6587" w:type="dxa"/>
            <w:shd w:val="clear" w:color="auto" w:fill="auto"/>
          </w:tcPr>
          <w:p w14:paraId="7ACC3E8C" w14:textId="77777777" w:rsidR="006C6EFD" w:rsidRPr="000D67C6" w:rsidRDefault="00EA76D7"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Non-Earmarked Reserve </w:t>
            </w:r>
            <w:r w:rsidR="007B1F50" w:rsidRPr="000D67C6">
              <w:rPr>
                <w:rFonts w:ascii="Arial" w:eastAsia="Times New Roman" w:hAnsi="Arial" w:cs="Arial"/>
                <w:color w:val="000000"/>
                <w:sz w:val="22"/>
                <w:szCs w:val="22"/>
                <w:lang w:val="en-GB" w:eastAsia="en-GB"/>
              </w:rPr>
              <w:t xml:space="preserve">maintained to cushion the impact of emergencies, to offset </w:t>
            </w:r>
            <w:r w:rsidR="00D37805" w:rsidRPr="000D67C6">
              <w:rPr>
                <w:rFonts w:ascii="Arial" w:eastAsia="Times New Roman" w:hAnsi="Arial" w:cs="Arial"/>
                <w:color w:val="000000"/>
                <w:sz w:val="22"/>
                <w:szCs w:val="22"/>
                <w:lang w:val="en-GB" w:eastAsia="en-GB"/>
              </w:rPr>
              <w:t>the impact of unforeseen events</w:t>
            </w:r>
            <w:r w:rsidR="007B1F50" w:rsidRPr="000D67C6">
              <w:rPr>
                <w:rFonts w:ascii="Arial" w:eastAsia="Times New Roman" w:hAnsi="Arial" w:cs="Arial"/>
                <w:color w:val="000000"/>
                <w:sz w:val="22"/>
                <w:szCs w:val="22"/>
                <w:lang w:val="en-GB" w:eastAsia="en-GB"/>
              </w:rPr>
              <w:t xml:space="preserve">. </w:t>
            </w:r>
          </w:p>
          <w:p w14:paraId="088876F3" w14:textId="77777777" w:rsidR="007B1F50" w:rsidRPr="000D67C6" w:rsidRDefault="007B1F50" w:rsidP="007E0593">
            <w:pPr>
              <w:jc w:val="both"/>
              <w:rPr>
                <w:rFonts w:ascii="Arial" w:eastAsia="Times New Roman" w:hAnsi="Arial" w:cs="Arial"/>
                <w:color w:val="000000"/>
                <w:sz w:val="22"/>
                <w:szCs w:val="22"/>
                <w:lang w:val="en-GB" w:eastAsia="en-GB"/>
              </w:rPr>
            </w:pPr>
          </w:p>
        </w:tc>
      </w:tr>
      <w:tr w:rsidR="006C6EFD" w:rsidRPr="000D67C6" w14:paraId="2EE749B0" w14:textId="77777777" w:rsidTr="007457BC">
        <w:trPr>
          <w:trHeight w:val="686"/>
        </w:trPr>
        <w:tc>
          <w:tcPr>
            <w:tcW w:w="2060" w:type="dxa"/>
            <w:shd w:val="clear" w:color="auto" w:fill="auto"/>
            <w:hideMark/>
          </w:tcPr>
          <w:p w14:paraId="4418DB32"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Levy Equal</w:t>
            </w:r>
            <w:r w:rsidR="00B04E30" w:rsidRPr="000D67C6">
              <w:rPr>
                <w:rFonts w:ascii="Arial" w:eastAsia="Times New Roman" w:hAnsi="Arial" w:cs="Arial"/>
                <w:color w:val="000000"/>
                <w:sz w:val="22"/>
                <w:szCs w:val="22"/>
                <w:lang w:val="en-GB" w:eastAsia="en-GB"/>
              </w:rPr>
              <w:t>isation</w:t>
            </w:r>
          </w:p>
        </w:tc>
        <w:tc>
          <w:tcPr>
            <w:tcW w:w="6587" w:type="dxa"/>
            <w:shd w:val="clear" w:color="auto" w:fill="auto"/>
            <w:hideMark/>
          </w:tcPr>
          <w:p w14:paraId="089DF5B1" w14:textId="77777777" w:rsidR="006C6EFD" w:rsidRPr="000D67C6" w:rsidRDefault="00542D87"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To be u</w:t>
            </w:r>
            <w:r w:rsidR="006C6EFD" w:rsidRPr="000D67C6">
              <w:rPr>
                <w:rFonts w:ascii="Arial" w:eastAsia="Times New Roman" w:hAnsi="Arial" w:cs="Arial"/>
                <w:color w:val="000000"/>
                <w:sz w:val="22"/>
                <w:szCs w:val="22"/>
                <w:lang w:val="en-GB" w:eastAsia="en-GB"/>
              </w:rPr>
              <w:t>sed to "smooth" the changes in the levy charged each year to the constituent Unitary Authorities.</w:t>
            </w:r>
          </w:p>
        </w:tc>
      </w:tr>
      <w:tr w:rsidR="006C6EFD" w:rsidRPr="000D67C6" w14:paraId="3CF431D6" w14:textId="77777777" w:rsidTr="007457BC">
        <w:trPr>
          <w:trHeight w:val="891"/>
        </w:trPr>
        <w:tc>
          <w:tcPr>
            <w:tcW w:w="2060" w:type="dxa"/>
            <w:shd w:val="clear" w:color="auto" w:fill="auto"/>
            <w:hideMark/>
          </w:tcPr>
          <w:p w14:paraId="7A02BC3A"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Invest to Save</w:t>
            </w:r>
          </w:p>
        </w:tc>
        <w:tc>
          <w:tcPr>
            <w:tcW w:w="6587" w:type="dxa"/>
            <w:shd w:val="clear" w:color="auto" w:fill="auto"/>
            <w:hideMark/>
          </w:tcPr>
          <w:p w14:paraId="55FBEE5C"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Maintained to provide resources to allow the Authority to invest in the transformation of its services and to realise future cost reductions/efficiencies.</w:t>
            </w:r>
          </w:p>
        </w:tc>
      </w:tr>
      <w:tr w:rsidR="006C6EFD" w:rsidRPr="000D67C6" w14:paraId="6AADD47D" w14:textId="77777777" w:rsidTr="007457BC">
        <w:trPr>
          <w:trHeight w:val="864"/>
        </w:trPr>
        <w:tc>
          <w:tcPr>
            <w:tcW w:w="2060" w:type="dxa"/>
            <w:shd w:val="clear" w:color="auto" w:fill="auto"/>
            <w:hideMark/>
          </w:tcPr>
          <w:p w14:paraId="7F28C697"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Capital Fund</w:t>
            </w:r>
          </w:p>
        </w:tc>
        <w:tc>
          <w:tcPr>
            <w:tcW w:w="6587" w:type="dxa"/>
            <w:shd w:val="clear" w:color="auto" w:fill="auto"/>
            <w:hideMark/>
          </w:tcPr>
          <w:p w14:paraId="5A57859E"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Maintained to provide additional resources for the capital programme, providing flexibility to the financing of capital investment.</w:t>
            </w:r>
          </w:p>
        </w:tc>
      </w:tr>
      <w:tr w:rsidR="006C6EFD" w:rsidRPr="000D67C6" w14:paraId="2DE172A8" w14:textId="77777777" w:rsidTr="007457BC">
        <w:trPr>
          <w:trHeight w:val="958"/>
        </w:trPr>
        <w:tc>
          <w:tcPr>
            <w:tcW w:w="2060" w:type="dxa"/>
            <w:shd w:val="clear" w:color="auto" w:fill="auto"/>
            <w:hideMark/>
          </w:tcPr>
          <w:p w14:paraId="29BDB44D"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Major Incidents</w:t>
            </w:r>
          </w:p>
        </w:tc>
        <w:tc>
          <w:tcPr>
            <w:tcW w:w="6587" w:type="dxa"/>
            <w:shd w:val="clear" w:color="auto" w:fill="auto"/>
            <w:hideMark/>
          </w:tcPr>
          <w:p w14:paraId="6DBAAF3C"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Funding set aside for one-off incidents outside routine service delivery activity. Replenished through base budget in future years to maintain the level required to manage major incidents.</w:t>
            </w:r>
          </w:p>
        </w:tc>
      </w:tr>
      <w:tr w:rsidR="006C6EFD" w:rsidRPr="000D67C6" w14:paraId="1CAF0243" w14:textId="77777777" w:rsidTr="007457BC">
        <w:trPr>
          <w:trHeight w:val="864"/>
        </w:trPr>
        <w:tc>
          <w:tcPr>
            <w:tcW w:w="2060" w:type="dxa"/>
            <w:shd w:val="clear" w:color="auto" w:fill="auto"/>
            <w:hideMark/>
          </w:tcPr>
          <w:p w14:paraId="3CF85333"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Fundraising &amp; Miscellaneous Ring-fenced </w:t>
            </w:r>
          </w:p>
        </w:tc>
        <w:tc>
          <w:tcPr>
            <w:tcW w:w="6587" w:type="dxa"/>
            <w:shd w:val="clear" w:color="auto" w:fill="auto"/>
            <w:hideMark/>
          </w:tcPr>
          <w:p w14:paraId="1D9C9FE6"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Surpluses generated by various schemes e.g. car salary sacrifice scheme and money raising events to be used for specific purposes.</w:t>
            </w:r>
          </w:p>
        </w:tc>
      </w:tr>
      <w:tr w:rsidR="006C6EFD" w:rsidRPr="000D67C6" w14:paraId="1AA2B882" w14:textId="77777777" w:rsidTr="007457BC">
        <w:trPr>
          <w:trHeight w:val="696"/>
        </w:trPr>
        <w:tc>
          <w:tcPr>
            <w:tcW w:w="2060" w:type="dxa"/>
            <w:shd w:val="clear" w:color="auto" w:fill="auto"/>
            <w:hideMark/>
          </w:tcPr>
          <w:p w14:paraId="00F697AA"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Software &amp; Communication</w:t>
            </w:r>
          </w:p>
        </w:tc>
        <w:tc>
          <w:tcPr>
            <w:tcW w:w="6587" w:type="dxa"/>
            <w:shd w:val="clear" w:color="auto" w:fill="auto"/>
            <w:hideMark/>
          </w:tcPr>
          <w:p w14:paraId="0F2507A3"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Maintained to provide resources to fund one-off ICT infrastructure investment, and future emergency services network.</w:t>
            </w:r>
          </w:p>
        </w:tc>
      </w:tr>
      <w:tr w:rsidR="006C6EFD" w:rsidRPr="000D67C6" w14:paraId="1391EEFD" w14:textId="77777777" w:rsidTr="007457BC">
        <w:trPr>
          <w:trHeight w:val="1259"/>
        </w:trPr>
        <w:tc>
          <w:tcPr>
            <w:tcW w:w="2060" w:type="dxa"/>
            <w:shd w:val="clear" w:color="auto" w:fill="auto"/>
            <w:hideMark/>
          </w:tcPr>
          <w:p w14:paraId="6F8D0C5B"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Risk Management</w:t>
            </w:r>
          </w:p>
        </w:tc>
        <w:tc>
          <w:tcPr>
            <w:tcW w:w="6587" w:type="dxa"/>
            <w:shd w:val="clear" w:color="auto" w:fill="auto"/>
            <w:hideMark/>
          </w:tcPr>
          <w:p w14:paraId="111FFF4D" w14:textId="77777777" w:rsidR="006C6EFD" w:rsidRPr="000D67C6" w:rsidRDefault="006C6EFD"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Maintained to meet the Authority's exposure to claims under its insurance arrangements; to provide flexibility to meet the volatility of the insurance market and to provide resources to take any measures to improve the Authority's risk exposure position.</w:t>
            </w:r>
          </w:p>
        </w:tc>
      </w:tr>
      <w:tr w:rsidR="006C6EFD" w:rsidRPr="000D67C6" w14:paraId="617E072B" w14:textId="77777777" w:rsidTr="006C6EFD">
        <w:trPr>
          <w:trHeight w:val="840"/>
        </w:trPr>
        <w:tc>
          <w:tcPr>
            <w:tcW w:w="2060" w:type="dxa"/>
            <w:shd w:val="clear" w:color="auto" w:fill="auto"/>
          </w:tcPr>
          <w:p w14:paraId="608A145C"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Minimum Revenue Provision</w:t>
            </w:r>
          </w:p>
        </w:tc>
        <w:tc>
          <w:tcPr>
            <w:tcW w:w="6587" w:type="dxa"/>
            <w:shd w:val="clear" w:color="auto" w:fill="auto"/>
          </w:tcPr>
          <w:p w14:paraId="2C3BECF5" w14:textId="77777777" w:rsidR="006C6EFD" w:rsidRPr="000D67C6" w:rsidRDefault="006631E7" w:rsidP="007E0593">
            <w:pPr>
              <w:jc w:val="both"/>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Welsh Government are currently reviewing MRP guidance and it is deemed prudent to set up an Earmarked Reserve to protect the Authority from the impact of potential changes to guidance.</w:t>
            </w:r>
          </w:p>
          <w:p w14:paraId="11FE3D30" w14:textId="77777777" w:rsidR="006631E7" w:rsidRPr="000D67C6" w:rsidRDefault="006631E7" w:rsidP="007E0593">
            <w:pPr>
              <w:jc w:val="both"/>
              <w:rPr>
                <w:rFonts w:ascii="Arial" w:eastAsia="Times New Roman" w:hAnsi="Arial" w:cs="Arial"/>
                <w:color w:val="000000"/>
                <w:sz w:val="22"/>
                <w:szCs w:val="22"/>
                <w:lang w:val="en-GB" w:eastAsia="en-GB"/>
              </w:rPr>
            </w:pPr>
          </w:p>
        </w:tc>
      </w:tr>
      <w:tr w:rsidR="00E47BC7" w:rsidRPr="000D67C6" w14:paraId="7F8C1EEB" w14:textId="77777777" w:rsidTr="0093429D">
        <w:trPr>
          <w:trHeight w:val="840"/>
        </w:trPr>
        <w:tc>
          <w:tcPr>
            <w:tcW w:w="2060" w:type="dxa"/>
            <w:shd w:val="clear" w:color="auto" w:fill="auto"/>
          </w:tcPr>
          <w:p w14:paraId="3AE5E752" w14:textId="77777777" w:rsidR="00E47BC7" w:rsidRPr="000D67C6" w:rsidRDefault="00E47BC7" w:rsidP="0093429D">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Employees &amp; Pension</w:t>
            </w:r>
          </w:p>
        </w:tc>
        <w:tc>
          <w:tcPr>
            <w:tcW w:w="6587" w:type="dxa"/>
            <w:shd w:val="clear" w:color="auto" w:fill="auto"/>
          </w:tcPr>
          <w:p w14:paraId="20E80171" w14:textId="77777777" w:rsidR="00E47BC7" w:rsidRPr="000D67C6" w:rsidRDefault="00E47BC7" w:rsidP="0093429D">
            <w:pPr>
              <w:pStyle w:val="Normal0"/>
              <w:spacing w:after="160" w:line="259" w:lineRule="auto"/>
              <w:jc w:val="both"/>
              <w:rPr>
                <w:rFonts w:ascii="Arial" w:eastAsia="Calibri" w:hAnsi="Arial" w:cs="Arial"/>
                <w:sz w:val="22"/>
                <w:szCs w:val="22"/>
                <w:lang w:val="pt-BR"/>
              </w:rPr>
            </w:pPr>
            <w:r w:rsidRPr="000D67C6">
              <w:rPr>
                <w:rFonts w:ascii="Arial" w:eastAsia="Calibri" w:hAnsi="Arial" w:cs="Arial"/>
                <w:sz w:val="22"/>
                <w:szCs w:val="22"/>
                <w:lang w:val="pt-BR"/>
              </w:rPr>
              <w:t>Maintained to meet one off costs associated with employee</w:t>
            </w:r>
            <w:r w:rsidR="0024077D" w:rsidRPr="000D67C6">
              <w:rPr>
                <w:rFonts w:ascii="Arial" w:eastAsia="Calibri" w:hAnsi="Arial" w:cs="Arial"/>
                <w:sz w:val="22"/>
                <w:szCs w:val="22"/>
                <w:lang w:val="pt-BR"/>
              </w:rPr>
              <w:t>s</w:t>
            </w:r>
            <w:r w:rsidRPr="000D67C6">
              <w:rPr>
                <w:rFonts w:ascii="Arial" w:eastAsia="Calibri" w:hAnsi="Arial" w:cs="Arial"/>
                <w:sz w:val="22"/>
                <w:szCs w:val="22"/>
                <w:lang w:val="pt-BR"/>
              </w:rPr>
              <w:t>: e.g.  pensions ombudsman, employment tribunals, redundancy.</w:t>
            </w:r>
          </w:p>
        </w:tc>
      </w:tr>
      <w:tr w:rsidR="006C6EFD" w:rsidRPr="000D67C6" w14:paraId="09B9D612" w14:textId="77777777" w:rsidTr="006C6EFD">
        <w:trPr>
          <w:trHeight w:val="840"/>
        </w:trPr>
        <w:tc>
          <w:tcPr>
            <w:tcW w:w="2060" w:type="dxa"/>
            <w:shd w:val="clear" w:color="auto" w:fill="auto"/>
          </w:tcPr>
          <w:p w14:paraId="3D8B1987" w14:textId="77777777" w:rsidR="006C6EFD" w:rsidRPr="000D67C6" w:rsidRDefault="006C6EFD" w:rsidP="007457BC">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Capital Receipts</w:t>
            </w:r>
          </w:p>
        </w:tc>
        <w:tc>
          <w:tcPr>
            <w:tcW w:w="6587" w:type="dxa"/>
            <w:shd w:val="clear" w:color="auto" w:fill="auto"/>
          </w:tcPr>
          <w:p w14:paraId="1C5F2923" w14:textId="77777777" w:rsidR="006C6EFD" w:rsidRPr="000D67C6" w:rsidRDefault="00BE2FBE" w:rsidP="007E0593">
            <w:pPr>
              <w:pStyle w:val="Normal0"/>
              <w:spacing w:after="160" w:line="259" w:lineRule="auto"/>
              <w:jc w:val="both"/>
              <w:rPr>
                <w:rFonts w:ascii="Arial" w:eastAsia="Times New Roman" w:hAnsi="Arial" w:cs="Arial"/>
                <w:color w:val="000000"/>
                <w:sz w:val="22"/>
                <w:szCs w:val="22"/>
                <w:lang w:val="en-GB" w:eastAsia="en-GB"/>
              </w:rPr>
            </w:pPr>
            <w:r w:rsidRPr="000D67C6">
              <w:rPr>
                <w:rFonts w:ascii="Arial" w:eastAsia="Calibri" w:hAnsi="Arial" w:cs="Arial"/>
                <w:sz w:val="22"/>
                <w:szCs w:val="22"/>
                <w:lang w:val="pt-BR"/>
              </w:rPr>
              <w:t xml:space="preserve">Holds proceeeds </w:t>
            </w:r>
            <w:r w:rsidR="006631E7" w:rsidRPr="000D67C6">
              <w:rPr>
                <w:rFonts w:ascii="Arial" w:eastAsia="Calibri" w:hAnsi="Arial" w:cs="Arial"/>
                <w:sz w:val="22"/>
                <w:szCs w:val="22"/>
                <w:lang w:val="pt-BR"/>
              </w:rPr>
              <w:t xml:space="preserve">from the sale of assets and are available to finance capital expenditure in future years. </w:t>
            </w:r>
          </w:p>
        </w:tc>
      </w:tr>
    </w:tbl>
    <w:p w14:paraId="3956266A" w14:textId="77777777" w:rsidR="006613FF" w:rsidRPr="000D67C6" w:rsidRDefault="006613FF" w:rsidP="006613FF">
      <w:pPr>
        <w:rPr>
          <w:lang w:val="en-GB"/>
        </w:rPr>
      </w:pPr>
    </w:p>
    <w:p w14:paraId="390C7AFD" w14:textId="77777777" w:rsidR="006C6EFD" w:rsidRPr="000D67C6" w:rsidRDefault="006C6EFD">
      <w:pPr>
        <w:rPr>
          <w:rFonts w:ascii="Arial" w:eastAsiaTheme="majorEastAsia" w:hAnsi="Arial" w:cs="Arial"/>
          <w:b/>
          <w:sz w:val="28"/>
          <w:szCs w:val="32"/>
          <w:lang w:val="en-GB"/>
        </w:rPr>
      </w:pPr>
      <w:r w:rsidRPr="000D67C6">
        <w:rPr>
          <w:rFonts w:ascii="Arial" w:hAnsi="Arial" w:cs="Arial"/>
          <w:sz w:val="28"/>
          <w:lang w:val="en-GB"/>
        </w:rPr>
        <w:br w:type="page"/>
      </w:r>
    </w:p>
    <w:p w14:paraId="2ED70484" w14:textId="77777777" w:rsidR="008F013B" w:rsidRPr="000D67C6" w:rsidRDefault="008D0321" w:rsidP="00C97EE1">
      <w:pPr>
        <w:pStyle w:val="Heading1"/>
        <w:spacing w:before="0" w:line="259" w:lineRule="auto"/>
        <w:rPr>
          <w:rFonts w:ascii="Arial" w:hAnsi="Arial" w:cs="Arial"/>
          <w:sz w:val="28"/>
          <w:lang w:val="en-GB"/>
        </w:rPr>
      </w:pPr>
      <w:r w:rsidRPr="000D67C6">
        <w:rPr>
          <w:rFonts w:ascii="Arial" w:hAnsi="Arial" w:cs="Arial"/>
          <w:sz w:val="28"/>
          <w:lang w:val="en-GB"/>
        </w:rPr>
        <w:t>Note 10</w:t>
      </w:r>
      <w:r w:rsidR="008F013B" w:rsidRPr="000D67C6">
        <w:rPr>
          <w:rFonts w:ascii="Arial" w:hAnsi="Arial" w:cs="Arial"/>
          <w:sz w:val="28"/>
          <w:lang w:val="en-GB"/>
        </w:rPr>
        <w:t xml:space="preserve"> - Financing and Investment Income and Expenditure</w:t>
      </w:r>
    </w:p>
    <w:tbl>
      <w:tblPr>
        <w:tblW w:w="9214" w:type="dxa"/>
        <w:tblLayout w:type="fixed"/>
        <w:tblLook w:val="04A0" w:firstRow="1" w:lastRow="0" w:firstColumn="1" w:lastColumn="0" w:noHBand="0" w:noVBand="1"/>
      </w:tblPr>
      <w:tblGrid>
        <w:gridCol w:w="1276"/>
        <w:gridCol w:w="239"/>
        <w:gridCol w:w="6565"/>
        <w:gridCol w:w="1134"/>
      </w:tblGrid>
      <w:tr w:rsidR="00464E99" w:rsidRPr="000D67C6" w14:paraId="389B8479" w14:textId="77777777" w:rsidTr="00673E3A">
        <w:trPr>
          <w:trHeight w:val="300"/>
        </w:trPr>
        <w:tc>
          <w:tcPr>
            <w:tcW w:w="1276" w:type="dxa"/>
            <w:shd w:val="clear" w:color="auto" w:fill="auto"/>
            <w:tcMar>
              <w:top w:w="20" w:type="dxa"/>
              <w:left w:w="20" w:type="dxa"/>
              <w:bottom w:w="20" w:type="dxa"/>
              <w:right w:w="20" w:type="dxa"/>
            </w:tcMar>
            <w:vAlign w:val="bottom"/>
          </w:tcPr>
          <w:p w14:paraId="4EC03DC5" w14:textId="77777777" w:rsidR="00464E99" w:rsidRPr="000D67C6" w:rsidRDefault="00591F0F" w:rsidP="008D0321">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790DD4"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790DD4" w:rsidRPr="000D67C6">
              <w:rPr>
                <w:rFonts w:ascii="Arial" w:eastAsia="Verdana" w:hAnsi="Arial" w:cs="Arial"/>
                <w:b/>
                <w:sz w:val="22"/>
                <w:szCs w:val="22"/>
                <w:lang w:val="en-GB"/>
              </w:rPr>
              <w:t>8</w:t>
            </w:r>
          </w:p>
        </w:tc>
        <w:tc>
          <w:tcPr>
            <w:tcW w:w="239" w:type="dxa"/>
            <w:shd w:val="clear" w:color="auto" w:fill="auto"/>
            <w:tcMar>
              <w:top w:w="20" w:type="dxa"/>
              <w:left w:w="20" w:type="dxa"/>
              <w:bottom w:w="20" w:type="dxa"/>
              <w:right w:w="20" w:type="dxa"/>
            </w:tcMar>
            <w:vAlign w:val="bottom"/>
          </w:tcPr>
          <w:p w14:paraId="400E99B7"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6565" w:type="dxa"/>
            <w:shd w:val="clear" w:color="auto" w:fill="auto"/>
            <w:tcMar>
              <w:top w:w="20" w:type="dxa"/>
              <w:left w:w="20" w:type="dxa"/>
              <w:bottom w:w="20" w:type="dxa"/>
              <w:right w:w="20" w:type="dxa"/>
            </w:tcMar>
            <w:vAlign w:val="bottom"/>
          </w:tcPr>
          <w:p w14:paraId="0B2BD195" w14:textId="77777777" w:rsidR="00464E99" w:rsidRPr="000D67C6" w:rsidRDefault="008F013B" w:rsidP="008D0321">
            <w:pPr>
              <w:pStyle w:val="T1TableStyle"/>
              <w:jc w:val="right"/>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134" w:type="dxa"/>
            <w:shd w:val="clear" w:color="auto" w:fill="auto"/>
            <w:tcMar>
              <w:top w:w="20" w:type="dxa"/>
              <w:left w:w="20" w:type="dxa"/>
              <w:bottom w:w="20" w:type="dxa"/>
              <w:right w:w="20" w:type="dxa"/>
            </w:tcMar>
            <w:vAlign w:val="bottom"/>
          </w:tcPr>
          <w:p w14:paraId="2B13FB46" w14:textId="77777777" w:rsidR="00464E99" w:rsidRPr="000D67C6" w:rsidRDefault="00591F0F" w:rsidP="008D0321">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790DD4"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790DD4" w:rsidRPr="000D67C6">
              <w:rPr>
                <w:rFonts w:ascii="Arial" w:eastAsia="Verdana" w:hAnsi="Arial" w:cs="Arial"/>
                <w:b/>
                <w:sz w:val="22"/>
                <w:szCs w:val="22"/>
                <w:lang w:val="en-GB"/>
              </w:rPr>
              <w:t>9</w:t>
            </w:r>
          </w:p>
        </w:tc>
      </w:tr>
      <w:tr w:rsidR="00464E99" w:rsidRPr="000D67C6" w14:paraId="7A41A920" w14:textId="77777777" w:rsidTr="00673E3A">
        <w:trPr>
          <w:trHeight w:val="300"/>
        </w:trPr>
        <w:tc>
          <w:tcPr>
            <w:tcW w:w="1276" w:type="dxa"/>
            <w:tcBorders>
              <w:bottom w:val="single" w:sz="2" w:space="0" w:color="000000"/>
            </w:tcBorders>
            <w:shd w:val="clear" w:color="auto" w:fill="auto"/>
            <w:tcMar>
              <w:top w:w="20" w:type="dxa"/>
              <w:left w:w="20" w:type="dxa"/>
              <w:bottom w:w="20" w:type="dxa"/>
              <w:right w:w="20" w:type="dxa"/>
            </w:tcMar>
          </w:tcPr>
          <w:p w14:paraId="4135D9D8"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9" w:type="dxa"/>
            <w:tcBorders>
              <w:bottom w:val="single" w:sz="2" w:space="0" w:color="000000"/>
            </w:tcBorders>
            <w:shd w:val="clear" w:color="auto" w:fill="auto"/>
            <w:tcMar>
              <w:top w:w="20" w:type="dxa"/>
              <w:left w:w="20" w:type="dxa"/>
              <w:bottom w:w="20" w:type="dxa"/>
              <w:right w:w="20" w:type="dxa"/>
            </w:tcMar>
          </w:tcPr>
          <w:p w14:paraId="49F2FCAC"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565" w:type="dxa"/>
            <w:tcBorders>
              <w:bottom w:val="single" w:sz="2" w:space="0" w:color="000000"/>
            </w:tcBorders>
            <w:shd w:val="clear" w:color="auto" w:fill="auto"/>
            <w:tcMar>
              <w:top w:w="20" w:type="dxa"/>
              <w:left w:w="20" w:type="dxa"/>
              <w:bottom w:w="20" w:type="dxa"/>
              <w:right w:w="20" w:type="dxa"/>
            </w:tcMar>
          </w:tcPr>
          <w:p w14:paraId="09D43E16"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tcBorders>
              <w:bottom w:val="single" w:sz="2" w:space="0" w:color="000000"/>
            </w:tcBorders>
            <w:shd w:val="clear" w:color="auto" w:fill="auto"/>
            <w:tcMar>
              <w:top w:w="20" w:type="dxa"/>
              <w:left w:w="20" w:type="dxa"/>
              <w:bottom w:w="20" w:type="dxa"/>
              <w:right w:w="20" w:type="dxa"/>
            </w:tcMar>
          </w:tcPr>
          <w:p w14:paraId="2E5E7F2D"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790DD4" w:rsidRPr="000D67C6" w14:paraId="1754D432" w14:textId="77777777" w:rsidTr="00673E3A">
        <w:trPr>
          <w:trHeight w:val="326"/>
        </w:trPr>
        <w:tc>
          <w:tcPr>
            <w:tcW w:w="1276" w:type="dxa"/>
            <w:shd w:val="clear" w:color="auto" w:fill="auto"/>
            <w:tcMar>
              <w:top w:w="20" w:type="dxa"/>
              <w:left w:w="20" w:type="dxa"/>
              <w:bottom w:w="20" w:type="dxa"/>
              <w:right w:w="20" w:type="dxa"/>
            </w:tcMar>
          </w:tcPr>
          <w:p w14:paraId="44023147"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774</w:t>
            </w:r>
          </w:p>
        </w:tc>
        <w:tc>
          <w:tcPr>
            <w:tcW w:w="239" w:type="dxa"/>
            <w:shd w:val="clear" w:color="auto" w:fill="auto"/>
            <w:tcMar>
              <w:top w:w="20" w:type="dxa"/>
              <w:left w:w="20" w:type="dxa"/>
              <w:bottom w:w="20" w:type="dxa"/>
              <w:right w:w="20" w:type="dxa"/>
            </w:tcMar>
          </w:tcPr>
          <w:p w14:paraId="232945FD"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565" w:type="dxa"/>
            <w:shd w:val="clear" w:color="auto" w:fill="auto"/>
            <w:tcMar>
              <w:top w:w="20" w:type="dxa"/>
              <w:left w:w="20" w:type="dxa"/>
              <w:bottom w:w="20" w:type="dxa"/>
              <w:right w:w="20" w:type="dxa"/>
            </w:tcMar>
          </w:tcPr>
          <w:p w14:paraId="016EC28C" w14:textId="37C945E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Interest payable and similar charges</w:t>
            </w:r>
          </w:p>
        </w:tc>
        <w:tc>
          <w:tcPr>
            <w:tcW w:w="1134" w:type="dxa"/>
            <w:shd w:val="clear" w:color="auto" w:fill="auto"/>
            <w:tcMar>
              <w:top w:w="20" w:type="dxa"/>
              <w:left w:w="20" w:type="dxa"/>
              <w:bottom w:w="20" w:type="dxa"/>
              <w:right w:w="20" w:type="dxa"/>
            </w:tcMar>
          </w:tcPr>
          <w:p w14:paraId="112A1ADA" w14:textId="77777777" w:rsidR="00790DD4" w:rsidRPr="000D67C6" w:rsidRDefault="00D308A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746</w:t>
            </w:r>
          </w:p>
        </w:tc>
      </w:tr>
      <w:tr w:rsidR="00790DD4" w:rsidRPr="000D67C6" w14:paraId="053EDFF3" w14:textId="77777777" w:rsidTr="00673E3A">
        <w:trPr>
          <w:trHeight w:val="326"/>
        </w:trPr>
        <w:tc>
          <w:tcPr>
            <w:tcW w:w="1276" w:type="dxa"/>
            <w:shd w:val="clear" w:color="auto" w:fill="auto"/>
            <w:tcMar>
              <w:top w:w="20" w:type="dxa"/>
              <w:left w:w="20" w:type="dxa"/>
              <w:bottom w:w="20" w:type="dxa"/>
              <w:right w:w="20" w:type="dxa"/>
            </w:tcMar>
          </w:tcPr>
          <w:p w14:paraId="2C5D4D95"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12,523</w:t>
            </w:r>
          </w:p>
        </w:tc>
        <w:tc>
          <w:tcPr>
            <w:tcW w:w="239" w:type="dxa"/>
            <w:shd w:val="clear" w:color="auto" w:fill="auto"/>
            <w:tcMar>
              <w:top w:w="20" w:type="dxa"/>
              <w:left w:w="20" w:type="dxa"/>
              <w:bottom w:w="20" w:type="dxa"/>
              <w:right w:w="20" w:type="dxa"/>
            </w:tcMar>
          </w:tcPr>
          <w:p w14:paraId="12760CEF"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565" w:type="dxa"/>
            <w:shd w:val="clear" w:color="auto" w:fill="auto"/>
            <w:tcMar>
              <w:top w:w="20" w:type="dxa"/>
              <w:left w:w="20" w:type="dxa"/>
              <w:bottom w:w="20" w:type="dxa"/>
              <w:right w:w="20" w:type="dxa"/>
            </w:tcMar>
          </w:tcPr>
          <w:p w14:paraId="55DAE6B5"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Net interest on the net defined benefit liability (asset)</w:t>
            </w:r>
          </w:p>
        </w:tc>
        <w:tc>
          <w:tcPr>
            <w:tcW w:w="1134" w:type="dxa"/>
            <w:shd w:val="clear" w:color="auto" w:fill="auto"/>
            <w:tcMar>
              <w:top w:w="20" w:type="dxa"/>
              <w:left w:w="20" w:type="dxa"/>
              <w:bottom w:w="20" w:type="dxa"/>
              <w:right w:w="20" w:type="dxa"/>
            </w:tcMar>
          </w:tcPr>
          <w:p w14:paraId="49D18096" w14:textId="77777777" w:rsidR="00790DD4" w:rsidRPr="000D67C6" w:rsidRDefault="00175D89"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12,845</w:t>
            </w:r>
          </w:p>
        </w:tc>
      </w:tr>
      <w:tr w:rsidR="00474EA9" w:rsidRPr="000D67C6" w14:paraId="30F4B622" w14:textId="77777777" w:rsidTr="00673E3A">
        <w:trPr>
          <w:trHeight w:val="326"/>
        </w:trPr>
        <w:tc>
          <w:tcPr>
            <w:tcW w:w="1276" w:type="dxa"/>
            <w:shd w:val="clear" w:color="auto" w:fill="auto"/>
            <w:tcMar>
              <w:top w:w="20" w:type="dxa"/>
              <w:left w:w="20" w:type="dxa"/>
              <w:bottom w:w="20" w:type="dxa"/>
              <w:right w:w="20" w:type="dxa"/>
            </w:tcMar>
          </w:tcPr>
          <w:p w14:paraId="473DE14A" w14:textId="36FC107E" w:rsidR="00474EA9" w:rsidRPr="000D67C6" w:rsidRDefault="00474EA9"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9" w:type="dxa"/>
            <w:shd w:val="clear" w:color="auto" w:fill="auto"/>
            <w:tcMar>
              <w:top w:w="20" w:type="dxa"/>
              <w:left w:w="20" w:type="dxa"/>
              <w:bottom w:w="20" w:type="dxa"/>
              <w:right w:w="20" w:type="dxa"/>
            </w:tcMar>
          </w:tcPr>
          <w:p w14:paraId="2BF8ACE6" w14:textId="77777777" w:rsidR="00474EA9" w:rsidRPr="000D67C6" w:rsidRDefault="00474EA9" w:rsidP="00790DD4">
            <w:pPr>
              <w:pStyle w:val="T1TableStyle"/>
              <w:jc w:val="center"/>
              <w:rPr>
                <w:rFonts w:ascii="Arial" w:eastAsia="Verdana" w:hAnsi="Arial" w:cs="Arial"/>
                <w:sz w:val="22"/>
                <w:szCs w:val="22"/>
                <w:lang w:val="en-GB"/>
              </w:rPr>
            </w:pPr>
          </w:p>
        </w:tc>
        <w:tc>
          <w:tcPr>
            <w:tcW w:w="6565" w:type="dxa"/>
            <w:shd w:val="clear" w:color="auto" w:fill="auto"/>
            <w:tcMar>
              <w:top w:w="20" w:type="dxa"/>
              <w:left w:w="20" w:type="dxa"/>
              <w:bottom w:w="20" w:type="dxa"/>
              <w:right w:w="20" w:type="dxa"/>
            </w:tcMar>
          </w:tcPr>
          <w:p w14:paraId="7E0DC54C" w14:textId="1CD7063B" w:rsidR="00474EA9" w:rsidRPr="000D67C6" w:rsidRDefault="00EE752F"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Movement in Bad Debt Provision</w:t>
            </w:r>
          </w:p>
        </w:tc>
        <w:tc>
          <w:tcPr>
            <w:tcW w:w="1134" w:type="dxa"/>
            <w:shd w:val="clear" w:color="auto" w:fill="auto"/>
            <w:tcMar>
              <w:top w:w="20" w:type="dxa"/>
              <w:left w:w="20" w:type="dxa"/>
              <w:bottom w:w="20" w:type="dxa"/>
              <w:right w:w="20" w:type="dxa"/>
            </w:tcMar>
          </w:tcPr>
          <w:p w14:paraId="7156FB54" w14:textId="06610A8C" w:rsidR="00474EA9" w:rsidRPr="000D67C6" w:rsidRDefault="00EE752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92</w:t>
            </w:r>
          </w:p>
        </w:tc>
      </w:tr>
      <w:tr w:rsidR="00790DD4" w:rsidRPr="000D67C6" w14:paraId="19257632" w14:textId="77777777" w:rsidTr="00673E3A">
        <w:trPr>
          <w:trHeight w:val="326"/>
        </w:trPr>
        <w:tc>
          <w:tcPr>
            <w:tcW w:w="1276" w:type="dxa"/>
            <w:shd w:val="clear" w:color="auto" w:fill="auto"/>
            <w:tcMar>
              <w:top w:w="20" w:type="dxa"/>
              <w:left w:w="20" w:type="dxa"/>
              <w:bottom w:w="20" w:type="dxa"/>
              <w:right w:w="20" w:type="dxa"/>
            </w:tcMar>
          </w:tcPr>
          <w:p w14:paraId="58221E81"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(35)</w:t>
            </w:r>
          </w:p>
        </w:tc>
        <w:tc>
          <w:tcPr>
            <w:tcW w:w="239" w:type="dxa"/>
            <w:shd w:val="clear" w:color="auto" w:fill="auto"/>
            <w:tcMar>
              <w:top w:w="20" w:type="dxa"/>
              <w:left w:w="20" w:type="dxa"/>
              <w:bottom w:w="20" w:type="dxa"/>
              <w:right w:w="20" w:type="dxa"/>
            </w:tcMar>
          </w:tcPr>
          <w:p w14:paraId="2FF921AB"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565" w:type="dxa"/>
            <w:shd w:val="clear" w:color="auto" w:fill="auto"/>
            <w:tcMar>
              <w:top w:w="20" w:type="dxa"/>
              <w:left w:w="20" w:type="dxa"/>
              <w:bottom w:w="20" w:type="dxa"/>
              <w:right w:w="20" w:type="dxa"/>
            </w:tcMar>
          </w:tcPr>
          <w:p w14:paraId="038D58B1"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Interest receivable and similar income</w:t>
            </w:r>
          </w:p>
        </w:tc>
        <w:tc>
          <w:tcPr>
            <w:tcW w:w="1134" w:type="dxa"/>
            <w:shd w:val="clear" w:color="auto" w:fill="auto"/>
            <w:tcMar>
              <w:top w:w="20" w:type="dxa"/>
              <w:left w:w="20" w:type="dxa"/>
              <w:bottom w:w="20" w:type="dxa"/>
              <w:right w:w="20" w:type="dxa"/>
            </w:tcMar>
          </w:tcPr>
          <w:p w14:paraId="60904149" w14:textId="77777777" w:rsidR="00790DD4" w:rsidRPr="000D67C6" w:rsidRDefault="00175D89"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(42)</w:t>
            </w:r>
          </w:p>
        </w:tc>
      </w:tr>
      <w:tr w:rsidR="00790DD4" w:rsidRPr="000D67C6" w14:paraId="3883F4A7" w14:textId="77777777" w:rsidTr="00545449">
        <w:trPr>
          <w:trHeight w:val="326"/>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D342C7D"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13,262</w:t>
            </w:r>
          </w:p>
        </w:tc>
        <w:tc>
          <w:tcPr>
            <w:tcW w:w="23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59B8675" w14:textId="77777777" w:rsidR="00790DD4" w:rsidRPr="000D67C6" w:rsidRDefault="00790DD4" w:rsidP="00790DD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56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A82288C"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E5A47DF" w14:textId="617DDFBF" w:rsidR="00790DD4" w:rsidRPr="000D67C6" w:rsidRDefault="00175D89"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13,</w:t>
            </w:r>
            <w:r w:rsidR="00BF4142" w:rsidRPr="000D67C6">
              <w:rPr>
                <w:rFonts w:ascii="Arial" w:eastAsia="Verdana" w:hAnsi="Arial" w:cs="Arial"/>
                <w:b/>
                <w:sz w:val="22"/>
                <w:szCs w:val="22"/>
                <w:lang w:val="en-GB"/>
              </w:rPr>
              <w:t>641</w:t>
            </w:r>
          </w:p>
        </w:tc>
      </w:tr>
    </w:tbl>
    <w:p w14:paraId="6D06CABA" w14:textId="77777777" w:rsidR="008D0321" w:rsidRPr="00EE7AF3" w:rsidRDefault="008D0321" w:rsidP="008D0321">
      <w:pPr>
        <w:rPr>
          <w:rFonts w:ascii="Arial" w:hAnsi="Arial" w:cs="Arial"/>
          <w:sz w:val="32"/>
          <w:szCs w:val="22"/>
          <w:lang w:val="pt-BR"/>
        </w:rPr>
      </w:pPr>
    </w:p>
    <w:p w14:paraId="58B492CD" w14:textId="77777777" w:rsidR="008F013B" w:rsidRPr="000D67C6" w:rsidRDefault="008D0321" w:rsidP="00943A64">
      <w:pPr>
        <w:pStyle w:val="Heading1"/>
        <w:spacing w:before="0" w:line="259" w:lineRule="auto"/>
        <w:rPr>
          <w:rFonts w:ascii="Arial" w:hAnsi="Arial" w:cs="Arial"/>
          <w:sz w:val="28"/>
          <w:lang w:val="pt-BR"/>
        </w:rPr>
      </w:pPr>
      <w:r w:rsidRPr="000D67C6">
        <w:rPr>
          <w:rFonts w:ascii="Arial" w:hAnsi="Arial" w:cs="Arial"/>
          <w:sz w:val="28"/>
          <w:lang w:val="pt-BR"/>
        </w:rPr>
        <w:t>Note 11</w:t>
      </w:r>
      <w:r w:rsidR="008F013B" w:rsidRPr="000D67C6">
        <w:rPr>
          <w:rFonts w:ascii="Arial" w:hAnsi="Arial" w:cs="Arial"/>
          <w:sz w:val="28"/>
          <w:lang w:val="pt-BR"/>
        </w:rPr>
        <w:t xml:space="preserve"> - Taxation and Non-Specific Grant Income</w:t>
      </w:r>
    </w:p>
    <w:tbl>
      <w:tblPr>
        <w:tblW w:w="9214" w:type="dxa"/>
        <w:tblLayout w:type="fixed"/>
        <w:tblLook w:val="04A0" w:firstRow="1" w:lastRow="0" w:firstColumn="1" w:lastColumn="0" w:noHBand="0" w:noVBand="1"/>
      </w:tblPr>
      <w:tblGrid>
        <w:gridCol w:w="1335"/>
        <w:gridCol w:w="180"/>
        <w:gridCol w:w="6282"/>
        <w:gridCol w:w="1417"/>
      </w:tblGrid>
      <w:tr w:rsidR="00464E99" w:rsidRPr="000D67C6" w14:paraId="0A8F442E" w14:textId="77777777" w:rsidTr="00C97EE1">
        <w:trPr>
          <w:trHeight w:val="300"/>
        </w:trPr>
        <w:tc>
          <w:tcPr>
            <w:tcW w:w="1335" w:type="dxa"/>
            <w:shd w:val="clear" w:color="auto" w:fill="auto"/>
            <w:tcMar>
              <w:top w:w="20" w:type="dxa"/>
              <w:left w:w="20" w:type="dxa"/>
              <w:bottom w:w="20" w:type="dxa"/>
              <w:right w:w="20" w:type="dxa"/>
            </w:tcMar>
            <w:vAlign w:val="bottom"/>
          </w:tcPr>
          <w:p w14:paraId="59B5A65B" w14:textId="77777777" w:rsidR="00464E99" w:rsidRPr="000D67C6" w:rsidRDefault="00591F0F" w:rsidP="008D032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790DD4"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790DD4" w:rsidRPr="000D67C6">
              <w:rPr>
                <w:rFonts w:ascii="Arial" w:eastAsia="Verdana" w:hAnsi="Arial" w:cs="Arial"/>
                <w:b/>
                <w:sz w:val="22"/>
                <w:szCs w:val="22"/>
                <w:lang w:val="pt-BR"/>
              </w:rPr>
              <w:t>8</w:t>
            </w:r>
          </w:p>
        </w:tc>
        <w:tc>
          <w:tcPr>
            <w:tcW w:w="180" w:type="dxa"/>
            <w:shd w:val="clear" w:color="auto" w:fill="auto"/>
            <w:tcMar>
              <w:top w:w="20" w:type="dxa"/>
              <w:left w:w="20" w:type="dxa"/>
              <w:bottom w:w="20" w:type="dxa"/>
              <w:right w:w="20" w:type="dxa"/>
            </w:tcMar>
            <w:vAlign w:val="bottom"/>
          </w:tcPr>
          <w:p w14:paraId="28BBDD68" w14:textId="77777777" w:rsidR="00464E99" w:rsidRPr="000D67C6" w:rsidRDefault="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6282" w:type="dxa"/>
            <w:shd w:val="clear" w:color="auto" w:fill="auto"/>
            <w:tcMar>
              <w:top w:w="20" w:type="dxa"/>
              <w:left w:w="20" w:type="dxa"/>
              <w:bottom w:w="20" w:type="dxa"/>
              <w:right w:w="20" w:type="dxa"/>
            </w:tcMar>
            <w:vAlign w:val="bottom"/>
          </w:tcPr>
          <w:p w14:paraId="4A29AB48" w14:textId="77777777" w:rsidR="00464E99" w:rsidRPr="000D67C6" w:rsidRDefault="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417" w:type="dxa"/>
            <w:shd w:val="clear" w:color="auto" w:fill="auto"/>
            <w:tcMar>
              <w:top w:w="20" w:type="dxa"/>
              <w:left w:w="20" w:type="dxa"/>
              <w:bottom w:w="20" w:type="dxa"/>
              <w:right w:w="20" w:type="dxa"/>
            </w:tcMar>
            <w:vAlign w:val="bottom"/>
          </w:tcPr>
          <w:p w14:paraId="3B9CD474" w14:textId="77777777" w:rsidR="00464E99" w:rsidRPr="000D67C6" w:rsidRDefault="00591F0F" w:rsidP="008D032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790DD4"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790DD4" w:rsidRPr="000D67C6">
              <w:rPr>
                <w:rFonts w:ascii="Arial" w:eastAsia="Verdana" w:hAnsi="Arial" w:cs="Arial"/>
                <w:b/>
                <w:sz w:val="22"/>
                <w:szCs w:val="22"/>
                <w:lang w:val="pt-BR"/>
              </w:rPr>
              <w:t>9</w:t>
            </w:r>
          </w:p>
        </w:tc>
      </w:tr>
      <w:tr w:rsidR="00464E99" w:rsidRPr="000D67C6" w14:paraId="64EF2722" w14:textId="77777777" w:rsidTr="00C97EE1">
        <w:trPr>
          <w:trHeight w:val="300"/>
        </w:trPr>
        <w:tc>
          <w:tcPr>
            <w:tcW w:w="1335" w:type="dxa"/>
            <w:tcBorders>
              <w:bottom w:val="single" w:sz="2" w:space="0" w:color="000000"/>
            </w:tcBorders>
            <w:shd w:val="clear" w:color="auto" w:fill="auto"/>
            <w:tcMar>
              <w:top w:w="20" w:type="dxa"/>
              <w:left w:w="20" w:type="dxa"/>
              <w:bottom w:w="20" w:type="dxa"/>
              <w:right w:w="20" w:type="dxa"/>
            </w:tcMar>
          </w:tcPr>
          <w:p w14:paraId="35374A9D"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253641D4"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6282" w:type="dxa"/>
            <w:tcBorders>
              <w:bottom w:val="single" w:sz="2" w:space="0" w:color="000000"/>
            </w:tcBorders>
            <w:shd w:val="clear" w:color="auto" w:fill="auto"/>
            <w:tcMar>
              <w:top w:w="20" w:type="dxa"/>
              <w:left w:w="20" w:type="dxa"/>
              <w:bottom w:w="20" w:type="dxa"/>
              <w:right w:w="20" w:type="dxa"/>
            </w:tcMar>
          </w:tcPr>
          <w:p w14:paraId="2D881EDC"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417" w:type="dxa"/>
            <w:tcBorders>
              <w:bottom w:val="single" w:sz="2" w:space="0" w:color="000000"/>
            </w:tcBorders>
            <w:shd w:val="clear" w:color="auto" w:fill="auto"/>
            <w:tcMar>
              <w:top w:w="20" w:type="dxa"/>
              <w:left w:w="20" w:type="dxa"/>
              <w:bottom w:w="20" w:type="dxa"/>
              <w:right w:w="20" w:type="dxa"/>
            </w:tcMar>
          </w:tcPr>
          <w:p w14:paraId="5A14A447"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790DD4" w:rsidRPr="000D67C6" w14:paraId="28634222" w14:textId="77777777" w:rsidTr="007E3008">
        <w:trPr>
          <w:trHeight w:val="336"/>
        </w:trPr>
        <w:tc>
          <w:tcPr>
            <w:tcW w:w="1335" w:type="dxa"/>
            <w:shd w:val="clear" w:color="auto" w:fill="auto"/>
            <w:tcMar>
              <w:top w:w="20" w:type="dxa"/>
              <w:left w:w="20" w:type="dxa"/>
              <w:bottom w:w="20" w:type="dxa"/>
              <w:right w:w="20" w:type="dxa"/>
            </w:tcMar>
            <w:vAlign w:val="center"/>
          </w:tcPr>
          <w:p w14:paraId="45BD4068"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(45,436)</w:t>
            </w:r>
          </w:p>
        </w:tc>
        <w:tc>
          <w:tcPr>
            <w:tcW w:w="180" w:type="dxa"/>
            <w:shd w:val="clear" w:color="auto" w:fill="auto"/>
            <w:tcMar>
              <w:top w:w="20" w:type="dxa"/>
              <w:left w:w="20" w:type="dxa"/>
              <w:bottom w:w="20" w:type="dxa"/>
              <w:right w:w="20" w:type="dxa"/>
            </w:tcMar>
            <w:vAlign w:val="center"/>
          </w:tcPr>
          <w:p w14:paraId="085CB5B1" w14:textId="77777777" w:rsidR="00790DD4" w:rsidRPr="000D67C6" w:rsidRDefault="00790DD4" w:rsidP="00790DD4">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6282" w:type="dxa"/>
            <w:shd w:val="clear" w:color="auto" w:fill="auto"/>
            <w:tcMar>
              <w:top w:w="20" w:type="dxa"/>
              <w:left w:w="20" w:type="dxa"/>
              <w:bottom w:w="20" w:type="dxa"/>
              <w:right w:w="20" w:type="dxa"/>
            </w:tcMar>
            <w:vAlign w:val="center"/>
          </w:tcPr>
          <w:p w14:paraId="67B30DF5"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Levies from constituent authorities</w:t>
            </w:r>
          </w:p>
        </w:tc>
        <w:tc>
          <w:tcPr>
            <w:tcW w:w="1417" w:type="dxa"/>
            <w:shd w:val="clear" w:color="auto" w:fill="auto"/>
            <w:tcMar>
              <w:top w:w="20" w:type="dxa"/>
              <w:left w:w="20" w:type="dxa"/>
              <w:bottom w:w="20" w:type="dxa"/>
              <w:right w:w="20" w:type="dxa"/>
            </w:tcMar>
            <w:vAlign w:val="center"/>
          </w:tcPr>
          <w:p w14:paraId="5B2B54DB" w14:textId="77777777" w:rsidR="00790DD4" w:rsidRPr="000D67C6" w:rsidRDefault="008B7E18"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(46</w:t>
            </w:r>
            <w:r w:rsidR="00B37017" w:rsidRPr="000D67C6">
              <w:rPr>
                <w:rFonts w:ascii="Arial" w:eastAsia="Verdana" w:hAnsi="Arial" w:cs="Arial"/>
                <w:sz w:val="22"/>
                <w:szCs w:val="22"/>
                <w:lang w:val="pt-BR"/>
              </w:rPr>
              <w:t>,659)</w:t>
            </w:r>
          </w:p>
        </w:tc>
      </w:tr>
      <w:tr w:rsidR="00790DD4" w:rsidRPr="000D67C6" w14:paraId="6CA18D57" w14:textId="77777777" w:rsidTr="002779E2">
        <w:trPr>
          <w:trHeight w:val="336"/>
        </w:trPr>
        <w:tc>
          <w:tcPr>
            <w:tcW w:w="1335" w:type="dxa"/>
            <w:tcBorders>
              <w:bottom w:val="single" w:sz="2" w:space="0" w:color="000000"/>
            </w:tcBorders>
            <w:shd w:val="clear" w:color="auto" w:fill="auto"/>
            <w:tcMar>
              <w:top w:w="20" w:type="dxa"/>
              <w:left w:w="20" w:type="dxa"/>
              <w:bottom w:w="20" w:type="dxa"/>
              <w:right w:w="20" w:type="dxa"/>
            </w:tcMar>
            <w:vAlign w:val="center"/>
          </w:tcPr>
          <w:p w14:paraId="02ECCD66"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(979)</w:t>
            </w:r>
          </w:p>
        </w:tc>
        <w:tc>
          <w:tcPr>
            <w:tcW w:w="180" w:type="dxa"/>
            <w:tcBorders>
              <w:bottom w:val="single" w:sz="2" w:space="0" w:color="000000"/>
            </w:tcBorders>
            <w:shd w:val="clear" w:color="auto" w:fill="auto"/>
            <w:tcMar>
              <w:top w:w="20" w:type="dxa"/>
              <w:left w:w="20" w:type="dxa"/>
              <w:bottom w:w="20" w:type="dxa"/>
              <w:right w:w="20" w:type="dxa"/>
            </w:tcMar>
            <w:vAlign w:val="center"/>
          </w:tcPr>
          <w:p w14:paraId="51907AA0" w14:textId="77777777" w:rsidR="00790DD4" w:rsidRPr="000D67C6" w:rsidRDefault="00790DD4" w:rsidP="00790DD4">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6282" w:type="dxa"/>
            <w:tcBorders>
              <w:bottom w:val="single" w:sz="2" w:space="0" w:color="000000"/>
            </w:tcBorders>
            <w:shd w:val="clear" w:color="auto" w:fill="auto"/>
            <w:tcMar>
              <w:top w:w="20" w:type="dxa"/>
              <w:left w:w="20" w:type="dxa"/>
              <w:bottom w:w="20" w:type="dxa"/>
              <w:right w:w="20" w:type="dxa"/>
            </w:tcMar>
            <w:vAlign w:val="center"/>
          </w:tcPr>
          <w:p w14:paraId="2EBD2B4A"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Capital grants and contributions</w:t>
            </w:r>
          </w:p>
        </w:tc>
        <w:tc>
          <w:tcPr>
            <w:tcW w:w="1417" w:type="dxa"/>
            <w:tcBorders>
              <w:bottom w:val="single" w:sz="2" w:space="0" w:color="000000"/>
            </w:tcBorders>
            <w:shd w:val="clear" w:color="auto" w:fill="auto"/>
            <w:tcMar>
              <w:top w:w="20" w:type="dxa"/>
              <w:left w:w="20" w:type="dxa"/>
              <w:bottom w:w="20" w:type="dxa"/>
              <w:right w:w="20" w:type="dxa"/>
            </w:tcMar>
            <w:vAlign w:val="center"/>
          </w:tcPr>
          <w:p w14:paraId="2A32743A" w14:textId="77777777" w:rsidR="00790DD4" w:rsidRPr="000D67C6" w:rsidRDefault="000B5FC7"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(369)</w:t>
            </w:r>
          </w:p>
        </w:tc>
      </w:tr>
      <w:tr w:rsidR="00790DD4" w:rsidRPr="00673E3A" w14:paraId="0A7F8909" w14:textId="77777777" w:rsidTr="002779E2">
        <w:trPr>
          <w:trHeight w:val="336"/>
        </w:trPr>
        <w:tc>
          <w:tcPr>
            <w:tcW w:w="1335" w:type="dxa"/>
            <w:tcBorders>
              <w:top w:val="single" w:sz="2" w:space="0" w:color="000000"/>
              <w:bottom w:val="single" w:sz="18" w:space="0" w:color="000000"/>
            </w:tcBorders>
            <w:shd w:val="clear" w:color="auto" w:fill="auto"/>
            <w:tcMar>
              <w:top w:w="20" w:type="dxa"/>
              <w:left w:w="20" w:type="dxa"/>
              <w:bottom w:w="20" w:type="dxa"/>
              <w:right w:w="20" w:type="dxa"/>
            </w:tcMar>
            <w:vAlign w:val="center"/>
          </w:tcPr>
          <w:p w14:paraId="0CB82C42" w14:textId="77777777" w:rsidR="00790DD4" w:rsidRPr="00673E3A" w:rsidRDefault="00790DD4" w:rsidP="00790DD4">
            <w:pPr>
              <w:pStyle w:val="T1TableStyle"/>
              <w:jc w:val="right"/>
              <w:rPr>
                <w:rFonts w:ascii="Arial" w:eastAsia="Verdana" w:hAnsi="Arial" w:cs="Arial"/>
                <w:b/>
                <w:sz w:val="22"/>
                <w:szCs w:val="22"/>
                <w:lang w:val="pt-BR"/>
              </w:rPr>
            </w:pPr>
            <w:r w:rsidRPr="00673E3A">
              <w:rPr>
                <w:rFonts w:ascii="Arial" w:eastAsia="Verdana" w:hAnsi="Arial" w:cs="Arial"/>
                <w:b/>
                <w:sz w:val="22"/>
                <w:szCs w:val="22"/>
                <w:lang w:val="pt-BR"/>
              </w:rPr>
              <w:t>(46,415)</w:t>
            </w:r>
          </w:p>
        </w:tc>
        <w:tc>
          <w:tcPr>
            <w:tcW w:w="180" w:type="dxa"/>
            <w:tcBorders>
              <w:top w:val="single" w:sz="2" w:space="0" w:color="000000"/>
              <w:bottom w:val="single" w:sz="18" w:space="0" w:color="000000"/>
            </w:tcBorders>
            <w:shd w:val="clear" w:color="auto" w:fill="auto"/>
            <w:tcMar>
              <w:top w:w="20" w:type="dxa"/>
              <w:left w:w="20" w:type="dxa"/>
              <w:bottom w:w="20" w:type="dxa"/>
              <w:right w:w="20" w:type="dxa"/>
            </w:tcMar>
            <w:vAlign w:val="center"/>
          </w:tcPr>
          <w:p w14:paraId="108697F4" w14:textId="77777777" w:rsidR="00790DD4" w:rsidRPr="00673E3A" w:rsidRDefault="00790DD4" w:rsidP="00790DD4">
            <w:pPr>
              <w:pStyle w:val="T1TableStyle"/>
              <w:jc w:val="center"/>
              <w:rPr>
                <w:rFonts w:ascii="Arial" w:eastAsia="Verdana" w:hAnsi="Arial" w:cs="Arial"/>
                <w:b/>
                <w:sz w:val="22"/>
                <w:szCs w:val="22"/>
                <w:lang w:val="pt-BR"/>
              </w:rPr>
            </w:pPr>
            <w:r w:rsidRPr="00673E3A">
              <w:rPr>
                <w:rFonts w:ascii="Arial" w:eastAsia="Verdana" w:hAnsi="Arial" w:cs="Arial"/>
                <w:b/>
                <w:sz w:val="22"/>
                <w:szCs w:val="22"/>
                <w:lang w:val="pt-BR"/>
              </w:rPr>
              <w:t xml:space="preserve"> </w:t>
            </w:r>
          </w:p>
        </w:tc>
        <w:tc>
          <w:tcPr>
            <w:tcW w:w="6282" w:type="dxa"/>
            <w:tcBorders>
              <w:top w:val="single" w:sz="2" w:space="0" w:color="000000"/>
              <w:bottom w:val="single" w:sz="18" w:space="0" w:color="000000"/>
            </w:tcBorders>
            <w:shd w:val="clear" w:color="auto" w:fill="auto"/>
            <w:tcMar>
              <w:top w:w="20" w:type="dxa"/>
              <w:left w:w="20" w:type="dxa"/>
              <w:bottom w:w="20" w:type="dxa"/>
              <w:right w:w="20" w:type="dxa"/>
            </w:tcMar>
            <w:vAlign w:val="center"/>
          </w:tcPr>
          <w:p w14:paraId="1680130E" w14:textId="77777777" w:rsidR="00790DD4" w:rsidRPr="00673E3A" w:rsidRDefault="00790DD4" w:rsidP="00790DD4">
            <w:pPr>
              <w:pStyle w:val="T1TableStyle"/>
              <w:rPr>
                <w:rFonts w:ascii="Arial" w:eastAsia="Verdana" w:hAnsi="Arial" w:cs="Arial"/>
                <w:b/>
                <w:sz w:val="22"/>
                <w:szCs w:val="22"/>
                <w:lang w:val="pt-BR"/>
              </w:rPr>
            </w:pPr>
            <w:r w:rsidRPr="00673E3A">
              <w:rPr>
                <w:rFonts w:ascii="Arial" w:eastAsia="Verdana" w:hAnsi="Arial" w:cs="Arial"/>
                <w:b/>
                <w:sz w:val="22"/>
                <w:szCs w:val="22"/>
                <w:lang w:val="pt-BR"/>
              </w:rPr>
              <w:t>Total</w:t>
            </w:r>
          </w:p>
        </w:tc>
        <w:tc>
          <w:tcPr>
            <w:tcW w:w="1417" w:type="dxa"/>
            <w:tcBorders>
              <w:top w:val="single" w:sz="2" w:space="0" w:color="000000"/>
              <w:bottom w:val="single" w:sz="18" w:space="0" w:color="000000"/>
            </w:tcBorders>
            <w:shd w:val="clear" w:color="auto" w:fill="auto"/>
            <w:tcMar>
              <w:top w:w="20" w:type="dxa"/>
              <w:left w:w="20" w:type="dxa"/>
              <w:bottom w:w="20" w:type="dxa"/>
              <w:right w:w="20" w:type="dxa"/>
            </w:tcMar>
            <w:vAlign w:val="center"/>
          </w:tcPr>
          <w:p w14:paraId="4A67C864" w14:textId="77777777" w:rsidR="00790DD4" w:rsidRPr="00673E3A" w:rsidRDefault="000B5FC7" w:rsidP="00790DD4">
            <w:pPr>
              <w:pStyle w:val="T1TableStyle"/>
              <w:jc w:val="right"/>
              <w:rPr>
                <w:rFonts w:ascii="Arial" w:eastAsia="Verdana" w:hAnsi="Arial" w:cs="Arial"/>
                <w:b/>
                <w:sz w:val="22"/>
                <w:szCs w:val="22"/>
                <w:lang w:val="pt-BR"/>
              </w:rPr>
            </w:pPr>
            <w:r w:rsidRPr="00673E3A">
              <w:rPr>
                <w:rFonts w:ascii="Arial" w:eastAsia="Verdana" w:hAnsi="Arial" w:cs="Arial"/>
                <w:b/>
                <w:sz w:val="22"/>
                <w:szCs w:val="22"/>
                <w:lang w:val="pt-BR"/>
              </w:rPr>
              <w:t>(47,028)</w:t>
            </w:r>
          </w:p>
        </w:tc>
      </w:tr>
    </w:tbl>
    <w:p w14:paraId="377E7B3E" w14:textId="77777777" w:rsidR="00FB59F7" w:rsidRPr="00EE7AF3" w:rsidRDefault="00FB59F7" w:rsidP="00FB59F7">
      <w:pPr>
        <w:rPr>
          <w:rFonts w:ascii="Arial" w:hAnsi="Arial" w:cs="Arial"/>
          <w:sz w:val="32"/>
          <w:lang w:val="pt-BR"/>
        </w:rPr>
      </w:pPr>
    </w:p>
    <w:p w14:paraId="59B8D68A" w14:textId="719DF890" w:rsidR="008F013B" w:rsidRPr="000D67C6" w:rsidRDefault="00333E22" w:rsidP="004F3078">
      <w:pPr>
        <w:pStyle w:val="Heading1"/>
        <w:spacing w:before="0" w:line="259" w:lineRule="auto"/>
        <w:rPr>
          <w:rFonts w:ascii="Arial" w:hAnsi="Arial" w:cs="Arial"/>
          <w:sz w:val="28"/>
          <w:lang w:val="pt-BR"/>
        </w:rPr>
      </w:pPr>
      <w:r w:rsidRPr="000D67C6">
        <w:rPr>
          <w:rFonts w:ascii="Arial" w:hAnsi="Arial" w:cs="Arial"/>
          <w:sz w:val="28"/>
          <w:lang w:val="pt-BR"/>
        </w:rPr>
        <w:t>N</w:t>
      </w:r>
      <w:r w:rsidR="00F85DD4" w:rsidRPr="000D67C6">
        <w:rPr>
          <w:rFonts w:ascii="Arial" w:hAnsi="Arial" w:cs="Arial"/>
          <w:sz w:val="28"/>
          <w:lang w:val="pt-BR"/>
        </w:rPr>
        <w:t>ote 12</w:t>
      </w:r>
      <w:r w:rsidR="008F013B" w:rsidRPr="000D67C6">
        <w:rPr>
          <w:rFonts w:ascii="Arial" w:hAnsi="Arial" w:cs="Arial"/>
          <w:sz w:val="28"/>
          <w:lang w:val="pt-BR"/>
        </w:rPr>
        <w:t xml:space="preserve"> - Property, Plant and Equipment</w:t>
      </w:r>
    </w:p>
    <w:p w14:paraId="230B55C9" w14:textId="77777777" w:rsidR="008F013B" w:rsidRPr="000D67C6" w:rsidRDefault="008F013B" w:rsidP="008F013B">
      <w:pPr>
        <w:pStyle w:val="Normal0"/>
        <w:rPr>
          <w:rFonts w:ascii="Arial" w:eastAsia="Calibri" w:hAnsi="Arial" w:cs="Arial"/>
          <w:sz w:val="22"/>
          <w:szCs w:val="22"/>
          <w:lang w:val="pt-BR"/>
        </w:rPr>
      </w:pPr>
    </w:p>
    <w:tbl>
      <w:tblPr>
        <w:tblW w:w="9782" w:type="dxa"/>
        <w:tblInd w:w="-431" w:type="dxa"/>
        <w:tblLayout w:type="fixed"/>
        <w:tblLook w:val="04A0" w:firstRow="1" w:lastRow="0" w:firstColumn="1" w:lastColumn="0" w:noHBand="0" w:noVBand="1"/>
      </w:tblPr>
      <w:tblGrid>
        <w:gridCol w:w="3408"/>
        <w:gridCol w:w="1058"/>
        <w:gridCol w:w="1230"/>
        <w:gridCol w:w="1534"/>
        <w:gridCol w:w="1418"/>
        <w:gridCol w:w="1134"/>
      </w:tblGrid>
      <w:tr w:rsidR="00C97EE1" w:rsidRPr="000D67C6" w14:paraId="6FE0489B" w14:textId="77777777" w:rsidTr="008E3230">
        <w:trPr>
          <w:trHeight w:val="870"/>
        </w:trPr>
        <w:tc>
          <w:tcPr>
            <w:tcW w:w="3408" w:type="dxa"/>
            <w:vMerge w:val="restart"/>
            <w:tcBorders>
              <w:top w:val="single" w:sz="4" w:space="0" w:color="auto"/>
              <w:left w:val="single" w:sz="4" w:space="0" w:color="auto"/>
              <w:right w:val="single" w:sz="4" w:space="0" w:color="auto"/>
            </w:tcBorders>
            <w:shd w:val="clear" w:color="auto" w:fill="auto"/>
            <w:tcMar>
              <w:top w:w="20" w:type="dxa"/>
              <w:left w:w="20" w:type="dxa"/>
              <w:bottom w:w="20" w:type="dxa"/>
              <w:right w:w="20" w:type="dxa"/>
            </w:tcMar>
            <w:vAlign w:val="center"/>
          </w:tcPr>
          <w:p w14:paraId="04E6B7D8" w14:textId="77777777" w:rsidR="00C97EE1" w:rsidRPr="000D67C6" w:rsidRDefault="00591F0F" w:rsidP="008E3230">
            <w:pPr>
              <w:pStyle w:val="T1TableStyle"/>
              <w:jc w:val="center"/>
              <w:rPr>
                <w:rFonts w:ascii="Arial" w:eastAsia="Verdana" w:hAnsi="Arial" w:cs="Arial"/>
                <w:sz w:val="20"/>
                <w:szCs w:val="20"/>
                <w:lang w:val="en-GB"/>
              </w:rPr>
            </w:pPr>
            <w:bookmarkStart w:id="2" w:name="_Hlk530126780"/>
            <w:r w:rsidRPr="000D67C6">
              <w:rPr>
                <w:rFonts w:ascii="Arial" w:eastAsia="Verdana" w:hAnsi="Arial" w:cs="Arial"/>
                <w:b/>
                <w:sz w:val="20"/>
                <w:szCs w:val="20"/>
                <w:lang w:val="en-GB"/>
              </w:rPr>
              <w:t>Movements to 31 March 201</w:t>
            </w:r>
            <w:r w:rsidR="00790DD4" w:rsidRPr="000D67C6">
              <w:rPr>
                <w:rFonts w:ascii="Arial" w:eastAsia="Verdana" w:hAnsi="Arial" w:cs="Arial"/>
                <w:b/>
                <w:sz w:val="20"/>
                <w:szCs w:val="20"/>
                <w:lang w:val="en-GB"/>
              </w:rPr>
              <w:t>9</w:t>
            </w:r>
          </w:p>
        </w:tc>
        <w:tc>
          <w:tcPr>
            <w:tcW w:w="1058" w:type="dxa"/>
            <w:tcBorders>
              <w:top w:val="single" w:sz="4" w:space="0" w:color="auto"/>
              <w:left w:val="single" w:sz="4" w:space="0" w:color="auto"/>
            </w:tcBorders>
            <w:shd w:val="clear" w:color="auto" w:fill="auto"/>
            <w:tcMar>
              <w:top w:w="20" w:type="dxa"/>
              <w:left w:w="20" w:type="dxa"/>
              <w:bottom w:w="20" w:type="dxa"/>
              <w:right w:w="20" w:type="dxa"/>
            </w:tcMar>
            <w:vAlign w:val="bottom"/>
          </w:tcPr>
          <w:p w14:paraId="2227994F"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Land </w:t>
            </w:r>
            <w:r w:rsidRPr="000D67C6">
              <w:rPr>
                <w:rFonts w:ascii="Arial" w:eastAsia="Verdana" w:hAnsi="Arial" w:cs="Arial"/>
                <w:b/>
                <w:sz w:val="20"/>
                <w:szCs w:val="20"/>
                <w:lang w:val="en-GB"/>
              </w:rPr>
              <w:br/>
              <w:t xml:space="preserve">and </w:t>
            </w:r>
            <w:r w:rsidRPr="000D67C6">
              <w:rPr>
                <w:rFonts w:ascii="Arial" w:eastAsia="Verdana" w:hAnsi="Arial" w:cs="Arial"/>
                <w:b/>
                <w:sz w:val="20"/>
                <w:szCs w:val="20"/>
                <w:lang w:val="en-GB"/>
              </w:rPr>
              <w:br/>
              <w:t>Buildings</w:t>
            </w:r>
          </w:p>
        </w:tc>
        <w:tc>
          <w:tcPr>
            <w:tcW w:w="1230" w:type="dxa"/>
            <w:tcBorders>
              <w:top w:val="single" w:sz="4" w:space="0" w:color="auto"/>
            </w:tcBorders>
            <w:shd w:val="clear" w:color="auto" w:fill="auto"/>
            <w:tcMar>
              <w:top w:w="20" w:type="dxa"/>
              <w:left w:w="20" w:type="dxa"/>
              <w:bottom w:w="20" w:type="dxa"/>
              <w:right w:w="20" w:type="dxa"/>
            </w:tcMar>
            <w:vAlign w:val="bottom"/>
          </w:tcPr>
          <w:p w14:paraId="64313C3F"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Vehicles, Plant, Furniture &amp; Equipment</w:t>
            </w:r>
          </w:p>
        </w:tc>
        <w:tc>
          <w:tcPr>
            <w:tcW w:w="1534" w:type="dxa"/>
            <w:tcBorders>
              <w:top w:val="single" w:sz="4" w:space="0" w:color="auto"/>
            </w:tcBorders>
            <w:shd w:val="clear" w:color="auto" w:fill="auto"/>
            <w:tcMar>
              <w:top w:w="20" w:type="dxa"/>
              <w:left w:w="20" w:type="dxa"/>
              <w:bottom w:w="20" w:type="dxa"/>
              <w:right w:w="20" w:type="dxa"/>
            </w:tcMar>
            <w:vAlign w:val="bottom"/>
          </w:tcPr>
          <w:p w14:paraId="4FE120D7"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Infrastructure Assets</w:t>
            </w:r>
          </w:p>
        </w:tc>
        <w:tc>
          <w:tcPr>
            <w:tcW w:w="1418" w:type="dxa"/>
            <w:tcBorders>
              <w:top w:val="single" w:sz="4" w:space="0" w:color="auto"/>
            </w:tcBorders>
            <w:shd w:val="clear" w:color="auto" w:fill="auto"/>
            <w:tcMar>
              <w:top w:w="20" w:type="dxa"/>
              <w:left w:w="20" w:type="dxa"/>
              <w:bottom w:w="20" w:type="dxa"/>
              <w:right w:w="20" w:type="dxa"/>
            </w:tcMar>
            <w:vAlign w:val="bottom"/>
          </w:tcPr>
          <w:p w14:paraId="0AB5BDC9"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Assets Under Construction</w:t>
            </w:r>
          </w:p>
        </w:tc>
        <w:tc>
          <w:tcPr>
            <w:tcW w:w="1134" w:type="dxa"/>
            <w:tcBorders>
              <w:top w:val="single" w:sz="4" w:space="0" w:color="auto"/>
              <w:right w:val="single" w:sz="4" w:space="0" w:color="auto"/>
            </w:tcBorders>
            <w:shd w:val="clear" w:color="auto" w:fill="auto"/>
            <w:tcMar>
              <w:top w:w="20" w:type="dxa"/>
              <w:left w:w="20" w:type="dxa"/>
              <w:bottom w:w="20" w:type="dxa"/>
              <w:right w:w="20" w:type="dxa"/>
            </w:tcMar>
            <w:vAlign w:val="bottom"/>
          </w:tcPr>
          <w:p w14:paraId="793E8E26"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Total Property, Plant and Equipment</w:t>
            </w:r>
          </w:p>
        </w:tc>
      </w:tr>
      <w:tr w:rsidR="00C97EE1" w:rsidRPr="000D67C6" w14:paraId="331FBE6C" w14:textId="77777777" w:rsidTr="001D113F">
        <w:trPr>
          <w:trHeight w:val="285"/>
        </w:trPr>
        <w:tc>
          <w:tcPr>
            <w:tcW w:w="3408" w:type="dxa"/>
            <w:vMerge/>
            <w:tcBorders>
              <w:left w:val="single" w:sz="4" w:space="0" w:color="auto"/>
              <w:bottom w:val="single" w:sz="2" w:space="0" w:color="000000"/>
              <w:right w:val="single" w:sz="4" w:space="0" w:color="auto"/>
            </w:tcBorders>
            <w:shd w:val="clear" w:color="auto" w:fill="auto"/>
            <w:tcMar>
              <w:top w:w="20" w:type="dxa"/>
              <w:left w:w="20" w:type="dxa"/>
              <w:bottom w:w="20" w:type="dxa"/>
              <w:right w:w="20" w:type="dxa"/>
            </w:tcMar>
            <w:vAlign w:val="bottom"/>
          </w:tcPr>
          <w:p w14:paraId="0A4E4571" w14:textId="77777777" w:rsidR="00C97EE1" w:rsidRPr="000D67C6" w:rsidRDefault="00C97EE1" w:rsidP="008F013B">
            <w:pPr>
              <w:pStyle w:val="T1TableStyle"/>
              <w:jc w:val="center"/>
              <w:rPr>
                <w:rFonts w:ascii="Arial" w:eastAsia="Verdana" w:hAnsi="Arial" w:cs="Arial"/>
                <w:sz w:val="20"/>
                <w:szCs w:val="20"/>
                <w:lang w:val="en-GB"/>
              </w:rPr>
            </w:pPr>
          </w:p>
        </w:tc>
        <w:tc>
          <w:tcPr>
            <w:tcW w:w="1058" w:type="dxa"/>
            <w:tcBorders>
              <w:left w:val="single" w:sz="4" w:space="0" w:color="auto"/>
              <w:bottom w:val="single" w:sz="2" w:space="0" w:color="000000"/>
            </w:tcBorders>
            <w:shd w:val="clear" w:color="auto" w:fill="auto"/>
            <w:tcMar>
              <w:top w:w="20" w:type="dxa"/>
              <w:left w:w="20" w:type="dxa"/>
              <w:bottom w:w="20" w:type="dxa"/>
              <w:right w:w="20" w:type="dxa"/>
            </w:tcMar>
            <w:vAlign w:val="bottom"/>
          </w:tcPr>
          <w:p w14:paraId="77CABF83"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14:paraId="3821FF06"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534" w:type="dxa"/>
            <w:tcBorders>
              <w:bottom w:val="single" w:sz="2" w:space="0" w:color="000000"/>
            </w:tcBorders>
            <w:shd w:val="clear" w:color="auto" w:fill="auto"/>
            <w:tcMar>
              <w:top w:w="20" w:type="dxa"/>
              <w:left w:w="20" w:type="dxa"/>
              <w:bottom w:w="20" w:type="dxa"/>
              <w:right w:w="20" w:type="dxa"/>
            </w:tcMar>
            <w:vAlign w:val="bottom"/>
          </w:tcPr>
          <w:p w14:paraId="0B415B88"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18" w:type="dxa"/>
            <w:tcBorders>
              <w:bottom w:val="single" w:sz="2" w:space="0" w:color="000000"/>
            </w:tcBorders>
            <w:shd w:val="clear" w:color="auto" w:fill="auto"/>
            <w:tcMar>
              <w:top w:w="20" w:type="dxa"/>
              <w:left w:w="20" w:type="dxa"/>
              <w:bottom w:w="20" w:type="dxa"/>
              <w:right w:w="20" w:type="dxa"/>
            </w:tcMar>
            <w:vAlign w:val="bottom"/>
          </w:tcPr>
          <w:p w14:paraId="6561156B"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134" w:type="dxa"/>
            <w:tcBorders>
              <w:bottom w:val="single" w:sz="2" w:space="0" w:color="000000"/>
              <w:right w:val="single" w:sz="4" w:space="0" w:color="auto"/>
            </w:tcBorders>
            <w:shd w:val="clear" w:color="auto" w:fill="auto"/>
            <w:tcMar>
              <w:top w:w="20" w:type="dxa"/>
              <w:left w:w="20" w:type="dxa"/>
              <w:bottom w:w="20" w:type="dxa"/>
              <w:right w:w="20" w:type="dxa"/>
            </w:tcMar>
            <w:vAlign w:val="bottom"/>
          </w:tcPr>
          <w:p w14:paraId="587F9FBB" w14:textId="77777777" w:rsidR="00C97EE1" w:rsidRPr="000D67C6" w:rsidRDefault="00C97EE1" w:rsidP="008F013B">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C97EE1" w:rsidRPr="000D67C6" w14:paraId="195EC226"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3D907E1" w14:textId="77777777" w:rsidR="00C97EE1" w:rsidRPr="000D67C6" w:rsidRDefault="00C97EE1" w:rsidP="008F013B">
            <w:pPr>
              <w:pStyle w:val="T1TableStyle"/>
              <w:rPr>
                <w:rFonts w:ascii="Arial" w:eastAsia="Verdana" w:hAnsi="Arial" w:cs="Arial"/>
                <w:b/>
                <w:sz w:val="20"/>
                <w:szCs w:val="20"/>
                <w:lang w:val="en-GB"/>
              </w:rPr>
            </w:pPr>
            <w:r w:rsidRPr="000D67C6">
              <w:rPr>
                <w:rFonts w:ascii="Arial" w:eastAsia="Verdana" w:hAnsi="Arial" w:cs="Arial"/>
                <w:b/>
                <w:sz w:val="20"/>
                <w:szCs w:val="20"/>
                <w:lang w:val="en-GB"/>
              </w:rPr>
              <w:t>Cost or Valuation</w:t>
            </w:r>
          </w:p>
        </w:tc>
        <w:tc>
          <w:tcPr>
            <w:tcW w:w="1058" w:type="dxa"/>
            <w:tcBorders>
              <w:left w:val="single" w:sz="4" w:space="0" w:color="auto"/>
            </w:tcBorders>
            <w:shd w:val="clear" w:color="auto" w:fill="auto"/>
            <w:tcMar>
              <w:top w:w="20" w:type="dxa"/>
              <w:left w:w="20" w:type="dxa"/>
              <w:bottom w:w="20" w:type="dxa"/>
              <w:right w:w="20" w:type="dxa"/>
            </w:tcMar>
            <w:vAlign w:val="center"/>
          </w:tcPr>
          <w:p w14:paraId="181029FE" w14:textId="77777777" w:rsidR="00C97EE1" w:rsidRPr="000D67C6" w:rsidRDefault="00C97EE1" w:rsidP="008F013B">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230" w:type="dxa"/>
            <w:shd w:val="clear" w:color="auto" w:fill="auto"/>
            <w:tcMar>
              <w:top w:w="20" w:type="dxa"/>
              <w:left w:w="20" w:type="dxa"/>
              <w:bottom w:w="20" w:type="dxa"/>
              <w:right w:w="20" w:type="dxa"/>
            </w:tcMar>
            <w:vAlign w:val="center"/>
          </w:tcPr>
          <w:p w14:paraId="3F27B44A" w14:textId="77777777" w:rsidR="00C97EE1" w:rsidRPr="000D67C6" w:rsidRDefault="00C97EE1" w:rsidP="008F013B">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534" w:type="dxa"/>
            <w:shd w:val="clear" w:color="auto" w:fill="auto"/>
            <w:tcMar>
              <w:top w:w="20" w:type="dxa"/>
              <w:left w:w="20" w:type="dxa"/>
              <w:bottom w:w="20" w:type="dxa"/>
              <w:right w:w="20" w:type="dxa"/>
            </w:tcMar>
            <w:vAlign w:val="center"/>
          </w:tcPr>
          <w:p w14:paraId="713C4B81" w14:textId="77777777" w:rsidR="00C97EE1" w:rsidRPr="000D67C6" w:rsidRDefault="00C97EE1" w:rsidP="008F013B">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418" w:type="dxa"/>
            <w:shd w:val="clear" w:color="auto" w:fill="auto"/>
            <w:tcMar>
              <w:top w:w="20" w:type="dxa"/>
              <w:left w:w="20" w:type="dxa"/>
              <w:bottom w:w="20" w:type="dxa"/>
              <w:right w:w="20" w:type="dxa"/>
            </w:tcMar>
            <w:vAlign w:val="center"/>
          </w:tcPr>
          <w:p w14:paraId="31297ECA" w14:textId="77777777" w:rsidR="00C97EE1" w:rsidRPr="000D67C6" w:rsidRDefault="00C97EE1" w:rsidP="008F013B">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134" w:type="dxa"/>
            <w:tcBorders>
              <w:right w:val="single" w:sz="4" w:space="0" w:color="auto"/>
            </w:tcBorders>
            <w:shd w:val="clear" w:color="auto" w:fill="auto"/>
            <w:tcMar>
              <w:top w:w="20" w:type="dxa"/>
              <w:left w:w="20" w:type="dxa"/>
              <w:bottom w:w="20" w:type="dxa"/>
              <w:right w:w="20" w:type="dxa"/>
            </w:tcMar>
            <w:vAlign w:val="center"/>
          </w:tcPr>
          <w:p w14:paraId="1FF1C6A7" w14:textId="77777777" w:rsidR="00C97EE1" w:rsidRPr="000D67C6" w:rsidRDefault="00C97EE1" w:rsidP="008F013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r>
      <w:tr w:rsidR="00003D29" w:rsidRPr="000D67C6" w14:paraId="6259A7A0"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34AD83C"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8</w:t>
            </w:r>
          </w:p>
        </w:tc>
        <w:tc>
          <w:tcPr>
            <w:tcW w:w="1058" w:type="dxa"/>
            <w:tcBorders>
              <w:left w:val="single" w:sz="4" w:space="0" w:color="auto"/>
            </w:tcBorders>
            <w:shd w:val="clear" w:color="auto" w:fill="auto"/>
            <w:tcMar>
              <w:top w:w="20" w:type="dxa"/>
              <w:left w:w="20" w:type="dxa"/>
              <w:bottom w:w="20" w:type="dxa"/>
              <w:right w:w="20" w:type="dxa"/>
            </w:tcMar>
            <w:vAlign w:val="center"/>
          </w:tcPr>
          <w:p w14:paraId="49566AFC"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53,654</w:t>
            </w:r>
          </w:p>
        </w:tc>
        <w:tc>
          <w:tcPr>
            <w:tcW w:w="1230" w:type="dxa"/>
            <w:shd w:val="clear" w:color="auto" w:fill="auto"/>
            <w:tcMar>
              <w:top w:w="20" w:type="dxa"/>
              <w:left w:w="20" w:type="dxa"/>
              <w:bottom w:w="20" w:type="dxa"/>
              <w:right w:w="20" w:type="dxa"/>
            </w:tcMar>
            <w:vAlign w:val="center"/>
          </w:tcPr>
          <w:p w14:paraId="135322B0"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25,202</w:t>
            </w:r>
          </w:p>
        </w:tc>
        <w:tc>
          <w:tcPr>
            <w:tcW w:w="1534" w:type="dxa"/>
            <w:shd w:val="clear" w:color="auto" w:fill="auto"/>
            <w:tcMar>
              <w:top w:w="20" w:type="dxa"/>
              <w:left w:w="20" w:type="dxa"/>
              <w:bottom w:w="20" w:type="dxa"/>
              <w:right w:w="20" w:type="dxa"/>
            </w:tcMar>
            <w:vAlign w:val="center"/>
          </w:tcPr>
          <w:p w14:paraId="776664F1"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322</w:t>
            </w:r>
          </w:p>
        </w:tc>
        <w:tc>
          <w:tcPr>
            <w:tcW w:w="1418" w:type="dxa"/>
            <w:shd w:val="clear" w:color="auto" w:fill="auto"/>
            <w:tcMar>
              <w:top w:w="20" w:type="dxa"/>
              <w:left w:w="20" w:type="dxa"/>
              <w:bottom w:w="20" w:type="dxa"/>
              <w:right w:w="20" w:type="dxa"/>
            </w:tcMar>
            <w:vAlign w:val="center"/>
          </w:tcPr>
          <w:p w14:paraId="2E3B7BCB"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1,434</w:t>
            </w:r>
          </w:p>
        </w:tc>
        <w:tc>
          <w:tcPr>
            <w:tcW w:w="1134" w:type="dxa"/>
            <w:tcBorders>
              <w:right w:val="single" w:sz="4" w:space="0" w:color="auto"/>
            </w:tcBorders>
            <w:shd w:val="clear" w:color="auto" w:fill="auto"/>
            <w:tcMar>
              <w:top w:w="20" w:type="dxa"/>
              <w:left w:w="20" w:type="dxa"/>
              <w:bottom w:w="20" w:type="dxa"/>
              <w:right w:w="20" w:type="dxa"/>
            </w:tcMar>
            <w:vAlign w:val="center"/>
          </w:tcPr>
          <w:p w14:paraId="3B08F988"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80,612</w:t>
            </w:r>
          </w:p>
        </w:tc>
      </w:tr>
      <w:tr w:rsidR="00003D29" w:rsidRPr="000D67C6" w14:paraId="1A70B59F"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2480A16F"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Additions</w:t>
            </w:r>
          </w:p>
        </w:tc>
        <w:tc>
          <w:tcPr>
            <w:tcW w:w="1058" w:type="dxa"/>
            <w:tcBorders>
              <w:left w:val="single" w:sz="4" w:space="0" w:color="auto"/>
            </w:tcBorders>
            <w:shd w:val="clear" w:color="auto" w:fill="auto"/>
            <w:tcMar>
              <w:top w:w="20" w:type="dxa"/>
              <w:left w:w="20" w:type="dxa"/>
              <w:bottom w:w="20" w:type="dxa"/>
              <w:right w:w="20" w:type="dxa"/>
            </w:tcMar>
            <w:vAlign w:val="center"/>
          </w:tcPr>
          <w:p w14:paraId="75BDDFE9" w14:textId="77777777" w:rsidR="00003D29" w:rsidRPr="000D67C6" w:rsidRDefault="002F0111"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626</w:t>
            </w:r>
          </w:p>
        </w:tc>
        <w:tc>
          <w:tcPr>
            <w:tcW w:w="1230" w:type="dxa"/>
            <w:shd w:val="clear" w:color="auto" w:fill="auto"/>
            <w:tcMar>
              <w:top w:w="20" w:type="dxa"/>
              <w:left w:w="20" w:type="dxa"/>
              <w:bottom w:w="20" w:type="dxa"/>
              <w:right w:w="20" w:type="dxa"/>
            </w:tcMar>
            <w:vAlign w:val="center"/>
          </w:tcPr>
          <w:p w14:paraId="1043DD84"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1,375</w:t>
            </w:r>
          </w:p>
        </w:tc>
        <w:tc>
          <w:tcPr>
            <w:tcW w:w="1534" w:type="dxa"/>
            <w:shd w:val="clear" w:color="auto" w:fill="auto"/>
            <w:tcMar>
              <w:top w:w="20" w:type="dxa"/>
              <w:left w:w="20" w:type="dxa"/>
              <w:bottom w:w="20" w:type="dxa"/>
              <w:right w:w="20" w:type="dxa"/>
            </w:tcMar>
            <w:vAlign w:val="center"/>
          </w:tcPr>
          <w:p w14:paraId="1695CBC6"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22</w:t>
            </w:r>
          </w:p>
        </w:tc>
        <w:tc>
          <w:tcPr>
            <w:tcW w:w="1418" w:type="dxa"/>
            <w:shd w:val="clear" w:color="auto" w:fill="auto"/>
            <w:tcMar>
              <w:top w:w="20" w:type="dxa"/>
              <w:left w:w="20" w:type="dxa"/>
              <w:bottom w:w="20" w:type="dxa"/>
              <w:right w:w="20" w:type="dxa"/>
            </w:tcMar>
            <w:vAlign w:val="center"/>
          </w:tcPr>
          <w:p w14:paraId="0BB734F6"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225</w:t>
            </w:r>
          </w:p>
        </w:tc>
        <w:tc>
          <w:tcPr>
            <w:tcW w:w="1134" w:type="dxa"/>
            <w:tcBorders>
              <w:right w:val="single" w:sz="4" w:space="0" w:color="auto"/>
            </w:tcBorders>
            <w:shd w:val="clear" w:color="auto" w:fill="auto"/>
            <w:tcMar>
              <w:top w:w="20" w:type="dxa"/>
              <w:left w:w="20" w:type="dxa"/>
              <w:bottom w:w="20" w:type="dxa"/>
              <w:right w:w="20" w:type="dxa"/>
            </w:tcMar>
            <w:vAlign w:val="center"/>
          </w:tcPr>
          <w:p w14:paraId="0E778688" w14:textId="77777777" w:rsidR="00003D29" w:rsidRPr="000D67C6" w:rsidRDefault="00D931B6"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2,248</w:t>
            </w:r>
          </w:p>
        </w:tc>
      </w:tr>
      <w:tr w:rsidR="00003D29" w:rsidRPr="000D67C6" w14:paraId="0E803881"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0F460A9"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Impairments</w:t>
            </w:r>
          </w:p>
        </w:tc>
        <w:tc>
          <w:tcPr>
            <w:tcW w:w="1058" w:type="dxa"/>
            <w:tcBorders>
              <w:left w:val="single" w:sz="4" w:space="0" w:color="auto"/>
            </w:tcBorders>
            <w:shd w:val="clear" w:color="auto" w:fill="auto"/>
            <w:tcMar>
              <w:top w:w="20" w:type="dxa"/>
              <w:left w:w="20" w:type="dxa"/>
              <w:bottom w:w="20" w:type="dxa"/>
              <w:right w:w="20" w:type="dxa"/>
            </w:tcMar>
            <w:vAlign w:val="center"/>
          </w:tcPr>
          <w:p w14:paraId="6A2D33AB" w14:textId="59A16E0F" w:rsidR="00003D29" w:rsidRPr="000D67C6" w:rsidRDefault="00810E04"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(63)</w:t>
            </w:r>
          </w:p>
        </w:tc>
        <w:tc>
          <w:tcPr>
            <w:tcW w:w="1230" w:type="dxa"/>
            <w:shd w:val="clear" w:color="auto" w:fill="auto"/>
            <w:tcMar>
              <w:top w:w="20" w:type="dxa"/>
              <w:left w:w="20" w:type="dxa"/>
              <w:bottom w:w="20" w:type="dxa"/>
              <w:right w:w="20" w:type="dxa"/>
            </w:tcMar>
            <w:vAlign w:val="center"/>
          </w:tcPr>
          <w:p w14:paraId="6324261F"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534" w:type="dxa"/>
            <w:shd w:val="clear" w:color="auto" w:fill="auto"/>
            <w:tcMar>
              <w:top w:w="20" w:type="dxa"/>
              <w:left w:w="20" w:type="dxa"/>
              <w:bottom w:w="20" w:type="dxa"/>
              <w:right w:w="20" w:type="dxa"/>
            </w:tcMar>
            <w:vAlign w:val="center"/>
          </w:tcPr>
          <w:p w14:paraId="7CD76EE4"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6FC615CA"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1D3ED50E" w14:textId="1C0A6423" w:rsidR="00003D29" w:rsidRPr="000D67C6" w:rsidRDefault="00810E04"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(63)</w:t>
            </w:r>
          </w:p>
        </w:tc>
      </w:tr>
      <w:tr w:rsidR="00003D29" w:rsidRPr="000D67C6" w14:paraId="2DBA62E2"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8046C1A"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Derecognition – disposals</w:t>
            </w:r>
          </w:p>
        </w:tc>
        <w:tc>
          <w:tcPr>
            <w:tcW w:w="1058" w:type="dxa"/>
            <w:tcBorders>
              <w:left w:val="single" w:sz="4" w:space="0" w:color="auto"/>
            </w:tcBorders>
            <w:shd w:val="clear" w:color="auto" w:fill="auto"/>
            <w:tcMar>
              <w:top w:w="20" w:type="dxa"/>
              <w:left w:w="20" w:type="dxa"/>
              <w:bottom w:w="20" w:type="dxa"/>
              <w:right w:w="20" w:type="dxa"/>
            </w:tcMar>
            <w:vAlign w:val="center"/>
          </w:tcPr>
          <w:p w14:paraId="0CB406FA" w14:textId="77777777" w:rsidR="00003D29" w:rsidRPr="000D67C6" w:rsidRDefault="002F0111"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230" w:type="dxa"/>
            <w:shd w:val="clear" w:color="auto" w:fill="auto"/>
            <w:tcMar>
              <w:top w:w="20" w:type="dxa"/>
              <w:left w:w="20" w:type="dxa"/>
              <w:bottom w:w="20" w:type="dxa"/>
              <w:right w:w="20" w:type="dxa"/>
            </w:tcMar>
            <w:vAlign w:val="center"/>
          </w:tcPr>
          <w:p w14:paraId="717C5D04"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(1,216)</w:t>
            </w:r>
          </w:p>
        </w:tc>
        <w:tc>
          <w:tcPr>
            <w:tcW w:w="1534" w:type="dxa"/>
            <w:shd w:val="clear" w:color="auto" w:fill="auto"/>
            <w:tcMar>
              <w:top w:w="20" w:type="dxa"/>
              <w:left w:w="20" w:type="dxa"/>
              <w:bottom w:w="20" w:type="dxa"/>
              <w:right w:w="20" w:type="dxa"/>
            </w:tcMar>
            <w:vAlign w:val="center"/>
          </w:tcPr>
          <w:p w14:paraId="4B094522"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3DAE0BBC"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5904F1BA" w14:textId="77777777" w:rsidR="00003D29" w:rsidRPr="000D67C6" w:rsidRDefault="00D931B6"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(1,216)</w:t>
            </w:r>
          </w:p>
        </w:tc>
      </w:tr>
      <w:tr w:rsidR="00003D29" w:rsidRPr="000D67C6" w14:paraId="06B709E1"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2704AAC"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Reclassifications and transfer</w:t>
            </w:r>
          </w:p>
        </w:tc>
        <w:tc>
          <w:tcPr>
            <w:tcW w:w="1058" w:type="dxa"/>
            <w:tcBorders>
              <w:left w:val="single" w:sz="4" w:space="0" w:color="auto"/>
            </w:tcBorders>
            <w:shd w:val="clear" w:color="auto" w:fill="auto"/>
            <w:tcMar>
              <w:top w:w="20" w:type="dxa"/>
              <w:left w:w="20" w:type="dxa"/>
              <w:bottom w:w="20" w:type="dxa"/>
              <w:right w:w="20" w:type="dxa"/>
            </w:tcMar>
            <w:vAlign w:val="center"/>
          </w:tcPr>
          <w:p w14:paraId="08ED88C5" w14:textId="77777777" w:rsidR="00003D29" w:rsidRPr="000D67C6" w:rsidRDefault="002F0111"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230" w:type="dxa"/>
            <w:shd w:val="clear" w:color="auto" w:fill="auto"/>
            <w:tcMar>
              <w:top w:w="20" w:type="dxa"/>
              <w:left w:w="20" w:type="dxa"/>
              <w:bottom w:w="20" w:type="dxa"/>
              <w:right w:w="20" w:type="dxa"/>
            </w:tcMar>
            <w:vAlign w:val="center"/>
          </w:tcPr>
          <w:p w14:paraId="1BA4B0B4"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1,434</w:t>
            </w:r>
          </w:p>
        </w:tc>
        <w:tc>
          <w:tcPr>
            <w:tcW w:w="1534" w:type="dxa"/>
            <w:shd w:val="clear" w:color="auto" w:fill="auto"/>
            <w:tcMar>
              <w:top w:w="20" w:type="dxa"/>
              <w:left w:w="20" w:type="dxa"/>
              <w:bottom w:w="20" w:type="dxa"/>
              <w:right w:w="20" w:type="dxa"/>
            </w:tcMar>
            <w:vAlign w:val="center"/>
          </w:tcPr>
          <w:p w14:paraId="181BB9A4"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7AAD90A8" w14:textId="77777777" w:rsidR="00003D29" w:rsidRPr="000D67C6" w:rsidRDefault="00A9422C"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(1,434)</w:t>
            </w:r>
          </w:p>
        </w:tc>
        <w:tc>
          <w:tcPr>
            <w:tcW w:w="1134" w:type="dxa"/>
            <w:tcBorders>
              <w:right w:val="single" w:sz="4" w:space="0" w:color="auto"/>
            </w:tcBorders>
            <w:shd w:val="clear" w:color="auto" w:fill="auto"/>
            <w:tcMar>
              <w:top w:w="20" w:type="dxa"/>
              <w:left w:w="20" w:type="dxa"/>
              <w:bottom w:w="20" w:type="dxa"/>
              <w:right w:w="20" w:type="dxa"/>
            </w:tcMar>
            <w:vAlign w:val="center"/>
          </w:tcPr>
          <w:p w14:paraId="6F937331" w14:textId="77777777" w:rsidR="00003D29" w:rsidRPr="000D67C6" w:rsidRDefault="00D931B6"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w:t>
            </w:r>
          </w:p>
        </w:tc>
      </w:tr>
      <w:tr w:rsidR="00003D29" w:rsidRPr="000D67C6" w14:paraId="506CE54A" w14:textId="77777777" w:rsidTr="001D113F">
        <w:trPr>
          <w:trHeight w:val="152"/>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7029F95"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9</w:t>
            </w:r>
          </w:p>
        </w:tc>
        <w:tc>
          <w:tcPr>
            <w:tcW w:w="1058" w:type="dxa"/>
            <w:tcBorders>
              <w:top w:val="single" w:sz="2" w:space="0" w:color="000000"/>
              <w:left w:val="single" w:sz="4" w:space="0" w:color="auto"/>
            </w:tcBorders>
            <w:shd w:val="clear" w:color="auto" w:fill="auto"/>
            <w:tcMar>
              <w:top w:w="20" w:type="dxa"/>
              <w:left w:w="20" w:type="dxa"/>
              <w:bottom w:w="20" w:type="dxa"/>
              <w:right w:w="20" w:type="dxa"/>
            </w:tcMar>
            <w:vAlign w:val="center"/>
          </w:tcPr>
          <w:p w14:paraId="7AB0DC5C" w14:textId="39F98F2F" w:rsidR="00003D29" w:rsidRPr="000D67C6" w:rsidRDefault="002F0111"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54,2</w:t>
            </w:r>
            <w:r w:rsidR="00810E04" w:rsidRPr="000D67C6">
              <w:rPr>
                <w:rFonts w:ascii="Arial" w:eastAsia="Verdana" w:hAnsi="Arial" w:cs="Arial"/>
                <w:b/>
                <w:sz w:val="20"/>
                <w:szCs w:val="20"/>
                <w:lang w:val="en-GB"/>
              </w:rPr>
              <w:t>17</w:t>
            </w:r>
          </w:p>
        </w:tc>
        <w:tc>
          <w:tcPr>
            <w:tcW w:w="1230" w:type="dxa"/>
            <w:tcBorders>
              <w:top w:val="single" w:sz="2" w:space="0" w:color="000000"/>
            </w:tcBorders>
            <w:shd w:val="clear" w:color="auto" w:fill="auto"/>
            <w:tcMar>
              <w:top w:w="20" w:type="dxa"/>
              <w:left w:w="20" w:type="dxa"/>
              <w:bottom w:w="20" w:type="dxa"/>
              <w:right w:w="20" w:type="dxa"/>
            </w:tcMar>
            <w:vAlign w:val="center"/>
          </w:tcPr>
          <w:p w14:paraId="6E02AF54" w14:textId="77777777" w:rsidR="00003D29" w:rsidRPr="000D67C6" w:rsidRDefault="00A9422C"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26,795</w:t>
            </w:r>
          </w:p>
        </w:tc>
        <w:tc>
          <w:tcPr>
            <w:tcW w:w="1534" w:type="dxa"/>
            <w:tcBorders>
              <w:top w:val="single" w:sz="2" w:space="0" w:color="000000"/>
            </w:tcBorders>
            <w:shd w:val="clear" w:color="auto" w:fill="auto"/>
            <w:tcMar>
              <w:top w:w="20" w:type="dxa"/>
              <w:left w:w="20" w:type="dxa"/>
              <w:bottom w:w="20" w:type="dxa"/>
              <w:right w:w="20" w:type="dxa"/>
            </w:tcMar>
            <w:vAlign w:val="center"/>
          </w:tcPr>
          <w:p w14:paraId="780D17BB" w14:textId="77777777" w:rsidR="00003D29" w:rsidRPr="000D67C6" w:rsidRDefault="00A9422C"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344</w:t>
            </w:r>
          </w:p>
        </w:tc>
        <w:tc>
          <w:tcPr>
            <w:tcW w:w="1418" w:type="dxa"/>
            <w:tcBorders>
              <w:top w:val="single" w:sz="2" w:space="0" w:color="000000"/>
            </w:tcBorders>
            <w:shd w:val="clear" w:color="auto" w:fill="auto"/>
            <w:tcMar>
              <w:top w:w="20" w:type="dxa"/>
              <w:left w:w="20" w:type="dxa"/>
              <w:bottom w:w="20" w:type="dxa"/>
              <w:right w:w="20" w:type="dxa"/>
            </w:tcMar>
            <w:vAlign w:val="center"/>
          </w:tcPr>
          <w:p w14:paraId="295468A1" w14:textId="77777777" w:rsidR="00003D29" w:rsidRPr="000D67C6" w:rsidRDefault="00A9422C"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225</w:t>
            </w:r>
          </w:p>
        </w:tc>
        <w:tc>
          <w:tcPr>
            <w:tcW w:w="1134" w:type="dxa"/>
            <w:tcBorders>
              <w:top w:val="single" w:sz="2" w:space="0" w:color="000000"/>
              <w:right w:val="single" w:sz="4" w:space="0" w:color="auto"/>
            </w:tcBorders>
            <w:shd w:val="clear" w:color="auto" w:fill="auto"/>
            <w:tcMar>
              <w:top w:w="20" w:type="dxa"/>
              <w:left w:w="20" w:type="dxa"/>
              <w:bottom w:w="20" w:type="dxa"/>
              <w:right w:w="20" w:type="dxa"/>
            </w:tcMar>
            <w:vAlign w:val="center"/>
          </w:tcPr>
          <w:p w14:paraId="263EC088" w14:textId="227084C0" w:rsidR="00003D29" w:rsidRPr="000D67C6" w:rsidRDefault="00D931B6"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81,</w:t>
            </w:r>
            <w:r w:rsidR="00810E04" w:rsidRPr="000D67C6">
              <w:rPr>
                <w:rFonts w:ascii="Arial" w:eastAsia="Verdana" w:hAnsi="Arial" w:cs="Arial"/>
                <w:b/>
                <w:sz w:val="20"/>
                <w:szCs w:val="20"/>
                <w:lang w:val="en-GB"/>
              </w:rPr>
              <w:t>581</w:t>
            </w:r>
          </w:p>
        </w:tc>
      </w:tr>
      <w:tr w:rsidR="00003D29" w:rsidRPr="000D67C6" w14:paraId="61FB2FF9" w14:textId="77777777" w:rsidTr="001D113F">
        <w:trPr>
          <w:trHeight w:val="10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CA53773"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Accumulated Depreciation and Impairment</w:t>
            </w:r>
          </w:p>
        </w:tc>
        <w:tc>
          <w:tcPr>
            <w:tcW w:w="1058" w:type="dxa"/>
            <w:tcBorders>
              <w:left w:val="single" w:sz="4" w:space="0" w:color="auto"/>
            </w:tcBorders>
            <w:shd w:val="clear" w:color="auto" w:fill="auto"/>
            <w:tcMar>
              <w:top w:w="20" w:type="dxa"/>
              <w:left w:w="20" w:type="dxa"/>
              <w:bottom w:w="20" w:type="dxa"/>
              <w:right w:w="20" w:type="dxa"/>
            </w:tcMar>
            <w:vAlign w:val="center"/>
          </w:tcPr>
          <w:p w14:paraId="694D225F" w14:textId="77777777" w:rsidR="00003D29" w:rsidRPr="000D67C6" w:rsidRDefault="00003D29" w:rsidP="00003D29">
            <w:pPr>
              <w:pStyle w:val="T1TableStyle"/>
              <w:jc w:val="center"/>
              <w:rPr>
                <w:rFonts w:ascii="Arial" w:eastAsia="Verdana" w:hAnsi="Arial" w:cs="Arial"/>
                <w:sz w:val="20"/>
                <w:szCs w:val="20"/>
                <w:lang w:val="en-GB"/>
              </w:rPr>
            </w:pPr>
          </w:p>
        </w:tc>
        <w:tc>
          <w:tcPr>
            <w:tcW w:w="1230" w:type="dxa"/>
            <w:shd w:val="clear" w:color="auto" w:fill="auto"/>
            <w:tcMar>
              <w:top w:w="20" w:type="dxa"/>
              <w:left w:w="20" w:type="dxa"/>
              <w:bottom w:w="20" w:type="dxa"/>
              <w:right w:w="20" w:type="dxa"/>
            </w:tcMar>
            <w:vAlign w:val="center"/>
          </w:tcPr>
          <w:p w14:paraId="4F2C906B" w14:textId="77777777" w:rsidR="00003D29" w:rsidRPr="000D67C6" w:rsidRDefault="00003D29" w:rsidP="00003D29">
            <w:pPr>
              <w:pStyle w:val="T1TableStyle"/>
              <w:jc w:val="center"/>
              <w:rPr>
                <w:rFonts w:ascii="Arial" w:eastAsia="Verdana" w:hAnsi="Arial" w:cs="Arial"/>
                <w:sz w:val="20"/>
                <w:szCs w:val="20"/>
                <w:lang w:val="en-GB"/>
              </w:rPr>
            </w:pPr>
          </w:p>
        </w:tc>
        <w:tc>
          <w:tcPr>
            <w:tcW w:w="1534" w:type="dxa"/>
            <w:shd w:val="clear" w:color="auto" w:fill="auto"/>
            <w:tcMar>
              <w:top w:w="20" w:type="dxa"/>
              <w:left w:w="20" w:type="dxa"/>
              <w:bottom w:w="20" w:type="dxa"/>
              <w:right w:w="20" w:type="dxa"/>
            </w:tcMar>
            <w:vAlign w:val="center"/>
          </w:tcPr>
          <w:p w14:paraId="7BAD4703" w14:textId="77777777" w:rsidR="00003D29" w:rsidRPr="000D67C6" w:rsidRDefault="00003D29" w:rsidP="00003D29">
            <w:pPr>
              <w:pStyle w:val="T1TableStyle"/>
              <w:jc w:val="center"/>
              <w:rPr>
                <w:rFonts w:ascii="Arial" w:eastAsia="Verdana" w:hAnsi="Arial" w:cs="Arial"/>
                <w:sz w:val="20"/>
                <w:szCs w:val="20"/>
                <w:lang w:val="en-GB"/>
              </w:rPr>
            </w:pPr>
          </w:p>
        </w:tc>
        <w:tc>
          <w:tcPr>
            <w:tcW w:w="1418" w:type="dxa"/>
            <w:shd w:val="clear" w:color="auto" w:fill="auto"/>
            <w:tcMar>
              <w:top w:w="20" w:type="dxa"/>
              <w:left w:w="20" w:type="dxa"/>
              <w:bottom w:w="20" w:type="dxa"/>
              <w:right w:w="20" w:type="dxa"/>
            </w:tcMar>
            <w:vAlign w:val="center"/>
          </w:tcPr>
          <w:p w14:paraId="418A3EBE" w14:textId="77777777" w:rsidR="00003D29" w:rsidRPr="000D67C6" w:rsidRDefault="00003D29" w:rsidP="00003D29">
            <w:pPr>
              <w:pStyle w:val="T1TableStyle"/>
              <w:jc w:val="center"/>
              <w:rPr>
                <w:rFonts w:ascii="Arial" w:eastAsia="Verdana" w:hAnsi="Arial" w:cs="Arial"/>
                <w:sz w:val="20"/>
                <w:szCs w:val="20"/>
                <w:lang w:val="en-GB"/>
              </w:rPr>
            </w:pPr>
          </w:p>
        </w:tc>
        <w:tc>
          <w:tcPr>
            <w:tcW w:w="1134" w:type="dxa"/>
            <w:tcBorders>
              <w:right w:val="single" w:sz="4" w:space="0" w:color="auto"/>
            </w:tcBorders>
            <w:shd w:val="clear" w:color="auto" w:fill="auto"/>
            <w:tcMar>
              <w:top w:w="20" w:type="dxa"/>
              <w:left w:w="20" w:type="dxa"/>
              <w:bottom w:w="20" w:type="dxa"/>
              <w:right w:w="20" w:type="dxa"/>
            </w:tcMar>
            <w:vAlign w:val="center"/>
          </w:tcPr>
          <w:p w14:paraId="6F95D437" w14:textId="77777777" w:rsidR="00003D29" w:rsidRPr="000D67C6" w:rsidRDefault="00003D29" w:rsidP="00003D29">
            <w:pPr>
              <w:pStyle w:val="T1TableStyle"/>
              <w:jc w:val="center"/>
              <w:rPr>
                <w:rFonts w:ascii="Arial" w:eastAsia="Verdana" w:hAnsi="Arial" w:cs="Arial"/>
                <w:b/>
                <w:sz w:val="20"/>
                <w:szCs w:val="20"/>
                <w:lang w:val="en-GB"/>
              </w:rPr>
            </w:pPr>
          </w:p>
        </w:tc>
      </w:tr>
      <w:tr w:rsidR="00003D29" w:rsidRPr="000D67C6" w14:paraId="58D9A6AF"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C6C562B"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8</w:t>
            </w:r>
          </w:p>
        </w:tc>
        <w:tc>
          <w:tcPr>
            <w:tcW w:w="1058" w:type="dxa"/>
            <w:tcBorders>
              <w:left w:val="single" w:sz="4" w:space="0" w:color="auto"/>
            </w:tcBorders>
            <w:shd w:val="clear" w:color="auto" w:fill="auto"/>
            <w:tcMar>
              <w:top w:w="20" w:type="dxa"/>
              <w:left w:w="20" w:type="dxa"/>
              <w:bottom w:w="20" w:type="dxa"/>
              <w:right w:w="20" w:type="dxa"/>
            </w:tcMar>
            <w:vAlign w:val="center"/>
          </w:tcPr>
          <w:p w14:paraId="6332B358"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(3,574)</w:t>
            </w:r>
          </w:p>
        </w:tc>
        <w:tc>
          <w:tcPr>
            <w:tcW w:w="1230" w:type="dxa"/>
            <w:shd w:val="clear" w:color="auto" w:fill="auto"/>
            <w:tcMar>
              <w:top w:w="20" w:type="dxa"/>
              <w:left w:w="20" w:type="dxa"/>
              <w:bottom w:w="20" w:type="dxa"/>
              <w:right w:w="20" w:type="dxa"/>
            </w:tcMar>
            <w:vAlign w:val="center"/>
          </w:tcPr>
          <w:p w14:paraId="2B171D66"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(15,217)</w:t>
            </w:r>
          </w:p>
        </w:tc>
        <w:tc>
          <w:tcPr>
            <w:tcW w:w="1534" w:type="dxa"/>
            <w:shd w:val="clear" w:color="auto" w:fill="auto"/>
            <w:tcMar>
              <w:top w:w="20" w:type="dxa"/>
              <w:left w:w="20" w:type="dxa"/>
              <w:bottom w:w="20" w:type="dxa"/>
              <w:right w:w="20" w:type="dxa"/>
            </w:tcMar>
            <w:vAlign w:val="center"/>
          </w:tcPr>
          <w:p w14:paraId="30CF9125"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(100)</w:t>
            </w:r>
          </w:p>
        </w:tc>
        <w:tc>
          <w:tcPr>
            <w:tcW w:w="1418" w:type="dxa"/>
            <w:shd w:val="clear" w:color="auto" w:fill="auto"/>
            <w:tcMar>
              <w:top w:w="20" w:type="dxa"/>
              <w:left w:w="20" w:type="dxa"/>
              <w:bottom w:w="20" w:type="dxa"/>
              <w:right w:w="20" w:type="dxa"/>
            </w:tcMar>
            <w:vAlign w:val="center"/>
          </w:tcPr>
          <w:p w14:paraId="26001009"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6B73E9B5"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(18,891)</w:t>
            </w:r>
          </w:p>
        </w:tc>
      </w:tr>
      <w:tr w:rsidR="00003D29" w:rsidRPr="000D67C6" w14:paraId="156CCBBA"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0DC7100"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Depreciation written out to the Surplus/Deficit on the Provision of Services</w:t>
            </w:r>
          </w:p>
        </w:tc>
        <w:tc>
          <w:tcPr>
            <w:tcW w:w="1058" w:type="dxa"/>
            <w:tcBorders>
              <w:left w:val="single" w:sz="4" w:space="0" w:color="auto"/>
            </w:tcBorders>
            <w:shd w:val="clear" w:color="auto" w:fill="auto"/>
            <w:tcMar>
              <w:top w:w="20" w:type="dxa"/>
              <w:left w:w="20" w:type="dxa"/>
              <w:bottom w:w="20" w:type="dxa"/>
              <w:right w:w="20" w:type="dxa"/>
            </w:tcMar>
            <w:vAlign w:val="center"/>
          </w:tcPr>
          <w:p w14:paraId="13E7D648" w14:textId="08A94ECA"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(1,24</w:t>
            </w:r>
            <w:r w:rsidR="00810E04" w:rsidRPr="000D67C6">
              <w:rPr>
                <w:rFonts w:ascii="Arial" w:eastAsia="Verdana" w:hAnsi="Arial" w:cs="Arial"/>
                <w:sz w:val="20"/>
                <w:szCs w:val="20"/>
                <w:lang w:val="en-GB"/>
              </w:rPr>
              <w:t>1</w:t>
            </w:r>
            <w:r w:rsidRPr="000D67C6">
              <w:rPr>
                <w:rFonts w:ascii="Arial" w:eastAsia="Verdana" w:hAnsi="Arial" w:cs="Arial"/>
                <w:sz w:val="20"/>
                <w:szCs w:val="20"/>
                <w:lang w:val="en-GB"/>
              </w:rPr>
              <w:t>)</w:t>
            </w:r>
          </w:p>
        </w:tc>
        <w:tc>
          <w:tcPr>
            <w:tcW w:w="1230" w:type="dxa"/>
            <w:shd w:val="clear" w:color="auto" w:fill="auto"/>
            <w:tcMar>
              <w:top w:w="20" w:type="dxa"/>
              <w:left w:w="20" w:type="dxa"/>
              <w:bottom w:w="20" w:type="dxa"/>
              <w:right w:w="20" w:type="dxa"/>
            </w:tcMar>
            <w:vAlign w:val="center"/>
          </w:tcPr>
          <w:p w14:paraId="4014545C"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w:t>
            </w:r>
            <w:r w:rsidR="00975460" w:rsidRPr="000D67C6">
              <w:rPr>
                <w:rFonts w:ascii="Arial" w:eastAsia="Verdana" w:hAnsi="Arial" w:cs="Arial"/>
                <w:sz w:val="20"/>
                <w:szCs w:val="20"/>
                <w:lang w:val="en-GB"/>
              </w:rPr>
              <w:t>1,535</w:t>
            </w:r>
            <w:r w:rsidRPr="000D67C6">
              <w:rPr>
                <w:rFonts w:ascii="Arial" w:eastAsia="Verdana" w:hAnsi="Arial" w:cs="Arial"/>
                <w:sz w:val="20"/>
                <w:szCs w:val="20"/>
                <w:lang w:val="en-GB"/>
              </w:rPr>
              <w:t>)</w:t>
            </w:r>
          </w:p>
        </w:tc>
        <w:tc>
          <w:tcPr>
            <w:tcW w:w="1534" w:type="dxa"/>
            <w:shd w:val="clear" w:color="auto" w:fill="auto"/>
            <w:tcMar>
              <w:top w:w="20" w:type="dxa"/>
              <w:left w:w="20" w:type="dxa"/>
              <w:bottom w:w="20" w:type="dxa"/>
              <w:right w:w="20" w:type="dxa"/>
            </w:tcMar>
            <w:vAlign w:val="center"/>
          </w:tcPr>
          <w:p w14:paraId="66F51CD8"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(8)</w:t>
            </w:r>
          </w:p>
        </w:tc>
        <w:tc>
          <w:tcPr>
            <w:tcW w:w="1418" w:type="dxa"/>
            <w:shd w:val="clear" w:color="auto" w:fill="auto"/>
            <w:tcMar>
              <w:top w:w="20" w:type="dxa"/>
              <w:left w:w="20" w:type="dxa"/>
              <w:bottom w:w="20" w:type="dxa"/>
              <w:right w:w="20" w:type="dxa"/>
            </w:tcMar>
            <w:vAlign w:val="center"/>
          </w:tcPr>
          <w:p w14:paraId="646078FC"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640E58AD" w14:textId="5A688536" w:rsidR="00003D29" w:rsidRPr="000D67C6" w:rsidRDefault="00686D7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w:t>
            </w:r>
            <w:r w:rsidR="00A43E1A" w:rsidRPr="000D67C6">
              <w:rPr>
                <w:rFonts w:ascii="Arial" w:eastAsia="Verdana" w:hAnsi="Arial" w:cs="Arial"/>
                <w:b/>
                <w:sz w:val="20"/>
                <w:szCs w:val="20"/>
                <w:lang w:val="en-GB"/>
              </w:rPr>
              <w:t>78</w:t>
            </w:r>
            <w:r w:rsidR="00810E04" w:rsidRPr="000D67C6">
              <w:rPr>
                <w:rFonts w:ascii="Arial" w:eastAsia="Verdana" w:hAnsi="Arial" w:cs="Arial"/>
                <w:b/>
                <w:sz w:val="20"/>
                <w:szCs w:val="20"/>
                <w:lang w:val="en-GB"/>
              </w:rPr>
              <w:t>4</w:t>
            </w:r>
            <w:r w:rsidRPr="000D67C6">
              <w:rPr>
                <w:rFonts w:ascii="Arial" w:eastAsia="Verdana" w:hAnsi="Arial" w:cs="Arial"/>
                <w:b/>
                <w:sz w:val="20"/>
                <w:szCs w:val="20"/>
                <w:lang w:val="en-GB"/>
              </w:rPr>
              <w:t>)</w:t>
            </w:r>
          </w:p>
        </w:tc>
      </w:tr>
      <w:tr w:rsidR="00F842AB" w:rsidRPr="000D67C6" w14:paraId="2924FE98"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57E3FAB" w14:textId="5CC5861C" w:rsidR="00F842AB" w:rsidRPr="000D67C6" w:rsidRDefault="00F842AB"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Derecognition - Impairment</w:t>
            </w:r>
          </w:p>
        </w:tc>
        <w:tc>
          <w:tcPr>
            <w:tcW w:w="1058" w:type="dxa"/>
            <w:tcBorders>
              <w:left w:val="single" w:sz="4" w:space="0" w:color="auto"/>
            </w:tcBorders>
            <w:shd w:val="clear" w:color="auto" w:fill="auto"/>
            <w:tcMar>
              <w:top w:w="20" w:type="dxa"/>
              <w:left w:w="20" w:type="dxa"/>
              <w:bottom w:w="20" w:type="dxa"/>
              <w:right w:w="20" w:type="dxa"/>
            </w:tcMar>
            <w:vAlign w:val="center"/>
          </w:tcPr>
          <w:p w14:paraId="275D51DF" w14:textId="3DA2454C" w:rsidR="00F842AB" w:rsidRPr="000D67C6" w:rsidRDefault="00810E04"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12</w:t>
            </w:r>
          </w:p>
        </w:tc>
        <w:tc>
          <w:tcPr>
            <w:tcW w:w="1230" w:type="dxa"/>
            <w:shd w:val="clear" w:color="auto" w:fill="auto"/>
            <w:tcMar>
              <w:top w:w="20" w:type="dxa"/>
              <w:left w:w="20" w:type="dxa"/>
              <w:bottom w:w="20" w:type="dxa"/>
              <w:right w:w="20" w:type="dxa"/>
            </w:tcMar>
            <w:vAlign w:val="center"/>
          </w:tcPr>
          <w:p w14:paraId="421AAE2E" w14:textId="15494563" w:rsidR="00F842AB" w:rsidRPr="000D67C6" w:rsidRDefault="00810E04"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534" w:type="dxa"/>
            <w:shd w:val="clear" w:color="auto" w:fill="auto"/>
            <w:tcMar>
              <w:top w:w="20" w:type="dxa"/>
              <w:left w:w="20" w:type="dxa"/>
              <w:bottom w:w="20" w:type="dxa"/>
              <w:right w:w="20" w:type="dxa"/>
            </w:tcMar>
            <w:vAlign w:val="center"/>
          </w:tcPr>
          <w:p w14:paraId="1498F035" w14:textId="36F79319" w:rsidR="00F842AB" w:rsidRPr="000D67C6" w:rsidRDefault="00810E04"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4A43DE65" w14:textId="52D2FF65" w:rsidR="00F842AB" w:rsidRPr="000D67C6" w:rsidRDefault="00810E04"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28B7AAED" w14:textId="2D97D3F0" w:rsidR="00F842AB" w:rsidRPr="000D67C6" w:rsidRDefault="00810E04"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12</w:t>
            </w:r>
          </w:p>
        </w:tc>
      </w:tr>
      <w:tr w:rsidR="00003D29" w:rsidRPr="000D67C6" w14:paraId="375BAA77"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09D0611C" w14:textId="77777777" w:rsidR="00003D29" w:rsidRPr="000D67C6" w:rsidRDefault="00003D29" w:rsidP="00003D29">
            <w:pPr>
              <w:pStyle w:val="T1TableStyle"/>
              <w:rPr>
                <w:rFonts w:ascii="Arial" w:eastAsia="Verdana" w:hAnsi="Arial" w:cs="Arial"/>
                <w:sz w:val="20"/>
                <w:szCs w:val="20"/>
                <w:lang w:val="en-GB"/>
              </w:rPr>
            </w:pPr>
            <w:r w:rsidRPr="000D67C6">
              <w:rPr>
                <w:rFonts w:ascii="Arial" w:eastAsia="Verdana" w:hAnsi="Arial" w:cs="Arial"/>
                <w:sz w:val="20"/>
                <w:szCs w:val="20"/>
                <w:lang w:val="en-GB"/>
              </w:rPr>
              <w:t>Derecognition – disposals</w:t>
            </w:r>
          </w:p>
        </w:tc>
        <w:tc>
          <w:tcPr>
            <w:tcW w:w="1058" w:type="dxa"/>
            <w:tcBorders>
              <w:left w:val="single" w:sz="4" w:space="0" w:color="auto"/>
            </w:tcBorders>
            <w:shd w:val="clear" w:color="auto" w:fill="auto"/>
            <w:tcMar>
              <w:top w:w="20" w:type="dxa"/>
              <w:left w:w="20" w:type="dxa"/>
              <w:bottom w:w="20" w:type="dxa"/>
              <w:right w:w="20" w:type="dxa"/>
            </w:tcMar>
            <w:vAlign w:val="center"/>
          </w:tcPr>
          <w:p w14:paraId="1A2A2E0A"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230" w:type="dxa"/>
            <w:shd w:val="clear" w:color="auto" w:fill="auto"/>
            <w:tcMar>
              <w:top w:w="20" w:type="dxa"/>
              <w:left w:w="20" w:type="dxa"/>
              <w:bottom w:w="20" w:type="dxa"/>
              <w:right w:w="20" w:type="dxa"/>
            </w:tcMar>
            <w:vAlign w:val="center"/>
          </w:tcPr>
          <w:p w14:paraId="5F34F851"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1,070</w:t>
            </w:r>
          </w:p>
        </w:tc>
        <w:tc>
          <w:tcPr>
            <w:tcW w:w="1534" w:type="dxa"/>
            <w:shd w:val="clear" w:color="auto" w:fill="auto"/>
            <w:tcMar>
              <w:top w:w="20" w:type="dxa"/>
              <w:left w:w="20" w:type="dxa"/>
              <w:bottom w:w="20" w:type="dxa"/>
              <w:right w:w="20" w:type="dxa"/>
            </w:tcMar>
            <w:vAlign w:val="center"/>
          </w:tcPr>
          <w:p w14:paraId="0E272E98"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103337AB" w14:textId="77777777" w:rsidR="00003D29" w:rsidRPr="000D67C6" w:rsidRDefault="00686D73" w:rsidP="00003D29">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17EB4250" w14:textId="77777777"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1,070</w:t>
            </w:r>
          </w:p>
        </w:tc>
      </w:tr>
      <w:tr w:rsidR="00003D29" w:rsidRPr="000D67C6" w14:paraId="45526401" w14:textId="77777777" w:rsidTr="001D113F">
        <w:trPr>
          <w:trHeight w:val="300"/>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2A761EF"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9</w:t>
            </w:r>
          </w:p>
        </w:tc>
        <w:tc>
          <w:tcPr>
            <w:tcW w:w="1058" w:type="dxa"/>
            <w:tcBorders>
              <w:top w:val="single" w:sz="2" w:space="0" w:color="000000"/>
              <w:left w:val="single" w:sz="4" w:space="0" w:color="auto"/>
            </w:tcBorders>
            <w:shd w:val="clear" w:color="auto" w:fill="auto"/>
            <w:tcMar>
              <w:top w:w="20" w:type="dxa"/>
              <w:left w:w="20" w:type="dxa"/>
              <w:bottom w:w="20" w:type="dxa"/>
              <w:right w:w="20" w:type="dxa"/>
            </w:tcMar>
            <w:vAlign w:val="center"/>
          </w:tcPr>
          <w:p w14:paraId="7A64EB55" w14:textId="33D3D7AB" w:rsidR="00003D29" w:rsidRPr="000D67C6" w:rsidRDefault="00686D7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(4,8</w:t>
            </w:r>
            <w:r w:rsidR="00810E04" w:rsidRPr="000D67C6">
              <w:rPr>
                <w:rFonts w:ascii="Arial" w:eastAsia="Verdana" w:hAnsi="Arial" w:cs="Arial"/>
                <w:b/>
                <w:sz w:val="20"/>
                <w:szCs w:val="20"/>
                <w:lang w:val="en-GB"/>
              </w:rPr>
              <w:t>03</w:t>
            </w:r>
            <w:r w:rsidRPr="000D67C6">
              <w:rPr>
                <w:rFonts w:ascii="Arial" w:eastAsia="Verdana" w:hAnsi="Arial" w:cs="Arial"/>
                <w:b/>
                <w:sz w:val="20"/>
                <w:szCs w:val="20"/>
                <w:lang w:val="en-GB"/>
              </w:rPr>
              <w:t>)</w:t>
            </w:r>
          </w:p>
        </w:tc>
        <w:tc>
          <w:tcPr>
            <w:tcW w:w="1230" w:type="dxa"/>
            <w:tcBorders>
              <w:top w:val="single" w:sz="2" w:space="0" w:color="000000"/>
            </w:tcBorders>
            <w:shd w:val="clear" w:color="auto" w:fill="auto"/>
            <w:tcMar>
              <w:top w:w="20" w:type="dxa"/>
              <w:left w:w="20" w:type="dxa"/>
              <w:bottom w:w="20" w:type="dxa"/>
              <w:right w:w="20" w:type="dxa"/>
            </w:tcMar>
            <w:vAlign w:val="center"/>
          </w:tcPr>
          <w:p w14:paraId="0CA51019" w14:textId="77777777" w:rsidR="00003D29" w:rsidRPr="000D67C6" w:rsidRDefault="00686D7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w:t>
            </w:r>
            <w:r w:rsidR="00975460" w:rsidRPr="000D67C6">
              <w:rPr>
                <w:rFonts w:ascii="Arial" w:eastAsia="Verdana" w:hAnsi="Arial" w:cs="Arial"/>
                <w:b/>
                <w:sz w:val="20"/>
                <w:szCs w:val="20"/>
                <w:lang w:val="en-GB"/>
              </w:rPr>
              <w:t>5,682</w:t>
            </w:r>
            <w:r w:rsidRPr="000D67C6">
              <w:rPr>
                <w:rFonts w:ascii="Arial" w:eastAsia="Verdana" w:hAnsi="Arial" w:cs="Arial"/>
                <w:b/>
                <w:sz w:val="20"/>
                <w:szCs w:val="20"/>
                <w:lang w:val="en-GB"/>
              </w:rPr>
              <w:t>)</w:t>
            </w:r>
          </w:p>
        </w:tc>
        <w:tc>
          <w:tcPr>
            <w:tcW w:w="1534" w:type="dxa"/>
            <w:tcBorders>
              <w:top w:val="single" w:sz="2" w:space="0" w:color="000000"/>
            </w:tcBorders>
            <w:shd w:val="clear" w:color="auto" w:fill="auto"/>
            <w:tcMar>
              <w:top w:w="20" w:type="dxa"/>
              <w:left w:w="20" w:type="dxa"/>
              <w:bottom w:w="20" w:type="dxa"/>
              <w:right w:w="20" w:type="dxa"/>
            </w:tcMar>
            <w:vAlign w:val="center"/>
          </w:tcPr>
          <w:p w14:paraId="33673812" w14:textId="77777777" w:rsidR="00003D29" w:rsidRPr="000D67C6" w:rsidRDefault="00686D7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(108)</w:t>
            </w:r>
          </w:p>
        </w:tc>
        <w:tc>
          <w:tcPr>
            <w:tcW w:w="1418" w:type="dxa"/>
            <w:tcBorders>
              <w:top w:val="single" w:sz="2" w:space="0" w:color="000000"/>
            </w:tcBorders>
            <w:shd w:val="clear" w:color="auto" w:fill="auto"/>
            <w:tcMar>
              <w:top w:w="20" w:type="dxa"/>
              <w:left w:w="20" w:type="dxa"/>
              <w:bottom w:w="20" w:type="dxa"/>
              <w:right w:w="20" w:type="dxa"/>
            </w:tcMar>
            <w:vAlign w:val="center"/>
          </w:tcPr>
          <w:p w14:paraId="19DECBBB" w14:textId="77777777" w:rsidR="00003D29" w:rsidRPr="000D67C6" w:rsidRDefault="00686D7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w:t>
            </w:r>
          </w:p>
        </w:tc>
        <w:tc>
          <w:tcPr>
            <w:tcW w:w="1134" w:type="dxa"/>
            <w:tcBorders>
              <w:top w:val="single" w:sz="2" w:space="0" w:color="000000"/>
              <w:right w:val="single" w:sz="4" w:space="0" w:color="auto"/>
            </w:tcBorders>
            <w:shd w:val="clear" w:color="auto" w:fill="auto"/>
            <w:tcMar>
              <w:top w:w="20" w:type="dxa"/>
              <w:left w:w="20" w:type="dxa"/>
              <w:bottom w:w="20" w:type="dxa"/>
              <w:right w:w="20" w:type="dxa"/>
            </w:tcMar>
            <w:vAlign w:val="center"/>
          </w:tcPr>
          <w:p w14:paraId="133A7976" w14:textId="6C5239F8"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w:t>
            </w:r>
            <w:r w:rsidR="00A43E1A" w:rsidRPr="000D67C6">
              <w:rPr>
                <w:rFonts w:ascii="Arial" w:eastAsia="Verdana" w:hAnsi="Arial" w:cs="Arial"/>
                <w:b/>
                <w:sz w:val="20"/>
                <w:szCs w:val="20"/>
                <w:lang w:val="en-GB"/>
              </w:rPr>
              <w:t>20,</w:t>
            </w:r>
            <w:r w:rsidR="00810E04" w:rsidRPr="000D67C6">
              <w:rPr>
                <w:rFonts w:ascii="Arial" w:eastAsia="Verdana" w:hAnsi="Arial" w:cs="Arial"/>
                <w:b/>
                <w:sz w:val="20"/>
                <w:szCs w:val="20"/>
                <w:lang w:val="en-GB"/>
              </w:rPr>
              <w:t>593</w:t>
            </w:r>
            <w:r w:rsidRPr="000D67C6">
              <w:rPr>
                <w:rFonts w:ascii="Arial" w:eastAsia="Verdana" w:hAnsi="Arial" w:cs="Arial"/>
                <w:b/>
                <w:sz w:val="20"/>
                <w:szCs w:val="20"/>
                <w:lang w:val="en-GB"/>
              </w:rPr>
              <w:t>)</w:t>
            </w:r>
          </w:p>
        </w:tc>
      </w:tr>
      <w:tr w:rsidR="00003D29" w:rsidRPr="000D67C6" w14:paraId="43FEA7A1" w14:textId="77777777" w:rsidTr="001D113F">
        <w:trPr>
          <w:trHeight w:val="347"/>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04D366CA"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Net Book Value</w:t>
            </w:r>
          </w:p>
        </w:tc>
        <w:tc>
          <w:tcPr>
            <w:tcW w:w="1058" w:type="dxa"/>
            <w:tcBorders>
              <w:left w:val="single" w:sz="4" w:space="0" w:color="auto"/>
            </w:tcBorders>
            <w:shd w:val="clear" w:color="auto" w:fill="auto"/>
            <w:tcMar>
              <w:top w:w="20" w:type="dxa"/>
              <w:left w:w="20" w:type="dxa"/>
              <w:bottom w:w="20" w:type="dxa"/>
              <w:right w:w="20" w:type="dxa"/>
            </w:tcMar>
            <w:vAlign w:val="center"/>
          </w:tcPr>
          <w:p w14:paraId="3D1B007D" w14:textId="77777777" w:rsidR="00003D29" w:rsidRPr="000D67C6" w:rsidRDefault="00003D29" w:rsidP="00003D29">
            <w:pPr>
              <w:pStyle w:val="T1TableStyle"/>
              <w:jc w:val="center"/>
              <w:rPr>
                <w:rFonts w:ascii="Arial" w:eastAsia="Verdana" w:hAnsi="Arial" w:cs="Arial"/>
                <w:b/>
                <w:sz w:val="20"/>
                <w:szCs w:val="20"/>
                <w:lang w:val="en-GB"/>
              </w:rPr>
            </w:pPr>
          </w:p>
        </w:tc>
        <w:tc>
          <w:tcPr>
            <w:tcW w:w="1230" w:type="dxa"/>
            <w:shd w:val="clear" w:color="auto" w:fill="auto"/>
            <w:tcMar>
              <w:top w:w="20" w:type="dxa"/>
              <w:left w:w="20" w:type="dxa"/>
              <w:bottom w:w="20" w:type="dxa"/>
              <w:right w:w="20" w:type="dxa"/>
            </w:tcMar>
            <w:vAlign w:val="center"/>
          </w:tcPr>
          <w:p w14:paraId="4FEEA296" w14:textId="77777777" w:rsidR="00003D29" w:rsidRPr="000D67C6" w:rsidRDefault="00003D29" w:rsidP="00003D29">
            <w:pPr>
              <w:pStyle w:val="T1TableStyle"/>
              <w:jc w:val="center"/>
              <w:rPr>
                <w:rFonts w:ascii="Arial" w:eastAsia="Verdana" w:hAnsi="Arial" w:cs="Arial"/>
                <w:b/>
                <w:sz w:val="20"/>
                <w:szCs w:val="20"/>
                <w:lang w:val="en-GB"/>
              </w:rPr>
            </w:pPr>
          </w:p>
        </w:tc>
        <w:tc>
          <w:tcPr>
            <w:tcW w:w="1534" w:type="dxa"/>
            <w:shd w:val="clear" w:color="auto" w:fill="auto"/>
            <w:tcMar>
              <w:top w:w="20" w:type="dxa"/>
              <w:left w:w="20" w:type="dxa"/>
              <w:bottom w:w="20" w:type="dxa"/>
              <w:right w:w="20" w:type="dxa"/>
            </w:tcMar>
            <w:vAlign w:val="center"/>
          </w:tcPr>
          <w:p w14:paraId="10E032E8" w14:textId="77777777" w:rsidR="00003D29" w:rsidRPr="000D67C6" w:rsidRDefault="00003D29" w:rsidP="00003D29">
            <w:pPr>
              <w:pStyle w:val="T1TableStyle"/>
              <w:jc w:val="center"/>
              <w:rPr>
                <w:rFonts w:ascii="Arial" w:eastAsia="Verdana" w:hAnsi="Arial" w:cs="Arial"/>
                <w:b/>
                <w:sz w:val="20"/>
                <w:szCs w:val="20"/>
                <w:lang w:val="en-GB"/>
              </w:rPr>
            </w:pPr>
          </w:p>
        </w:tc>
        <w:tc>
          <w:tcPr>
            <w:tcW w:w="1418" w:type="dxa"/>
            <w:shd w:val="clear" w:color="auto" w:fill="auto"/>
            <w:tcMar>
              <w:top w:w="20" w:type="dxa"/>
              <w:left w:w="20" w:type="dxa"/>
              <w:bottom w:w="20" w:type="dxa"/>
              <w:right w:w="20" w:type="dxa"/>
            </w:tcMar>
            <w:vAlign w:val="center"/>
          </w:tcPr>
          <w:p w14:paraId="040D9CAA" w14:textId="77777777" w:rsidR="00003D29" w:rsidRPr="000D67C6" w:rsidRDefault="00003D29" w:rsidP="00003D29">
            <w:pPr>
              <w:pStyle w:val="T1TableStyle"/>
              <w:jc w:val="center"/>
              <w:rPr>
                <w:rFonts w:ascii="Arial" w:eastAsia="Verdana" w:hAnsi="Arial" w:cs="Arial"/>
                <w:b/>
                <w:sz w:val="20"/>
                <w:szCs w:val="20"/>
                <w:lang w:val="en-GB"/>
              </w:rPr>
            </w:pPr>
          </w:p>
        </w:tc>
        <w:tc>
          <w:tcPr>
            <w:tcW w:w="1134" w:type="dxa"/>
            <w:tcBorders>
              <w:right w:val="single" w:sz="4" w:space="0" w:color="auto"/>
            </w:tcBorders>
            <w:shd w:val="clear" w:color="auto" w:fill="auto"/>
            <w:tcMar>
              <w:top w:w="20" w:type="dxa"/>
              <w:left w:w="20" w:type="dxa"/>
              <w:bottom w:w="20" w:type="dxa"/>
              <w:right w:w="20" w:type="dxa"/>
            </w:tcMar>
            <w:vAlign w:val="center"/>
          </w:tcPr>
          <w:p w14:paraId="193FE9F2" w14:textId="77777777" w:rsidR="00003D29" w:rsidRPr="000D67C6" w:rsidRDefault="00003D29" w:rsidP="00003D29">
            <w:pPr>
              <w:pStyle w:val="T1TableStyle"/>
              <w:jc w:val="center"/>
              <w:rPr>
                <w:rFonts w:ascii="Arial" w:eastAsia="Verdana" w:hAnsi="Arial" w:cs="Arial"/>
                <w:b/>
                <w:sz w:val="20"/>
                <w:szCs w:val="20"/>
                <w:lang w:val="en-GB"/>
              </w:rPr>
            </w:pPr>
          </w:p>
        </w:tc>
      </w:tr>
      <w:tr w:rsidR="00003D29" w:rsidRPr="000D67C6" w14:paraId="37DDD07B" w14:textId="77777777" w:rsidTr="001D113F">
        <w:trPr>
          <w:trHeight w:val="322"/>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B71A69B"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8</w:t>
            </w:r>
          </w:p>
        </w:tc>
        <w:tc>
          <w:tcPr>
            <w:tcW w:w="1058" w:type="dxa"/>
            <w:tcBorders>
              <w:left w:val="single" w:sz="4" w:space="0" w:color="auto"/>
            </w:tcBorders>
            <w:shd w:val="clear" w:color="auto" w:fill="auto"/>
            <w:tcMar>
              <w:top w:w="20" w:type="dxa"/>
              <w:left w:w="20" w:type="dxa"/>
              <w:bottom w:w="20" w:type="dxa"/>
              <w:right w:w="20" w:type="dxa"/>
            </w:tcMar>
            <w:vAlign w:val="center"/>
          </w:tcPr>
          <w:p w14:paraId="721136FC"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50,080</w:t>
            </w:r>
          </w:p>
        </w:tc>
        <w:tc>
          <w:tcPr>
            <w:tcW w:w="1230" w:type="dxa"/>
            <w:shd w:val="clear" w:color="auto" w:fill="auto"/>
            <w:tcMar>
              <w:top w:w="20" w:type="dxa"/>
              <w:left w:w="20" w:type="dxa"/>
              <w:bottom w:w="20" w:type="dxa"/>
              <w:right w:w="20" w:type="dxa"/>
            </w:tcMar>
            <w:vAlign w:val="center"/>
          </w:tcPr>
          <w:p w14:paraId="197767F9"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9,985</w:t>
            </w:r>
          </w:p>
        </w:tc>
        <w:tc>
          <w:tcPr>
            <w:tcW w:w="1534" w:type="dxa"/>
            <w:shd w:val="clear" w:color="auto" w:fill="auto"/>
            <w:tcMar>
              <w:top w:w="20" w:type="dxa"/>
              <w:left w:w="20" w:type="dxa"/>
              <w:bottom w:w="20" w:type="dxa"/>
              <w:right w:w="20" w:type="dxa"/>
            </w:tcMar>
            <w:vAlign w:val="center"/>
          </w:tcPr>
          <w:p w14:paraId="14DC69D7"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222</w:t>
            </w:r>
          </w:p>
        </w:tc>
        <w:tc>
          <w:tcPr>
            <w:tcW w:w="1418" w:type="dxa"/>
            <w:shd w:val="clear" w:color="auto" w:fill="auto"/>
            <w:tcMar>
              <w:top w:w="20" w:type="dxa"/>
              <w:left w:w="20" w:type="dxa"/>
              <w:bottom w:w="20" w:type="dxa"/>
              <w:right w:w="20" w:type="dxa"/>
            </w:tcMar>
            <w:vAlign w:val="center"/>
          </w:tcPr>
          <w:p w14:paraId="66D5214A"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1,434</w:t>
            </w:r>
          </w:p>
        </w:tc>
        <w:tc>
          <w:tcPr>
            <w:tcW w:w="1134" w:type="dxa"/>
            <w:tcBorders>
              <w:right w:val="single" w:sz="4" w:space="0" w:color="auto"/>
            </w:tcBorders>
            <w:shd w:val="clear" w:color="auto" w:fill="auto"/>
            <w:tcMar>
              <w:top w:w="20" w:type="dxa"/>
              <w:left w:w="20" w:type="dxa"/>
              <w:bottom w:w="20" w:type="dxa"/>
              <w:right w:w="20" w:type="dxa"/>
            </w:tcMar>
            <w:vAlign w:val="center"/>
          </w:tcPr>
          <w:p w14:paraId="196AF8F7" w14:textId="77777777" w:rsidR="00003D29" w:rsidRPr="000D67C6" w:rsidRDefault="00252A7B"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61,721</w:t>
            </w:r>
          </w:p>
        </w:tc>
      </w:tr>
      <w:tr w:rsidR="00003D29" w:rsidRPr="000D67C6" w14:paraId="759E0371" w14:textId="77777777" w:rsidTr="001D113F">
        <w:trPr>
          <w:trHeight w:val="327"/>
        </w:trPr>
        <w:tc>
          <w:tcPr>
            <w:tcW w:w="3408" w:type="dxa"/>
            <w:tcBorders>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5393D3BA" w14:textId="77777777" w:rsidR="00003D29" w:rsidRPr="000D67C6" w:rsidRDefault="00003D29" w:rsidP="00003D29">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w:t>
            </w:r>
            <w:r w:rsidR="00790DD4" w:rsidRPr="000D67C6">
              <w:rPr>
                <w:rFonts w:ascii="Arial" w:eastAsia="Verdana" w:hAnsi="Arial" w:cs="Arial"/>
                <w:b/>
                <w:sz w:val="20"/>
                <w:szCs w:val="20"/>
                <w:lang w:val="en-GB"/>
              </w:rPr>
              <w:t>9</w:t>
            </w:r>
          </w:p>
        </w:tc>
        <w:tc>
          <w:tcPr>
            <w:tcW w:w="1058" w:type="dxa"/>
            <w:tcBorders>
              <w:left w:val="single" w:sz="4" w:space="0" w:color="auto"/>
              <w:bottom w:val="single" w:sz="4" w:space="0" w:color="auto"/>
            </w:tcBorders>
            <w:shd w:val="clear" w:color="auto" w:fill="auto"/>
            <w:tcMar>
              <w:top w:w="20" w:type="dxa"/>
              <w:left w:w="20" w:type="dxa"/>
              <w:bottom w:w="20" w:type="dxa"/>
              <w:right w:w="20" w:type="dxa"/>
            </w:tcMar>
            <w:vAlign w:val="center"/>
          </w:tcPr>
          <w:p w14:paraId="692E66A0" w14:textId="1BB97ED6"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49,4</w:t>
            </w:r>
            <w:r w:rsidR="00810E04" w:rsidRPr="000D67C6">
              <w:rPr>
                <w:rFonts w:ascii="Arial" w:eastAsia="Verdana" w:hAnsi="Arial" w:cs="Arial"/>
                <w:b/>
                <w:sz w:val="20"/>
                <w:szCs w:val="20"/>
                <w:lang w:val="en-GB"/>
              </w:rPr>
              <w:t>14</w:t>
            </w:r>
          </w:p>
        </w:tc>
        <w:tc>
          <w:tcPr>
            <w:tcW w:w="1230" w:type="dxa"/>
            <w:tcBorders>
              <w:bottom w:val="single" w:sz="4" w:space="0" w:color="auto"/>
            </w:tcBorders>
            <w:shd w:val="clear" w:color="auto" w:fill="auto"/>
            <w:tcMar>
              <w:top w:w="20" w:type="dxa"/>
              <w:left w:w="20" w:type="dxa"/>
              <w:bottom w:w="20" w:type="dxa"/>
              <w:right w:w="20" w:type="dxa"/>
            </w:tcMar>
            <w:vAlign w:val="center"/>
          </w:tcPr>
          <w:p w14:paraId="34240315" w14:textId="77777777"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11,</w:t>
            </w:r>
            <w:r w:rsidR="00A43E1A" w:rsidRPr="000D67C6">
              <w:rPr>
                <w:rFonts w:ascii="Arial" w:eastAsia="Verdana" w:hAnsi="Arial" w:cs="Arial"/>
                <w:b/>
                <w:sz w:val="20"/>
                <w:szCs w:val="20"/>
                <w:lang w:val="en-GB"/>
              </w:rPr>
              <w:t>11</w:t>
            </w:r>
            <w:r w:rsidRPr="000D67C6">
              <w:rPr>
                <w:rFonts w:ascii="Arial" w:eastAsia="Verdana" w:hAnsi="Arial" w:cs="Arial"/>
                <w:b/>
                <w:sz w:val="20"/>
                <w:szCs w:val="20"/>
                <w:lang w:val="en-GB"/>
              </w:rPr>
              <w:t>3</w:t>
            </w:r>
          </w:p>
        </w:tc>
        <w:tc>
          <w:tcPr>
            <w:tcW w:w="1534" w:type="dxa"/>
            <w:tcBorders>
              <w:bottom w:val="single" w:sz="4" w:space="0" w:color="auto"/>
            </w:tcBorders>
            <w:shd w:val="clear" w:color="auto" w:fill="auto"/>
            <w:tcMar>
              <w:top w:w="20" w:type="dxa"/>
              <w:left w:w="20" w:type="dxa"/>
              <w:bottom w:w="20" w:type="dxa"/>
              <w:right w:w="20" w:type="dxa"/>
            </w:tcMar>
            <w:vAlign w:val="center"/>
          </w:tcPr>
          <w:p w14:paraId="6497193D" w14:textId="77777777"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236</w:t>
            </w:r>
          </w:p>
        </w:tc>
        <w:tc>
          <w:tcPr>
            <w:tcW w:w="1418" w:type="dxa"/>
            <w:tcBorders>
              <w:bottom w:val="single" w:sz="4" w:space="0" w:color="auto"/>
            </w:tcBorders>
            <w:shd w:val="clear" w:color="auto" w:fill="auto"/>
            <w:tcMar>
              <w:top w:w="20" w:type="dxa"/>
              <w:left w:w="20" w:type="dxa"/>
              <w:bottom w:w="20" w:type="dxa"/>
              <w:right w:w="20" w:type="dxa"/>
            </w:tcMar>
            <w:vAlign w:val="center"/>
          </w:tcPr>
          <w:p w14:paraId="13B0267C" w14:textId="77777777" w:rsidR="00003D29" w:rsidRPr="000D67C6" w:rsidRDefault="00F43D53"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225</w:t>
            </w:r>
          </w:p>
        </w:tc>
        <w:tc>
          <w:tcPr>
            <w:tcW w:w="1134" w:type="dxa"/>
            <w:tcBorders>
              <w:bottom w:val="single" w:sz="4" w:space="0" w:color="auto"/>
              <w:right w:val="single" w:sz="4" w:space="0" w:color="auto"/>
            </w:tcBorders>
            <w:shd w:val="clear" w:color="auto" w:fill="auto"/>
            <w:tcMar>
              <w:top w:w="20" w:type="dxa"/>
              <w:left w:w="20" w:type="dxa"/>
              <w:bottom w:w="20" w:type="dxa"/>
              <w:right w:w="20" w:type="dxa"/>
            </w:tcMar>
            <w:vAlign w:val="center"/>
          </w:tcPr>
          <w:p w14:paraId="67C1170C" w14:textId="7F799722" w:rsidR="00003D29" w:rsidRPr="000D67C6" w:rsidRDefault="00810E04" w:rsidP="00003D29">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60,988</w:t>
            </w:r>
          </w:p>
        </w:tc>
      </w:tr>
      <w:bookmarkEnd w:id="2"/>
    </w:tbl>
    <w:p w14:paraId="49F70F52" w14:textId="77777777" w:rsidR="00AE38C7" w:rsidRPr="000D67C6" w:rsidRDefault="00AE38C7"/>
    <w:tbl>
      <w:tblPr>
        <w:tblW w:w="9782" w:type="dxa"/>
        <w:tblInd w:w="-431" w:type="dxa"/>
        <w:tblLayout w:type="fixed"/>
        <w:tblLook w:val="04A0" w:firstRow="1" w:lastRow="0" w:firstColumn="1" w:lastColumn="0" w:noHBand="0" w:noVBand="1"/>
      </w:tblPr>
      <w:tblGrid>
        <w:gridCol w:w="3408"/>
        <w:gridCol w:w="1058"/>
        <w:gridCol w:w="1230"/>
        <w:gridCol w:w="1534"/>
        <w:gridCol w:w="1418"/>
        <w:gridCol w:w="1134"/>
      </w:tblGrid>
      <w:tr w:rsidR="00790DD4" w:rsidRPr="000D67C6" w14:paraId="5FC9F2C6" w14:textId="77777777" w:rsidTr="00790DD4">
        <w:trPr>
          <w:trHeight w:val="870"/>
        </w:trPr>
        <w:tc>
          <w:tcPr>
            <w:tcW w:w="3408" w:type="dxa"/>
            <w:tcBorders>
              <w:top w:val="single" w:sz="4" w:space="0" w:color="auto"/>
              <w:left w:val="single" w:sz="4" w:space="0" w:color="auto"/>
              <w:right w:val="single" w:sz="4" w:space="0" w:color="auto"/>
            </w:tcBorders>
            <w:shd w:val="clear" w:color="auto" w:fill="auto"/>
            <w:tcMar>
              <w:top w:w="20" w:type="dxa"/>
              <w:left w:w="20" w:type="dxa"/>
              <w:bottom w:w="20" w:type="dxa"/>
              <w:right w:w="20" w:type="dxa"/>
            </w:tcMar>
            <w:vAlign w:val="center"/>
          </w:tcPr>
          <w:p w14:paraId="3D6175C1" w14:textId="18181C5C" w:rsidR="00790DD4" w:rsidRPr="000D67C6" w:rsidRDefault="002514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 xml:space="preserve">    </w:t>
            </w:r>
            <w:r w:rsidR="00790DD4" w:rsidRPr="000D67C6">
              <w:rPr>
                <w:rFonts w:ascii="Arial" w:eastAsia="Verdana" w:hAnsi="Arial" w:cs="Arial"/>
                <w:b/>
                <w:sz w:val="20"/>
                <w:szCs w:val="20"/>
                <w:lang w:val="en-GB"/>
              </w:rPr>
              <w:t>Movements to 31 March 2018</w:t>
            </w:r>
          </w:p>
        </w:tc>
        <w:tc>
          <w:tcPr>
            <w:tcW w:w="1058" w:type="dxa"/>
            <w:tcBorders>
              <w:top w:val="single" w:sz="4" w:space="0" w:color="auto"/>
              <w:left w:val="single" w:sz="4" w:space="0" w:color="auto"/>
            </w:tcBorders>
            <w:shd w:val="clear" w:color="auto" w:fill="auto"/>
            <w:tcMar>
              <w:top w:w="20" w:type="dxa"/>
              <w:left w:w="20" w:type="dxa"/>
              <w:bottom w:w="20" w:type="dxa"/>
              <w:right w:w="20" w:type="dxa"/>
            </w:tcMar>
            <w:vAlign w:val="bottom"/>
          </w:tcPr>
          <w:p w14:paraId="5EEF309F"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Land </w:t>
            </w:r>
            <w:r w:rsidRPr="000D67C6">
              <w:rPr>
                <w:rFonts w:ascii="Arial" w:eastAsia="Verdana" w:hAnsi="Arial" w:cs="Arial"/>
                <w:b/>
                <w:sz w:val="20"/>
                <w:szCs w:val="20"/>
                <w:lang w:val="en-GB"/>
              </w:rPr>
              <w:br/>
              <w:t xml:space="preserve">and </w:t>
            </w:r>
            <w:r w:rsidRPr="000D67C6">
              <w:rPr>
                <w:rFonts w:ascii="Arial" w:eastAsia="Verdana" w:hAnsi="Arial" w:cs="Arial"/>
                <w:b/>
                <w:sz w:val="20"/>
                <w:szCs w:val="20"/>
                <w:lang w:val="en-GB"/>
              </w:rPr>
              <w:br/>
              <w:t>Buildings</w:t>
            </w:r>
          </w:p>
        </w:tc>
        <w:tc>
          <w:tcPr>
            <w:tcW w:w="1230" w:type="dxa"/>
            <w:tcBorders>
              <w:top w:val="single" w:sz="4" w:space="0" w:color="auto"/>
            </w:tcBorders>
            <w:shd w:val="clear" w:color="auto" w:fill="auto"/>
            <w:tcMar>
              <w:top w:w="20" w:type="dxa"/>
              <w:left w:w="20" w:type="dxa"/>
              <w:bottom w:w="20" w:type="dxa"/>
              <w:right w:w="20" w:type="dxa"/>
            </w:tcMar>
            <w:vAlign w:val="bottom"/>
          </w:tcPr>
          <w:p w14:paraId="192936DB"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Vehicles, Plant, Furniture &amp; Equipment</w:t>
            </w:r>
          </w:p>
        </w:tc>
        <w:tc>
          <w:tcPr>
            <w:tcW w:w="1534" w:type="dxa"/>
            <w:tcBorders>
              <w:top w:val="single" w:sz="4" w:space="0" w:color="auto"/>
            </w:tcBorders>
            <w:shd w:val="clear" w:color="auto" w:fill="auto"/>
            <w:tcMar>
              <w:top w:w="20" w:type="dxa"/>
              <w:left w:w="20" w:type="dxa"/>
              <w:bottom w:w="20" w:type="dxa"/>
              <w:right w:w="20" w:type="dxa"/>
            </w:tcMar>
            <w:vAlign w:val="bottom"/>
          </w:tcPr>
          <w:p w14:paraId="5D2A2308"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Infrastructure Assets</w:t>
            </w:r>
          </w:p>
        </w:tc>
        <w:tc>
          <w:tcPr>
            <w:tcW w:w="1418" w:type="dxa"/>
            <w:tcBorders>
              <w:top w:val="single" w:sz="4" w:space="0" w:color="auto"/>
            </w:tcBorders>
            <w:shd w:val="clear" w:color="auto" w:fill="auto"/>
            <w:tcMar>
              <w:top w:w="20" w:type="dxa"/>
              <w:left w:w="20" w:type="dxa"/>
              <w:bottom w:w="20" w:type="dxa"/>
              <w:right w:w="20" w:type="dxa"/>
            </w:tcMar>
            <w:vAlign w:val="bottom"/>
          </w:tcPr>
          <w:p w14:paraId="348EE1F1"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Assets Under Construction</w:t>
            </w:r>
          </w:p>
        </w:tc>
        <w:tc>
          <w:tcPr>
            <w:tcW w:w="1134" w:type="dxa"/>
            <w:tcBorders>
              <w:top w:val="single" w:sz="4" w:space="0" w:color="auto"/>
              <w:right w:val="single" w:sz="4" w:space="0" w:color="auto"/>
            </w:tcBorders>
            <w:shd w:val="clear" w:color="auto" w:fill="auto"/>
            <w:tcMar>
              <w:top w:w="20" w:type="dxa"/>
              <w:left w:w="20" w:type="dxa"/>
              <w:bottom w:w="20" w:type="dxa"/>
              <w:right w:w="20" w:type="dxa"/>
            </w:tcMar>
            <w:vAlign w:val="bottom"/>
          </w:tcPr>
          <w:p w14:paraId="687EB3F0"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Total Property, Plant and Equipment</w:t>
            </w:r>
          </w:p>
        </w:tc>
      </w:tr>
      <w:tr w:rsidR="00790DD4" w:rsidRPr="000D67C6" w14:paraId="4E881466" w14:textId="77777777" w:rsidTr="001D113F">
        <w:trPr>
          <w:trHeight w:val="285"/>
        </w:trPr>
        <w:tc>
          <w:tcPr>
            <w:tcW w:w="3408" w:type="dxa"/>
            <w:tcBorders>
              <w:left w:val="single" w:sz="4" w:space="0" w:color="auto"/>
              <w:bottom w:val="single" w:sz="2" w:space="0" w:color="000000"/>
              <w:right w:val="single" w:sz="4" w:space="0" w:color="auto"/>
            </w:tcBorders>
            <w:shd w:val="clear" w:color="auto" w:fill="auto"/>
            <w:tcMar>
              <w:top w:w="20" w:type="dxa"/>
              <w:left w:w="20" w:type="dxa"/>
              <w:bottom w:w="20" w:type="dxa"/>
              <w:right w:w="20" w:type="dxa"/>
            </w:tcMar>
            <w:vAlign w:val="bottom"/>
          </w:tcPr>
          <w:p w14:paraId="6173880B" w14:textId="77777777" w:rsidR="00790DD4" w:rsidRPr="000D67C6" w:rsidRDefault="00790DD4"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058" w:type="dxa"/>
            <w:tcBorders>
              <w:left w:val="single" w:sz="4" w:space="0" w:color="auto"/>
              <w:bottom w:val="single" w:sz="2" w:space="0" w:color="000000"/>
            </w:tcBorders>
            <w:shd w:val="clear" w:color="auto" w:fill="auto"/>
            <w:tcMar>
              <w:top w:w="20" w:type="dxa"/>
              <w:left w:w="20" w:type="dxa"/>
              <w:bottom w:w="20" w:type="dxa"/>
              <w:right w:w="20" w:type="dxa"/>
            </w:tcMar>
            <w:vAlign w:val="bottom"/>
          </w:tcPr>
          <w:p w14:paraId="28370057"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14:paraId="6114C41F"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534" w:type="dxa"/>
            <w:tcBorders>
              <w:bottom w:val="single" w:sz="2" w:space="0" w:color="000000"/>
            </w:tcBorders>
            <w:shd w:val="clear" w:color="auto" w:fill="auto"/>
            <w:tcMar>
              <w:top w:w="20" w:type="dxa"/>
              <w:left w:w="20" w:type="dxa"/>
              <w:bottom w:w="20" w:type="dxa"/>
              <w:right w:w="20" w:type="dxa"/>
            </w:tcMar>
            <w:vAlign w:val="bottom"/>
          </w:tcPr>
          <w:p w14:paraId="74B4D424"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418" w:type="dxa"/>
            <w:tcBorders>
              <w:bottom w:val="single" w:sz="2" w:space="0" w:color="000000"/>
            </w:tcBorders>
            <w:shd w:val="clear" w:color="auto" w:fill="auto"/>
            <w:tcMar>
              <w:top w:w="20" w:type="dxa"/>
              <w:left w:w="20" w:type="dxa"/>
              <w:bottom w:w="20" w:type="dxa"/>
              <w:right w:w="20" w:type="dxa"/>
            </w:tcMar>
            <w:vAlign w:val="bottom"/>
          </w:tcPr>
          <w:p w14:paraId="583B6515"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c>
          <w:tcPr>
            <w:tcW w:w="1134" w:type="dxa"/>
            <w:tcBorders>
              <w:bottom w:val="single" w:sz="2" w:space="0" w:color="000000"/>
              <w:right w:val="single" w:sz="4" w:space="0" w:color="auto"/>
            </w:tcBorders>
            <w:shd w:val="clear" w:color="auto" w:fill="auto"/>
            <w:tcMar>
              <w:top w:w="20" w:type="dxa"/>
              <w:left w:w="20" w:type="dxa"/>
              <w:bottom w:w="20" w:type="dxa"/>
              <w:right w:w="20" w:type="dxa"/>
            </w:tcMar>
            <w:vAlign w:val="bottom"/>
          </w:tcPr>
          <w:p w14:paraId="79A1C824"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£000</w:t>
            </w:r>
          </w:p>
        </w:tc>
      </w:tr>
      <w:tr w:rsidR="00790DD4" w:rsidRPr="000D67C6" w14:paraId="442D2851"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558368B1"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Cost or Valuation</w:t>
            </w:r>
          </w:p>
        </w:tc>
        <w:tc>
          <w:tcPr>
            <w:tcW w:w="1058" w:type="dxa"/>
            <w:tcBorders>
              <w:left w:val="single" w:sz="4" w:space="0" w:color="auto"/>
            </w:tcBorders>
            <w:shd w:val="clear" w:color="auto" w:fill="auto"/>
            <w:tcMar>
              <w:top w:w="20" w:type="dxa"/>
              <w:left w:w="20" w:type="dxa"/>
              <w:bottom w:w="20" w:type="dxa"/>
              <w:right w:w="20" w:type="dxa"/>
            </w:tcMar>
            <w:vAlign w:val="center"/>
          </w:tcPr>
          <w:p w14:paraId="2D542DC3" w14:textId="77777777" w:rsidR="00790DD4" w:rsidRPr="000D67C6" w:rsidRDefault="00790DD4"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230" w:type="dxa"/>
            <w:shd w:val="clear" w:color="auto" w:fill="auto"/>
            <w:tcMar>
              <w:top w:w="20" w:type="dxa"/>
              <w:left w:w="20" w:type="dxa"/>
              <w:bottom w:w="20" w:type="dxa"/>
              <w:right w:w="20" w:type="dxa"/>
            </w:tcMar>
            <w:vAlign w:val="center"/>
          </w:tcPr>
          <w:p w14:paraId="116C550E" w14:textId="77777777" w:rsidR="00790DD4" w:rsidRPr="000D67C6" w:rsidRDefault="00790DD4"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534" w:type="dxa"/>
            <w:shd w:val="clear" w:color="auto" w:fill="auto"/>
            <w:tcMar>
              <w:top w:w="20" w:type="dxa"/>
              <w:left w:w="20" w:type="dxa"/>
              <w:bottom w:w="20" w:type="dxa"/>
              <w:right w:w="20" w:type="dxa"/>
            </w:tcMar>
            <w:vAlign w:val="center"/>
          </w:tcPr>
          <w:p w14:paraId="0407AAF1" w14:textId="77777777" w:rsidR="00790DD4" w:rsidRPr="000D67C6" w:rsidRDefault="00790DD4"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418" w:type="dxa"/>
            <w:shd w:val="clear" w:color="auto" w:fill="auto"/>
            <w:tcMar>
              <w:top w:w="20" w:type="dxa"/>
              <w:left w:w="20" w:type="dxa"/>
              <w:bottom w:w="20" w:type="dxa"/>
              <w:right w:w="20" w:type="dxa"/>
            </w:tcMar>
            <w:vAlign w:val="center"/>
          </w:tcPr>
          <w:p w14:paraId="3535A383" w14:textId="77777777" w:rsidR="00790DD4" w:rsidRPr="000D67C6" w:rsidRDefault="00790DD4"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p>
        </w:tc>
        <w:tc>
          <w:tcPr>
            <w:tcW w:w="1134" w:type="dxa"/>
            <w:tcBorders>
              <w:right w:val="single" w:sz="4" w:space="0" w:color="auto"/>
            </w:tcBorders>
            <w:shd w:val="clear" w:color="auto" w:fill="auto"/>
            <w:tcMar>
              <w:top w:w="20" w:type="dxa"/>
              <w:left w:w="20" w:type="dxa"/>
              <w:bottom w:w="20" w:type="dxa"/>
              <w:right w:w="20" w:type="dxa"/>
            </w:tcMar>
            <w:vAlign w:val="center"/>
          </w:tcPr>
          <w:p w14:paraId="65CEA8C3" w14:textId="77777777" w:rsidR="00790DD4" w:rsidRPr="000D67C6" w:rsidRDefault="00790DD4" w:rsidP="00790DD4">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p>
        </w:tc>
      </w:tr>
      <w:tr w:rsidR="00790DD4" w:rsidRPr="000D67C6" w14:paraId="6F03FFAE"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3707F59"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2017</w:t>
            </w:r>
          </w:p>
        </w:tc>
        <w:tc>
          <w:tcPr>
            <w:tcW w:w="1058" w:type="dxa"/>
            <w:tcBorders>
              <w:left w:val="single" w:sz="4" w:space="0" w:color="auto"/>
            </w:tcBorders>
            <w:shd w:val="clear" w:color="auto" w:fill="auto"/>
            <w:tcMar>
              <w:top w:w="20" w:type="dxa"/>
              <w:left w:w="20" w:type="dxa"/>
              <w:bottom w:w="20" w:type="dxa"/>
              <w:right w:w="20" w:type="dxa"/>
            </w:tcMar>
            <w:vAlign w:val="center"/>
          </w:tcPr>
          <w:p w14:paraId="5DD23D97"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52,943</w:t>
            </w:r>
          </w:p>
        </w:tc>
        <w:tc>
          <w:tcPr>
            <w:tcW w:w="1230" w:type="dxa"/>
            <w:shd w:val="clear" w:color="auto" w:fill="auto"/>
            <w:tcMar>
              <w:top w:w="20" w:type="dxa"/>
              <w:left w:w="20" w:type="dxa"/>
              <w:bottom w:w="20" w:type="dxa"/>
              <w:right w:w="20" w:type="dxa"/>
            </w:tcMar>
            <w:vAlign w:val="center"/>
          </w:tcPr>
          <w:p w14:paraId="6591B5E6"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22,633</w:t>
            </w:r>
          </w:p>
        </w:tc>
        <w:tc>
          <w:tcPr>
            <w:tcW w:w="1534" w:type="dxa"/>
            <w:shd w:val="clear" w:color="auto" w:fill="auto"/>
            <w:tcMar>
              <w:top w:w="20" w:type="dxa"/>
              <w:left w:w="20" w:type="dxa"/>
              <w:bottom w:w="20" w:type="dxa"/>
              <w:right w:w="20" w:type="dxa"/>
            </w:tcMar>
            <w:vAlign w:val="center"/>
          </w:tcPr>
          <w:p w14:paraId="21FC35E9"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317</w:t>
            </w:r>
          </w:p>
        </w:tc>
        <w:tc>
          <w:tcPr>
            <w:tcW w:w="1418" w:type="dxa"/>
            <w:shd w:val="clear" w:color="auto" w:fill="auto"/>
            <w:tcMar>
              <w:top w:w="20" w:type="dxa"/>
              <w:left w:w="20" w:type="dxa"/>
              <w:bottom w:w="20" w:type="dxa"/>
              <w:right w:w="20" w:type="dxa"/>
            </w:tcMar>
            <w:vAlign w:val="center"/>
          </w:tcPr>
          <w:p w14:paraId="63AD0110"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7F0E9F58"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75,893</w:t>
            </w:r>
          </w:p>
        </w:tc>
      </w:tr>
      <w:tr w:rsidR="00790DD4" w:rsidRPr="000D67C6" w14:paraId="05174565" w14:textId="77777777" w:rsidTr="00790DD4">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0774BB36"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Additions</w:t>
            </w:r>
          </w:p>
        </w:tc>
        <w:tc>
          <w:tcPr>
            <w:tcW w:w="1058" w:type="dxa"/>
            <w:tcBorders>
              <w:left w:val="single" w:sz="4" w:space="0" w:color="auto"/>
            </w:tcBorders>
            <w:shd w:val="clear" w:color="auto" w:fill="auto"/>
            <w:tcMar>
              <w:top w:w="20" w:type="dxa"/>
              <w:left w:w="20" w:type="dxa"/>
              <w:bottom w:w="20" w:type="dxa"/>
              <w:right w:w="20" w:type="dxa"/>
            </w:tcMar>
            <w:vAlign w:val="center"/>
          </w:tcPr>
          <w:p w14:paraId="243EC9FB"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740</w:t>
            </w:r>
          </w:p>
        </w:tc>
        <w:tc>
          <w:tcPr>
            <w:tcW w:w="1230" w:type="dxa"/>
            <w:shd w:val="clear" w:color="auto" w:fill="auto"/>
            <w:tcMar>
              <w:top w:w="20" w:type="dxa"/>
              <w:left w:w="20" w:type="dxa"/>
              <w:bottom w:w="20" w:type="dxa"/>
              <w:right w:w="20" w:type="dxa"/>
            </w:tcMar>
            <w:vAlign w:val="center"/>
          </w:tcPr>
          <w:p w14:paraId="17D760F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2,593</w:t>
            </w:r>
          </w:p>
        </w:tc>
        <w:tc>
          <w:tcPr>
            <w:tcW w:w="1534" w:type="dxa"/>
            <w:shd w:val="clear" w:color="auto" w:fill="auto"/>
            <w:tcMar>
              <w:top w:w="20" w:type="dxa"/>
              <w:left w:w="20" w:type="dxa"/>
              <w:bottom w:w="20" w:type="dxa"/>
              <w:right w:w="20" w:type="dxa"/>
            </w:tcMar>
            <w:vAlign w:val="center"/>
          </w:tcPr>
          <w:p w14:paraId="3CB0128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5</w:t>
            </w:r>
          </w:p>
        </w:tc>
        <w:tc>
          <w:tcPr>
            <w:tcW w:w="1418" w:type="dxa"/>
            <w:shd w:val="clear" w:color="auto" w:fill="auto"/>
            <w:tcMar>
              <w:top w:w="20" w:type="dxa"/>
              <w:left w:w="20" w:type="dxa"/>
              <w:bottom w:w="20" w:type="dxa"/>
              <w:right w:w="20" w:type="dxa"/>
            </w:tcMar>
            <w:vAlign w:val="center"/>
          </w:tcPr>
          <w:p w14:paraId="49C4090E"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1,434</w:t>
            </w:r>
          </w:p>
        </w:tc>
        <w:tc>
          <w:tcPr>
            <w:tcW w:w="1134" w:type="dxa"/>
            <w:tcBorders>
              <w:right w:val="single" w:sz="4" w:space="0" w:color="auto"/>
            </w:tcBorders>
            <w:shd w:val="clear" w:color="auto" w:fill="auto"/>
            <w:tcMar>
              <w:top w:w="20" w:type="dxa"/>
              <w:left w:w="20" w:type="dxa"/>
              <w:bottom w:w="20" w:type="dxa"/>
              <w:right w:w="20" w:type="dxa"/>
            </w:tcMar>
            <w:vAlign w:val="center"/>
          </w:tcPr>
          <w:p w14:paraId="009C3E86"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4,772</w:t>
            </w:r>
          </w:p>
        </w:tc>
      </w:tr>
      <w:tr w:rsidR="00790DD4" w:rsidRPr="000D67C6" w14:paraId="2AAAE3F2" w14:textId="77777777" w:rsidTr="00790DD4">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8CDD555"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Impairments</w:t>
            </w:r>
          </w:p>
        </w:tc>
        <w:tc>
          <w:tcPr>
            <w:tcW w:w="1058" w:type="dxa"/>
            <w:tcBorders>
              <w:left w:val="single" w:sz="4" w:space="0" w:color="auto"/>
            </w:tcBorders>
            <w:shd w:val="clear" w:color="auto" w:fill="auto"/>
            <w:tcMar>
              <w:top w:w="20" w:type="dxa"/>
              <w:left w:w="20" w:type="dxa"/>
              <w:bottom w:w="20" w:type="dxa"/>
              <w:right w:w="20" w:type="dxa"/>
            </w:tcMar>
            <w:vAlign w:val="center"/>
          </w:tcPr>
          <w:p w14:paraId="3B7E1892"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(30)</w:t>
            </w:r>
          </w:p>
        </w:tc>
        <w:tc>
          <w:tcPr>
            <w:tcW w:w="1230" w:type="dxa"/>
            <w:shd w:val="clear" w:color="auto" w:fill="auto"/>
            <w:tcMar>
              <w:top w:w="20" w:type="dxa"/>
              <w:left w:w="20" w:type="dxa"/>
              <w:bottom w:w="20" w:type="dxa"/>
              <w:right w:w="20" w:type="dxa"/>
            </w:tcMar>
            <w:vAlign w:val="center"/>
          </w:tcPr>
          <w:p w14:paraId="6F8168D6"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534" w:type="dxa"/>
            <w:shd w:val="clear" w:color="auto" w:fill="auto"/>
            <w:tcMar>
              <w:top w:w="20" w:type="dxa"/>
              <w:left w:w="20" w:type="dxa"/>
              <w:bottom w:w="20" w:type="dxa"/>
              <w:right w:w="20" w:type="dxa"/>
            </w:tcMar>
            <w:vAlign w:val="center"/>
          </w:tcPr>
          <w:p w14:paraId="529FC4BD"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564B6F2F"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26F546D3"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(30)</w:t>
            </w:r>
          </w:p>
        </w:tc>
      </w:tr>
      <w:tr w:rsidR="00790DD4" w:rsidRPr="000D67C6" w14:paraId="12A1D7BA"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8F785D7"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Derecognition – disposals</w:t>
            </w:r>
          </w:p>
        </w:tc>
        <w:tc>
          <w:tcPr>
            <w:tcW w:w="1058" w:type="dxa"/>
            <w:tcBorders>
              <w:left w:val="single" w:sz="4" w:space="0" w:color="auto"/>
            </w:tcBorders>
            <w:shd w:val="clear" w:color="auto" w:fill="auto"/>
            <w:tcMar>
              <w:top w:w="20" w:type="dxa"/>
              <w:left w:w="20" w:type="dxa"/>
              <w:bottom w:w="20" w:type="dxa"/>
              <w:right w:w="20" w:type="dxa"/>
            </w:tcMar>
            <w:vAlign w:val="center"/>
          </w:tcPr>
          <w:p w14:paraId="4AD67B85"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230" w:type="dxa"/>
            <w:shd w:val="clear" w:color="auto" w:fill="auto"/>
            <w:tcMar>
              <w:top w:w="20" w:type="dxa"/>
              <w:left w:w="20" w:type="dxa"/>
              <w:bottom w:w="20" w:type="dxa"/>
              <w:right w:w="20" w:type="dxa"/>
            </w:tcMar>
            <w:vAlign w:val="center"/>
          </w:tcPr>
          <w:p w14:paraId="214D853F"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(24)</w:t>
            </w:r>
          </w:p>
        </w:tc>
        <w:tc>
          <w:tcPr>
            <w:tcW w:w="1534" w:type="dxa"/>
            <w:shd w:val="clear" w:color="auto" w:fill="auto"/>
            <w:tcMar>
              <w:top w:w="20" w:type="dxa"/>
              <w:left w:w="20" w:type="dxa"/>
              <w:bottom w:w="20" w:type="dxa"/>
              <w:right w:w="20" w:type="dxa"/>
            </w:tcMar>
            <w:vAlign w:val="center"/>
          </w:tcPr>
          <w:p w14:paraId="35FD72E4"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572D66B9"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03CAB581"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(24)</w:t>
            </w:r>
          </w:p>
        </w:tc>
      </w:tr>
      <w:tr w:rsidR="00790DD4" w:rsidRPr="000D67C6" w14:paraId="34993BC8"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5DDC772"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sz w:val="20"/>
                <w:szCs w:val="20"/>
                <w:lang w:val="en-GB"/>
              </w:rPr>
              <w:t>Reclassifications and transfer</w:t>
            </w:r>
          </w:p>
        </w:tc>
        <w:tc>
          <w:tcPr>
            <w:tcW w:w="1058" w:type="dxa"/>
            <w:tcBorders>
              <w:left w:val="single" w:sz="4" w:space="0" w:color="auto"/>
            </w:tcBorders>
            <w:shd w:val="clear" w:color="auto" w:fill="auto"/>
            <w:tcMar>
              <w:top w:w="20" w:type="dxa"/>
              <w:left w:w="20" w:type="dxa"/>
              <w:bottom w:w="20" w:type="dxa"/>
              <w:right w:w="20" w:type="dxa"/>
            </w:tcMar>
            <w:vAlign w:val="center"/>
          </w:tcPr>
          <w:p w14:paraId="08394832"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1</w:t>
            </w:r>
          </w:p>
        </w:tc>
        <w:tc>
          <w:tcPr>
            <w:tcW w:w="1230" w:type="dxa"/>
            <w:shd w:val="clear" w:color="auto" w:fill="auto"/>
            <w:tcMar>
              <w:top w:w="20" w:type="dxa"/>
              <w:left w:w="20" w:type="dxa"/>
              <w:bottom w:w="20" w:type="dxa"/>
              <w:right w:w="20" w:type="dxa"/>
            </w:tcMar>
            <w:vAlign w:val="center"/>
          </w:tcPr>
          <w:p w14:paraId="1893493C"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534" w:type="dxa"/>
            <w:shd w:val="clear" w:color="auto" w:fill="auto"/>
            <w:tcMar>
              <w:top w:w="20" w:type="dxa"/>
              <w:left w:w="20" w:type="dxa"/>
              <w:bottom w:w="20" w:type="dxa"/>
              <w:right w:w="20" w:type="dxa"/>
            </w:tcMar>
            <w:vAlign w:val="center"/>
          </w:tcPr>
          <w:p w14:paraId="656D3692"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29D36C96"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2EF97F66"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w:t>
            </w:r>
          </w:p>
        </w:tc>
      </w:tr>
      <w:tr w:rsidR="00790DD4" w:rsidRPr="000D67C6" w14:paraId="0E921250" w14:textId="77777777" w:rsidTr="00790DD4">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5972552"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at 31 March 2018</w:t>
            </w:r>
          </w:p>
        </w:tc>
        <w:tc>
          <w:tcPr>
            <w:tcW w:w="1058" w:type="dxa"/>
            <w:tcBorders>
              <w:top w:val="single" w:sz="2" w:space="0" w:color="000000"/>
              <w:left w:val="single" w:sz="4" w:space="0" w:color="auto"/>
            </w:tcBorders>
            <w:shd w:val="clear" w:color="auto" w:fill="auto"/>
            <w:tcMar>
              <w:top w:w="20" w:type="dxa"/>
              <w:left w:w="20" w:type="dxa"/>
              <w:bottom w:w="20" w:type="dxa"/>
              <w:right w:w="20" w:type="dxa"/>
            </w:tcMar>
            <w:vAlign w:val="center"/>
          </w:tcPr>
          <w:p w14:paraId="427FA76F"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53,654</w:t>
            </w:r>
          </w:p>
        </w:tc>
        <w:tc>
          <w:tcPr>
            <w:tcW w:w="1230" w:type="dxa"/>
            <w:tcBorders>
              <w:top w:val="single" w:sz="2" w:space="0" w:color="000000"/>
            </w:tcBorders>
            <w:shd w:val="clear" w:color="auto" w:fill="auto"/>
            <w:tcMar>
              <w:top w:w="20" w:type="dxa"/>
              <w:left w:w="20" w:type="dxa"/>
              <w:bottom w:w="20" w:type="dxa"/>
              <w:right w:w="20" w:type="dxa"/>
            </w:tcMar>
            <w:vAlign w:val="center"/>
          </w:tcPr>
          <w:p w14:paraId="364735D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25,202</w:t>
            </w:r>
          </w:p>
        </w:tc>
        <w:tc>
          <w:tcPr>
            <w:tcW w:w="1534" w:type="dxa"/>
            <w:tcBorders>
              <w:top w:val="single" w:sz="2" w:space="0" w:color="000000"/>
            </w:tcBorders>
            <w:shd w:val="clear" w:color="auto" w:fill="auto"/>
            <w:tcMar>
              <w:top w:w="20" w:type="dxa"/>
              <w:left w:w="20" w:type="dxa"/>
              <w:bottom w:w="20" w:type="dxa"/>
              <w:right w:w="20" w:type="dxa"/>
            </w:tcMar>
            <w:vAlign w:val="center"/>
          </w:tcPr>
          <w:p w14:paraId="64E9AE94"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322</w:t>
            </w:r>
          </w:p>
        </w:tc>
        <w:tc>
          <w:tcPr>
            <w:tcW w:w="1418" w:type="dxa"/>
            <w:tcBorders>
              <w:top w:val="single" w:sz="2" w:space="0" w:color="000000"/>
            </w:tcBorders>
            <w:shd w:val="clear" w:color="auto" w:fill="auto"/>
            <w:tcMar>
              <w:top w:w="20" w:type="dxa"/>
              <w:left w:w="20" w:type="dxa"/>
              <w:bottom w:w="20" w:type="dxa"/>
              <w:right w:w="20" w:type="dxa"/>
            </w:tcMar>
            <w:vAlign w:val="center"/>
          </w:tcPr>
          <w:p w14:paraId="73DB616B"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1,434</w:t>
            </w:r>
          </w:p>
        </w:tc>
        <w:tc>
          <w:tcPr>
            <w:tcW w:w="1134" w:type="dxa"/>
            <w:tcBorders>
              <w:top w:val="single" w:sz="2" w:space="0" w:color="000000"/>
              <w:right w:val="single" w:sz="4" w:space="0" w:color="auto"/>
            </w:tcBorders>
            <w:shd w:val="clear" w:color="auto" w:fill="auto"/>
            <w:tcMar>
              <w:top w:w="20" w:type="dxa"/>
              <w:left w:w="20" w:type="dxa"/>
              <w:bottom w:w="20" w:type="dxa"/>
              <w:right w:w="20" w:type="dxa"/>
            </w:tcMar>
            <w:vAlign w:val="center"/>
          </w:tcPr>
          <w:p w14:paraId="4235372A"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80,612</w:t>
            </w:r>
          </w:p>
        </w:tc>
      </w:tr>
      <w:tr w:rsidR="00790DD4" w:rsidRPr="000D67C6" w14:paraId="3E15FC59"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14D5488E"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Accumulated Depreciation and Impairment</w:t>
            </w:r>
          </w:p>
        </w:tc>
        <w:tc>
          <w:tcPr>
            <w:tcW w:w="1058" w:type="dxa"/>
            <w:tcBorders>
              <w:left w:val="single" w:sz="4" w:space="0" w:color="auto"/>
            </w:tcBorders>
            <w:shd w:val="clear" w:color="auto" w:fill="auto"/>
            <w:tcMar>
              <w:top w:w="20" w:type="dxa"/>
              <w:left w:w="20" w:type="dxa"/>
              <w:bottom w:w="20" w:type="dxa"/>
              <w:right w:w="20" w:type="dxa"/>
            </w:tcMar>
            <w:vAlign w:val="center"/>
          </w:tcPr>
          <w:p w14:paraId="554D199F" w14:textId="77777777" w:rsidR="00790DD4" w:rsidRPr="000D67C6" w:rsidRDefault="00790DD4" w:rsidP="00790DD4">
            <w:pPr>
              <w:pStyle w:val="T1TableStyle"/>
              <w:jc w:val="right"/>
              <w:rPr>
                <w:rFonts w:ascii="Arial" w:eastAsia="Verdana" w:hAnsi="Arial" w:cs="Arial"/>
                <w:sz w:val="20"/>
                <w:szCs w:val="20"/>
                <w:lang w:val="en-GB"/>
              </w:rPr>
            </w:pPr>
          </w:p>
        </w:tc>
        <w:tc>
          <w:tcPr>
            <w:tcW w:w="1230" w:type="dxa"/>
            <w:shd w:val="clear" w:color="auto" w:fill="auto"/>
            <w:tcMar>
              <w:top w:w="20" w:type="dxa"/>
              <w:left w:w="20" w:type="dxa"/>
              <w:bottom w:w="20" w:type="dxa"/>
              <w:right w:w="20" w:type="dxa"/>
            </w:tcMar>
            <w:vAlign w:val="center"/>
          </w:tcPr>
          <w:p w14:paraId="09DCBEC8" w14:textId="77777777" w:rsidR="00790DD4" w:rsidRPr="000D67C6" w:rsidRDefault="00790DD4" w:rsidP="00790DD4">
            <w:pPr>
              <w:pStyle w:val="T1TableStyle"/>
              <w:jc w:val="right"/>
              <w:rPr>
                <w:rFonts w:ascii="Arial" w:eastAsia="Verdana" w:hAnsi="Arial" w:cs="Arial"/>
                <w:sz w:val="20"/>
                <w:szCs w:val="20"/>
                <w:lang w:val="en-GB"/>
              </w:rPr>
            </w:pPr>
          </w:p>
        </w:tc>
        <w:tc>
          <w:tcPr>
            <w:tcW w:w="1534" w:type="dxa"/>
            <w:shd w:val="clear" w:color="auto" w:fill="auto"/>
            <w:tcMar>
              <w:top w:w="20" w:type="dxa"/>
              <w:left w:w="20" w:type="dxa"/>
              <w:bottom w:w="20" w:type="dxa"/>
              <w:right w:w="20" w:type="dxa"/>
            </w:tcMar>
            <w:vAlign w:val="center"/>
          </w:tcPr>
          <w:p w14:paraId="748FC636" w14:textId="77777777" w:rsidR="00790DD4" w:rsidRPr="000D67C6" w:rsidRDefault="00790DD4" w:rsidP="00790DD4">
            <w:pPr>
              <w:pStyle w:val="T1TableStyle"/>
              <w:jc w:val="right"/>
              <w:rPr>
                <w:rFonts w:ascii="Arial" w:eastAsia="Verdana" w:hAnsi="Arial" w:cs="Arial"/>
                <w:sz w:val="20"/>
                <w:szCs w:val="20"/>
                <w:lang w:val="en-GB"/>
              </w:rPr>
            </w:pPr>
          </w:p>
        </w:tc>
        <w:tc>
          <w:tcPr>
            <w:tcW w:w="1418" w:type="dxa"/>
            <w:shd w:val="clear" w:color="auto" w:fill="auto"/>
            <w:tcMar>
              <w:top w:w="20" w:type="dxa"/>
              <w:left w:w="20" w:type="dxa"/>
              <w:bottom w:w="20" w:type="dxa"/>
              <w:right w:w="20" w:type="dxa"/>
            </w:tcMar>
            <w:vAlign w:val="center"/>
          </w:tcPr>
          <w:p w14:paraId="4AB3F15D" w14:textId="77777777" w:rsidR="00790DD4" w:rsidRPr="000D67C6" w:rsidRDefault="00790DD4" w:rsidP="00790DD4">
            <w:pPr>
              <w:pStyle w:val="T1TableStyle"/>
              <w:jc w:val="right"/>
              <w:rPr>
                <w:rFonts w:ascii="Arial" w:eastAsia="Verdana" w:hAnsi="Arial" w:cs="Arial"/>
                <w:sz w:val="20"/>
                <w:szCs w:val="20"/>
                <w:lang w:val="en-GB"/>
              </w:rPr>
            </w:pPr>
          </w:p>
        </w:tc>
        <w:tc>
          <w:tcPr>
            <w:tcW w:w="1134" w:type="dxa"/>
            <w:tcBorders>
              <w:right w:val="single" w:sz="4" w:space="0" w:color="auto"/>
            </w:tcBorders>
            <w:shd w:val="clear" w:color="auto" w:fill="auto"/>
            <w:tcMar>
              <w:top w:w="20" w:type="dxa"/>
              <w:left w:w="20" w:type="dxa"/>
              <w:bottom w:w="20" w:type="dxa"/>
              <w:right w:w="20" w:type="dxa"/>
            </w:tcMar>
            <w:vAlign w:val="center"/>
          </w:tcPr>
          <w:p w14:paraId="743F5E6A" w14:textId="77777777" w:rsidR="00790DD4" w:rsidRPr="000D67C6" w:rsidRDefault="00790DD4" w:rsidP="00790DD4">
            <w:pPr>
              <w:pStyle w:val="T1TableStyle"/>
              <w:jc w:val="right"/>
              <w:rPr>
                <w:rFonts w:ascii="Arial" w:eastAsia="Verdana" w:hAnsi="Arial" w:cs="Arial"/>
                <w:b/>
                <w:sz w:val="20"/>
                <w:szCs w:val="20"/>
                <w:lang w:val="en-GB"/>
              </w:rPr>
            </w:pPr>
          </w:p>
        </w:tc>
      </w:tr>
      <w:tr w:rsidR="00790DD4" w:rsidRPr="000D67C6" w14:paraId="61C2A8F0" w14:textId="77777777" w:rsidTr="00790DD4">
        <w:trPr>
          <w:trHeight w:val="152"/>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C7EB546"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2017</w:t>
            </w:r>
          </w:p>
        </w:tc>
        <w:tc>
          <w:tcPr>
            <w:tcW w:w="1058" w:type="dxa"/>
            <w:tcBorders>
              <w:left w:val="single" w:sz="4" w:space="0" w:color="auto"/>
            </w:tcBorders>
            <w:shd w:val="clear" w:color="auto" w:fill="auto"/>
            <w:tcMar>
              <w:top w:w="20" w:type="dxa"/>
              <w:left w:w="20" w:type="dxa"/>
              <w:bottom w:w="20" w:type="dxa"/>
              <w:right w:w="20" w:type="dxa"/>
            </w:tcMar>
            <w:vAlign w:val="center"/>
          </w:tcPr>
          <w:p w14:paraId="53FD418E" w14:textId="77777777" w:rsidR="00790DD4" w:rsidRPr="000D67C6" w:rsidRDefault="00252A7B" w:rsidP="00252A7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r w:rsidR="00790DD4" w:rsidRPr="000D67C6">
              <w:rPr>
                <w:rFonts w:ascii="Arial" w:eastAsia="Verdana" w:hAnsi="Arial" w:cs="Arial"/>
                <w:b/>
                <w:sz w:val="20"/>
                <w:szCs w:val="20"/>
                <w:lang w:val="en-GB"/>
              </w:rPr>
              <w:t>(2,350)</w:t>
            </w:r>
          </w:p>
        </w:tc>
        <w:tc>
          <w:tcPr>
            <w:tcW w:w="1230" w:type="dxa"/>
            <w:shd w:val="clear" w:color="auto" w:fill="auto"/>
            <w:tcMar>
              <w:top w:w="20" w:type="dxa"/>
              <w:left w:w="20" w:type="dxa"/>
              <w:bottom w:w="20" w:type="dxa"/>
              <w:right w:w="20" w:type="dxa"/>
            </w:tcMar>
            <w:vAlign w:val="center"/>
          </w:tcPr>
          <w:p w14:paraId="35C8B9A1" w14:textId="77777777" w:rsidR="00790DD4" w:rsidRPr="000D67C6" w:rsidRDefault="00252A7B"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 xml:space="preserve">   </w:t>
            </w:r>
            <w:r w:rsidR="00790DD4" w:rsidRPr="000D67C6">
              <w:rPr>
                <w:rFonts w:ascii="Arial" w:eastAsia="Verdana" w:hAnsi="Arial" w:cs="Arial"/>
                <w:b/>
                <w:sz w:val="20"/>
                <w:szCs w:val="20"/>
                <w:lang w:val="en-GB"/>
              </w:rPr>
              <w:t>(13,771)</w:t>
            </w:r>
          </w:p>
        </w:tc>
        <w:tc>
          <w:tcPr>
            <w:tcW w:w="1534" w:type="dxa"/>
            <w:shd w:val="clear" w:color="auto" w:fill="auto"/>
            <w:tcMar>
              <w:top w:w="20" w:type="dxa"/>
              <w:left w:w="20" w:type="dxa"/>
              <w:bottom w:w="20" w:type="dxa"/>
              <w:right w:w="20" w:type="dxa"/>
            </w:tcMar>
            <w:vAlign w:val="center"/>
          </w:tcPr>
          <w:p w14:paraId="7086358B"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(92)</w:t>
            </w:r>
          </w:p>
        </w:tc>
        <w:tc>
          <w:tcPr>
            <w:tcW w:w="1418" w:type="dxa"/>
            <w:shd w:val="clear" w:color="auto" w:fill="auto"/>
            <w:tcMar>
              <w:top w:w="20" w:type="dxa"/>
              <w:left w:w="20" w:type="dxa"/>
              <w:bottom w:w="20" w:type="dxa"/>
              <w:right w:w="20" w:type="dxa"/>
            </w:tcMar>
            <w:vAlign w:val="center"/>
          </w:tcPr>
          <w:p w14:paraId="67C11074" w14:textId="77777777" w:rsidR="00790DD4" w:rsidRPr="000D67C6" w:rsidRDefault="00252A7B" w:rsidP="00252A7B">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r w:rsidR="00790DD4" w:rsidRPr="000D67C6">
              <w:rPr>
                <w:rFonts w:ascii="Arial" w:eastAsia="Verdana" w:hAnsi="Arial" w:cs="Arial"/>
                <w:b/>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74A10ED3"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(16,213)</w:t>
            </w:r>
          </w:p>
        </w:tc>
      </w:tr>
      <w:tr w:rsidR="00790DD4" w:rsidRPr="000D67C6" w14:paraId="567C31BF" w14:textId="77777777" w:rsidTr="001D113F">
        <w:trPr>
          <w:trHeight w:val="10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03D7FBCC"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sz w:val="20"/>
                <w:szCs w:val="20"/>
                <w:lang w:val="en-GB"/>
              </w:rPr>
              <w:t>Depreciation written out to the Surplus/Deficit on the Provision of Services</w:t>
            </w:r>
          </w:p>
        </w:tc>
        <w:tc>
          <w:tcPr>
            <w:tcW w:w="1058" w:type="dxa"/>
            <w:tcBorders>
              <w:left w:val="single" w:sz="4" w:space="0" w:color="auto"/>
            </w:tcBorders>
            <w:shd w:val="clear" w:color="auto" w:fill="auto"/>
            <w:tcMar>
              <w:top w:w="20" w:type="dxa"/>
              <w:left w:w="20" w:type="dxa"/>
              <w:bottom w:w="20" w:type="dxa"/>
              <w:right w:w="20" w:type="dxa"/>
            </w:tcMar>
            <w:vAlign w:val="center"/>
          </w:tcPr>
          <w:p w14:paraId="0FE37736" w14:textId="77777777" w:rsidR="00790DD4" w:rsidRPr="000D67C6" w:rsidRDefault="00252A7B"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r w:rsidR="00790DD4" w:rsidRPr="000D67C6">
              <w:rPr>
                <w:rFonts w:ascii="Arial" w:eastAsia="Verdana" w:hAnsi="Arial" w:cs="Arial"/>
                <w:sz w:val="20"/>
                <w:szCs w:val="20"/>
                <w:lang w:val="en-GB"/>
              </w:rPr>
              <w:t>(1,224)</w:t>
            </w:r>
          </w:p>
        </w:tc>
        <w:tc>
          <w:tcPr>
            <w:tcW w:w="1230" w:type="dxa"/>
            <w:shd w:val="clear" w:color="auto" w:fill="auto"/>
            <w:tcMar>
              <w:top w:w="20" w:type="dxa"/>
              <w:left w:w="20" w:type="dxa"/>
              <w:bottom w:w="20" w:type="dxa"/>
              <w:right w:w="20" w:type="dxa"/>
            </w:tcMar>
            <w:vAlign w:val="center"/>
          </w:tcPr>
          <w:p w14:paraId="24610BA4" w14:textId="77777777" w:rsidR="00790DD4" w:rsidRPr="000D67C6" w:rsidRDefault="00252A7B"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r w:rsidR="00790DD4" w:rsidRPr="000D67C6">
              <w:rPr>
                <w:rFonts w:ascii="Arial" w:eastAsia="Verdana" w:hAnsi="Arial" w:cs="Arial"/>
                <w:sz w:val="20"/>
                <w:szCs w:val="20"/>
                <w:lang w:val="en-GB"/>
              </w:rPr>
              <w:t>(1,470)</w:t>
            </w:r>
          </w:p>
        </w:tc>
        <w:tc>
          <w:tcPr>
            <w:tcW w:w="1534" w:type="dxa"/>
            <w:shd w:val="clear" w:color="auto" w:fill="auto"/>
            <w:tcMar>
              <w:top w:w="20" w:type="dxa"/>
              <w:left w:w="20" w:type="dxa"/>
              <w:bottom w:w="20" w:type="dxa"/>
              <w:right w:w="20" w:type="dxa"/>
            </w:tcMar>
            <w:vAlign w:val="center"/>
          </w:tcPr>
          <w:p w14:paraId="3A084ED2" w14:textId="77777777" w:rsidR="00790DD4" w:rsidRPr="000D67C6" w:rsidRDefault="00252A7B"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r w:rsidR="00790DD4" w:rsidRPr="000D67C6">
              <w:rPr>
                <w:rFonts w:ascii="Arial" w:eastAsia="Verdana" w:hAnsi="Arial" w:cs="Arial"/>
                <w:sz w:val="20"/>
                <w:szCs w:val="20"/>
                <w:lang w:val="en-GB"/>
              </w:rPr>
              <w:t>(8)</w:t>
            </w:r>
          </w:p>
        </w:tc>
        <w:tc>
          <w:tcPr>
            <w:tcW w:w="1418" w:type="dxa"/>
            <w:shd w:val="clear" w:color="auto" w:fill="auto"/>
            <w:tcMar>
              <w:top w:w="20" w:type="dxa"/>
              <w:left w:w="20" w:type="dxa"/>
              <w:bottom w:w="20" w:type="dxa"/>
              <w:right w:w="20" w:type="dxa"/>
            </w:tcMar>
            <w:vAlign w:val="center"/>
          </w:tcPr>
          <w:p w14:paraId="6BC4A9A0" w14:textId="77777777" w:rsidR="00790DD4" w:rsidRPr="000D67C6" w:rsidRDefault="00252A7B" w:rsidP="00790DD4">
            <w:pPr>
              <w:pStyle w:val="T1TableStyle"/>
              <w:jc w:val="center"/>
              <w:rPr>
                <w:rFonts w:ascii="Arial" w:eastAsia="Verdana" w:hAnsi="Arial" w:cs="Arial"/>
                <w:sz w:val="20"/>
                <w:szCs w:val="20"/>
                <w:lang w:val="en-GB"/>
              </w:rPr>
            </w:pPr>
            <w:r w:rsidRPr="000D67C6">
              <w:rPr>
                <w:rFonts w:ascii="Arial" w:eastAsia="Verdana" w:hAnsi="Arial" w:cs="Arial"/>
                <w:sz w:val="20"/>
                <w:szCs w:val="20"/>
                <w:lang w:val="en-GB"/>
              </w:rPr>
              <w:t xml:space="preserve">                      </w:t>
            </w:r>
            <w:r w:rsidR="00790DD4"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72AC4912" w14:textId="77777777" w:rsidR="00790DD4" w:rsidRPr="000D67C6" w:rsidRDefault="00252A7B" w:rsidP="00790DD4">
            <w:pPr>
              <w:pStyle w:val="T1TableStyle"/>
              <w:jc w:val="center"/>
              <w:rPr>
                <w:rFonts w:ascii="Arial" w:eastAsia="Verdana" w:hAnsi="Arial" w:cs="Arial"/>
                <w:b/>
                <w:sz w:val="20"/>
                <w:szCs w:val="20"/>
                <w:lang w:val="en-GB"/>
              </w:rPr>
            </w:pPr>
            <w:r w:rsidRPr="000D67C6">
              <w:rPr>
                <w:rFonts w:ascii="Arial" w:eastAsia="Verdana" w:hAnsi="Arial" w:cs="Arial"/>
                <w:b/>
                <w:sz w:val="20"/>
                <w:szCs w:val="20"/>
                <w:lang w:val="en-GB"/>
              </w:rPr>
              <w:t xml:space="preserve">        </w:t>
            </w:r>
            <w:r w:rsidR="00790DD4" w:rsidRPr="000D67C6">
              <w:rPr>
                <w:rFonts w:ascii="Arial" w:eastAsia="Verdana" w:hAnsi="Arial" w:cs="Arial"/>
                <w:b/>
                <w:sz w:val="20"/>
                <w:szCs w:val="20"/>
                <w:lang w:val="en-GB"/>
              </w:rPr>
              <w:t>(2,702)</w:t>
            </w:r>
          </w:p>
        </w:tc>
      </w:tr>
      <w:tr w:rsidR="00790DD4" w:rsidRPr="000D67C6" w14:paraId="27C4C70A"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758D501D"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sz w:val="20"/>
                <w:szCs w:val="20"/>
                <w:lang w:val="en-GB"/>
              </w:rPr>
              <w:t>Derecognition – disposals</w:t>
            </w:r>
          </w:p>
        </w:tc>
        <w:tc>
          <w:tcPr>
            <w:tcW w:w="1058" w:type="dxa"/>
            <w:tcBorders>
              <w:left w:val="single" w:sz="4" w:space="0" w:color="auto"/>
            </w:tcBorders>
            <w:shd w:val="clear" w:color="auto" w:fill="auto"/>
            <w:tcMar>
              <w:top w:w="20" w:type="dxa"/>
              <w:left w:w="20" w:type="dxa"/>
              <w:bottom w:w="20" w:type="dxa"/>
              <w:right w:w="20" w:type="dxa"/>
            </w:tcMar>
            <w:vAlign w:val="center"/>
          </w:tcPr>
          <w:p w14:paraId="49475FAC"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230" w:type="dxa"/>
            <w:shd w:val="clear" w:color="auto" w:fill="auto"/>
            <w:tcMar>
              <w:top w:w="20" w:type="dxa"/>
              <w:left w:w="20" w:type="dxa"/>
              <w:bottom w:w="20" w:type="dxa"/>
              <w:right w:w="20" w:type="dxa"/>
            </w:tcMar>
            <w:vAlign w:val="center"/>
          </w:tcPr>
          <w:p w14:paraId="522E1C21"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24</w:t>
            </w:r>
          </w:p>
        </w:tc>
        <w:tc>
          <w:tcPr>
            <w:tcW w:w="1534" w:type="dxa"/>
            <w:shd w:val="clear" w:color="auto" w:fill="auto"/>
            <w:tcMar>
              <w:top w:w="20" w:type="dxa"/>
              <w:left w:w="20" w:type="dxa"/>
              <w:bottom w:w="20" w:type="dxa"/>
              <w:right w:w="20" w:type="dxa"/>
            </w:tcMar>
            <w:vAlign w:val="center"/>
          </w:tcPr>
          <w:p w14:paraId="4DFA053D"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418" w:type="dxa"/>
            <w:shd w:val="clear" w:color="auto" w:fill="auto"/>
            <w:tcMar>
              <w:top w:w="20" w:type="dxa"/>
              <w:left w:w="20" w:type="dxa"/>
              <w:bottom w:w="20" w:type="dxa"/>
              <w:right w:w="20" w:type="dxa"/>
            </w:tcMar>
            <w:vAlign w:val="center"/>
          </w:tcPr>
          <w:p w14:paraId="0BA7DA8B"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4177B0C2"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24</w:t>
            </w:r>
          </w:p>
        </w:tc>
      </w:tr>
      <w:tr w:rsidR="00790DD4" w:rsidRPr="000D67C6" w14:paraId="392F68E4" w14:textId="77777777" w:rsidTr="00790DD4">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431485D4" w14:textId="77777777" w:rsidR="00790DD4" w:rsidRPr="000D67C6" w:rsidRDefault="00790DD4" w:rsidP="00790DD4">
            <w:pPr>
              <w:pStyle w:val="T1TableStyle"/>
              <w:rPr>
                <w:rFonts w:ascii="Arial" w:eastAsia="Verdana" w:hAnsi="Arial" w:cs="Arial"/>
                <w:b/>
                <w:sz w:val="20"/>
                <w:szCs w:val="20"/>
                <w:lang w:val="en-GB"/>
              </w:rPr>
            </w:pPr>
            <w:r w:rsidRPr="000D67C6">
              <w:rPr>
                <w:rFonts w:ascii="Arial" w:eastAsia="Verdana" w:hAnsi="Arial" w:cs="Arial"/>
                <w:b/>
                <w:sz w:val="20"/>
                <w:szCs w:val="20"/>
                <w:lang w:val="en-GB"/>
              </w:rPr>
              <w:t>at 31 March 2018</w:t>
            </w:r>
          </w:p>
        </w:tc>
        <w:tc>
          <w:tcPr>
            <w:tcW w:w="1058" w:type="dxa"/>
            <w:tcBorders>
              <w:top w:val="single" w:sz="2" w:space="0" w:color="000000"/>
              <w:left w:val="single" w:sz="4" w:space="0" w:color="auto"/>
            </w:tcBorders>
            <w:shd w:val="clear" w:color="auto" w:fill="auto"/>
            <w:tcMar>
              <w:top w:w="20" w:type="dxa"/>
              <w:left w:w="20" w:type="dxa"/>
              <w:bottom w:w="20" w:type="dxa"/>
              <w:right w:w="20" w:type="dxa"/>
            </w:tcMar>
            <w:vAlign w:val="center"/>
          </w:tcPr>
          <w:p w14:paraId="055EDC87"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(3,574)</w:t>
            </w:r>
          </w:p>
        </w:tc>
        <w:tc>
          <w:tcPr>
            <w:tcW w:w="1230" w:type="dxa"/>
            <w:tcBorders>
              <w:top w:val="single" w:sz="2" w:space="0" w:color="000000"/>
            </w:tcBorders>
            <w:shd w:val="clear" w:color="auto" w:fill="auto"/>
            <w:tcMar>
              <w:top w:w="20" w:type="dxa"/>
              <w:left w:w="20" w:type="dxa"/>
              <w:bottom w:w="20" w:type="dxa"/>
              <w:right w:w="20" w:type="dxa"/>
            </w:tcMar>
            <w:vAlign w:val="center"/>
          </w:tcPr>
          <w:p w14:paraId="233ED799"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(15,217)</w:t>
            </w:r>
          </w:p>
        </w:tc>
        <w:tc>
          <w:tcPr>
            <w:tcW w:w="1534" w:type="dxa"/>
            <w:tcBorders>
              <w:top w:val="single" w:sz="2" w:space="0" w:color="000000"/>
            </w:tcBorders>
            <w:shd w:val="clear" w:color="auto" w:fill="auto"/>
            <w:tcMar>
              <w:top w:w="20" w:type="dxa"/>
              <w:left w:w="20" w:type="dxa"/>
              <w:bottom w:w="20" w:type="dxa"/>
              <w:right w:w="20" w:type="dxa"/>
            </w:tcMar>
            <w:vAlign w:val="center"/>
          </w:tcPr>
          <w:p w14:paraId="3CE1D708"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(100)</w:t>
            </w:r>
          </w:p>
        </w:tc>
        <w:tc>
          <w:tcPr>
            <w:tcW w:w="1418" w:type="dxa"/>
            <w:tcBorders>
              <w:top w:val="single" w:sz="2" w:space="0" w:color="000000"/>
            </w:tcBorders>
            <w:shd w:val="clear" w:color="auto" w:fill="auto"/>
            <w:tcMar>
              <w:top w:w="20" w:type="dxa"/>
              <w:left w:w="20" w:type="dxa"/>
              <w:bottom w:w="20" w:type="dxa"/>
              <w:right w:w="20" w:type="dxa"/>
            </w:tcMar>
            <w:vAlign w:val="center"/>
          </w:tcPr>
          <w:p w14:paraId="3F032E90"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0</w:t>
            </w:r>
          </w:p>
        </w:tc>
        <w:tc>
          <w:tcPr>
            <w:tcW w:w="1134" w:type="dxa"/>
            <w:tcBorders>
              <w:top w:val="single" w:sz="2" w:space="0" w:color="000000"/>
              <w:right w:val="single" w:sz="4" w:space="0" w:color="auto"/>
            </w:tcBorders>
            <w:shd w:val="clear" w:color="auto" w:fill="auto"/>
            <w:tcMar>
              <w:top w:w="20" w:type="dxa"/>
              <w:left w:w="20" w:type="dxa"/>
              <w:bottom w:w="20" w:type="dxa"/>
              <w:right w:w="20" w:type="dxa"/>
            </w:tcMar>
            <w:vAlign w:val="center"/>
          </w:tcPr>
          <w:p w14:paraId="781E3049"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(18,891)</w:t>
            </w:r>
          </w:p>
        </w:tc>
      </w:tr>
      <w:tr w:rsidR="00790DD4" w:rsidRPr="000D67C6" w14:paraId="2D6C92E3" w14:textId="77777777" w:rsidTr="00790DD4">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6AD7BCC8"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Net Book Value</w:t>
            </w:r>
          </w:p>
        </w:tc>
        <w:tc>
          <w:tcPr>
            <w:tcW w:w="1058" w:type="dxa"/>
            <w:tcBorders>
              <w:left w:val="single" w:sz="4" w:space="0" w:color="auto"/>
            </w:tcBorders>
            <w:shd w:val="clear" w:color="auto" w:fill="auto"/>
            <w:tcMar>
              <w:top w:w="20" w:type="dxa"/>
              <w:left w:w="20" w:type="dxa"/>
              <w:bottom w:w="20" w:type="dxa"/>
              <w:right w:w="20" w:type="dxa"/>
            </w:tcMar>
            <w:vAlign w:val="center"/>
          </w:tcPr>
          <w:p w14:paraId="71722935" w14:textId="77777777" w:rsidR="00790DD4" w:rsidRPr="000D67C6" w:rsidRDefault="00790DD4" w:rsidP="00790DD4">
            <w:pPr>
              <w:pStyle w:val="T1TableStyle"/>
              <w:jc w:val="right"/>
              <w:rPr>
                <w:rFonts w:ascii="Arial" w:eastAsia="Verdana" w:hAnsi="Arial" w:cs="Arial"/>
                <w:sz w:val="20"/>
                <w:szCs w:val="20"/>
                <w:lang w:val="en-GB"/>
              </w:rPr>
            </w:pPr>
          </w:p>
        </w:tc>
        <w:tc>
          <w:tcPr>
            <w:tcW w:w="1230" w:type="dxa"/>
            <w:shd w:val="clear" w:color="auto" w:fill="auto"/>
            <w:tcMar>
              <w:top w:w="20" w:type="dxa"/>
              <w:left w:w="20" w:type="dxa"/>
              <w:bottom w:w="20" w:type="dxa"/>
              <w:right w:w="20" w:type="dxa"/>
            </w:tcMar>
            <w:vAlign w:val="center"/>
          </w:tcPr>
          <w:p w14:paraId="43A3CD77" w14:textId="77777777" w:rsidR="00790DD4" w:rsidRPr="000D67C6" w:rsidRDefault="00790DD4" w:rsidP="00790DD4">
            <w:pPr>
              <w:pStyle w:val="T1TableStyle"/>
              <w:jc w:val="right"/>
              <w:rPr>
                <w:rFonts w:ascii="Arial" w:eastAsia="Verdana" w:hAnsi="Arial" w:cs="Arial"/>
                <w:sz w:val="20"/>
                <w:szCs w:val="20"/>
                <w:lang w:val="en-GB"/>
              </w:rPr>
            </w:pPr>
          </w:p>
        </w:tc>
        <w:tc>
          <w:tcPr>
            <w:tcW w:w="1534" w:type="dxa"/>
            <w:shd w:val="clear" w:color="auto" w:fill="auto"/>
            <w:tcMar>
              <w:top w:w="20" w:type="dxa"/>
              <w:left w:w="20" w:type="dxa"/>
              <w:bottom w:w="20" w:type="dxa"/>
              <w:right w:w="20" w:type="dxa"/>
            </w:tcMar>
            <w:vAlign w:val="center"/>
          </w:tcPr>
          <w:p w14:paraId="7E0E27C4" w14:textId="77777777" w:rsidR="00790DD4" w:rsidRPr="000D67C6" w:rsidRDefault="00790DD4" w:rsidP="00790DD4">
            <w:pPr>
              <w:pStyle w:val="T1TableStyle"/>
              <w:jc w:val="right"/>
              <w:rPr>
                <w:rFonts w:ascii="Arial" w:eastAsia="Verdana" w:hAnsi="Arial" w:cs="Arial"/>
                <w:sz w:val="20"/>
                <w:szCs w:val="20"/>
                <w:lang w:val="en-GB"/>
              </w:rPr>
            </w:pPr>
          </w:p>
        </w:tc>
        <w:tc>
          <w:tcPr>
            <w:tcW w:w="1418" w:type="dxa"/>
            <w:shd w:val="clear" w:color="auto" w:fill="auto"/>
            <w:tcMar>
              <w:top w:w="20" w:type="dxa"/>
              <w:left w:w="20" w:type="dxa"/>
              <w:bottom w:w="20" w:type="dxa"/>
              <w:right w:w="20" w:type="dxa"/>
            </w:tcMar>
            <w:vAlign w:val="center"/>
          </w:tcPr>
          <w:p w14:paraId="00188CBC" w14:textId="77777777" w:rsidR="00790DD4" w:rsidRPr="000D67C6" w:rsidRDefault="00790DD4" w:rsidP="00790DD4">
            <w:pPr>
              <w:pStyle w:val="T1TableStyle"/>
              <w:jc w:val="right"/>
              <w:rPr>
                <w:rFonts w:ascii="Arial" w:eastAsia="Verdana" w:hAnsi="Arial" w:cs="Arial"/>
                <w:sz w:val="20"/>
                <w:szCs w:val="20"/>
                <w:lang w:val="en-GB"/>
              </w:rPr>
            </w:pPr>
          </w:p>
        </w:tc>
        <w:tc>
          <w:tcPr>
            <w:tcW w:w="1134" w:type="dxa"/>
            <w:tcBorders>
              <w:right w:val="single" w:sz="4" w:space="0" w:color="auto"/>
            </w:tcBorders>
            <w:shd w:val="clear" w:color="auto" w:fill="auto"/>
            <w:tcMar>
              <w:top w:w="20" w:type="dxa"/>
              <w:left w:w="20" w:type="dxa"/>
              <w:bottom w:w="20" w:type="dxa"/>
              <w:right w:w="20" w:type="dxa"/>
            </w:tcMar>
            <w:vAlign w:val="center"/>
          </w:tcPr>
          <w:p w14:paraId="48DBA598" w14:textId="77777777" w:rsidR="00790DD4" w:rsidRPr="000D67C6" w:rsidRDefault="00790DD4" w:rsidP="00790DD4">
            <w:pPr>
              <w:pStyle w:val="T1TableStyle"/>
              <w:jc w:val="right"/>
              <w:rPr>
                <w:rFonts w:ascii="Arial" w:eastAsia="Verdana" w:hAnsi="Arial" w:cs="Arial"/>
                <w:b/>
                <w:sz w:val="20"/>
                <w:szCs w:val="20"/>
                <w:lang w:val="en-GB"/>
              </w:rPr>
            </w:pPr>
          </w:p>
        </w:tc>
      </w:tr>
      <w:tr w:rsidR="00790DD4" w:rsidRPr="000D67C6" w14:paraId="3DD7D3E7" w14:textId="77777777" w:rsidTr="001D113F">
        <w:trPr>
          <w:trHeight w:val="255"/>
        </w:trPr>
        <w:tc>
          <w:tcPr>
            <w:tcW w:w="3408" w:type="dxa"/>
            <w:tcBorders>
              <w:left w:val="single" w:sz="4" w:space="0" w:color="auto"/>
              <w:right w:val="single" w:sz="4" w:space="0" w:color="auto"/>
            </w:tcBorders>
            <w:shd w:val="clear" w:color="auto" w:fill="auto"/>
            <w:tcMar>
              <w:top w:w="20" w:type="dxa"/>
              <w:left w:w="20" w:type="dxa"/>
              <w:bottom w:w="20" w:type="dxa"/>
              <w:right w:w="20" w:type="dxa"/>
            </w:tcMar>
            <w:vAlign w:val="center"/>
          </w:tcPr>
          <w:p w14:paraId="394BC756"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at 31 March 2017</w:t>
            </w:r>
          </w:p>
        </w:tc>
        <w:tc>
          <w:tcPr>
            <w:tcW w:w="1058" w:type="dxa"/>
            <w:tcBorders>
              <w:left w:val="single" w:sz="4" w:space="0" w:color="auto"/>
            </w:tcBorders>
            <w:shd w:val="clear" w:color="auto" w:fill="auto"/>
            <w:tcMar>
              <w:top w:w="20" w:type="dxa"/>
              <w:left w:w="20" w:type="dxa"/>
              <w:bottom w:w="20" w:type="dxa"/>
              <w:right w:w="20" w:type="dxa"/>
            </w:tcMar>
            <w:vAlign w:val="center"/>
          </w:tcPr>
          <w:p w14:paraId="2B2B02E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50,593</w:t>
            </w:r>
          </w:p>
        </w:tc>
        <w:tc>
          <w:tcPr>
            <w:tcW w:w="1230" w:type="dxa"/>
            <w:shd w:val="clear" w:color="auto" w:fill="auto"/>
            <w:tcMar>
              <w:top w:w="20" w:type="dxa"/>
              <w:left w:w="20" w:type="dxa"/>
              <w:bottom w:w="20" w:type="dxa"/>
              <w:right w:w="20" w:type="dxa"/>
            </w:tcMar>
            <w:vAlign w:val="center"/>
          </w:tcPr>
          <w:p w14:paraId="2C1B883A"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8,862</w:t>
            </w:r>
          </w:p>
        </w:tc>
        <w:tc>
          <w:tcPr>
            <w:tcW w:w="1534" w:type="dxa"/>
            <w:shd w:val="clear" w:color="auto" w:fill="auto"/>
            <w:tcMar>
              <w:top w:w="20" w:type="dxa"/>
              <w:left w:w="20" w:type="dxa"/>
              <w:bottom w:w="20" w:type="dxa"/>
              <w:right w:w="20" w:type="dxa"/>
            </w:tcMar>
            <w:vAlign w:val="center"/>
          </w:tcPr>
          <w:p w14:paraId="3745DBE8"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225</w:t>
            </w:r>
          </w:p>
        </w:tc>
        <w:tc>
          <w:tcPr>
            <w:tcW w:w="1418" w:type="dxa"/>
            <w:shd w:val="clear" w:color="auto" w:fill="auto"/>
            <w:tcMar>
              <w:top w:w="20" w:type="dxa"/>
              <w:left w:w="20" w:type="dxa"/>
              <w:bottom w:w="20" w:type="dxa"/>
              <w:right w:w="20" w:type="dxa"/>
            </w:tcMar>
            <w:vAlign w:val="center"/>
          </w:tcPr>
          <w:p w14:paraId="0E122E06"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0</w:t>
            </w:r>
          </w:p>
        </w:tc>
        <w:tc>
          <w:tcPr>
            <w:tcW w:w="1134" w:type="dxa"/>
            <w:tcBorders>
              <w:right w:val="single" w:sz="4" w:space="0" w:color="auto"/>
            </w:tcBorders>
            <w:shd w:val="clear" w:color="auto" w:fill="auto"/>
            <w:tcMar>
              <w:top w:w="20" w:type="dxa"/>
              <w:left w:w="20" w:type="dxa"/>
              <w:bottom w:w="20" w:type="dxa"/>
              <w:right w:w="20" w:type="dxa"/>
            </w:tcMar>
            <w:vAlign w:val="center"/>
          </w:tcPr>
          <w:p w14:paraId="6A7C4E61"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59,680</w:t>
            </w:r>
          </w:p>
        </w:tc>
      </w:tr>
      <w:tr w:rsidR="00790DD4" w:rsidRPr="000D67C6" w14:paraId="34AB5A85" w14:textId="77777777" w:rsidTr="00790DD4">
        <w:trPr>
          <w:trHeight w:val="255"/>
        </w:trPr>
        <w:tc>
          <w:tcPr>
            <w:tcW w:w="3408" w:type="dxa"/>
            <w:tcBorders>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1BE917A4" w14:textId="77777777" w:rsidR="00790DD4" w:rsidRPr="000D67C6" w:rsidRDefault="00790DD4" w:rsidP="00790DD4">
            <w:pPr>
              <w:pStyle w:val="T1TableStyle"/>
              <w:rPr>
                <w:rFonts w:ascii="Arial" w:eastAsia="Verdana" w:hAnsi="Arial" w:cs="Arial"/>
                <w:sz w:val="20"/>
                <w:szCs w:val="20"/>
                <w:lang w:val="en-GB"/>
              </w:rPr>
            </w:pPr>
            <w:r w:rsidRPr="000D67C6">
              <w:rPr>
                <w:rFonts w:ascii="Arial" w:eastAsia="Verdana" w:hAnsi="Arial" w:cs="Arial"/>
                <w:b/>
                <w:sz w:val="20"/>
                <w:szCs w:val="20"/>
                <w:lang w:val="en-GB"/>
              </w:rPr>
              <w:t>at 31 March 2018</w:t>
            </w:r>
          </w:p>
        </w:tc>
        <w:tc>
          <w:tcPr>
            <w:tcW w:w="1058" w:type="dxa"/>
            <w:tcBorders>
              <w:left w:val="single" w:sz="4" w:space="0" w:color="auto"/>
              <w:bottom w:val="single" w:sz="4" w:space="0" w:color="auto"/>
            </w:tcBorders>
            <w:shd w:val="clear" w:color="auto" w:fill="auto"/>
            <w:tcMar>
              <w:top w:w="20" w:type="dxa"/>
              <w:left w:w="20" w:type="dxa"/>
              <w:bottom w:w="20" w:type="dxa"/>
              <w:right w:w="20" w:type="dxa"/>
            </w:tcMar>
            <w:vAlign w:val="center"/>
          </w:tcPr>
          <w:p w14:paraId="583CB66F"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50,080</w:t>
            </w:r>
          </w:p>
        </w:tc>
        <w:tc>
          <w:tcPr>
            <w:tcW w:w="1230" w:type="dxa"/>
            <w:tcBorders>
              <w:bottom w:val="single" w:sz="4" w:space="0" w:color="auto"/>
            </w:tcBorders>
            <w:shd w:val="clear" w:color="auto" w:fill="auto"/>
            <w:tcMar>
              <w:top w:w="20" w:type="dxa"/>
              <w:left w:w="20" w:type="dxa"/>
              <w:bottom w:w="20" w:type="dxa"/>
              <w:right w:w="20" w:type="dxa"/>
            </w:tcMar>
            <w:vAlign w:val="center"/>
          </w:tcPr>
          <w:p w14:paraId="2C2FA195"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9,985</w:t>
            </w:r>
          </w:p>
        </w:tc>
        <w:tc>
          <w:tcPr>
            <w:tcW w:w="1534" w:type="dxa"/>
            <w:tcBorders>
              <w:bottom w:val="single" w:sz="4" w:space="0" w:color="auto"/>
            </w:tcBorders>
            <w:shd w:val="clear" w:color="auto" w:fill="auto"/>
            <w:tcMar>
              <w:top w:w="20" w:type="dxa"/>
              <w:left w:w="20" w:type="dxa"/>
              <w:bottom w:w="20" w:type="dxa"/>
              <w:right w:w="20" w:type="dxa"/>
            </w:tcMar>
            <w:vAlign w:val="center"/>
          </w:tcPr>
          <w:p w14:paraId="3A56A221"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222</w:t>
            </w:r>
          </w:p>
        </w:tc>
        <w:tc>
          <w:tcPr>
            <w:tcW w:w="1418" w:type="dxa"/>
            <w:tcBorders>
              <w:bottom w:val="single" w:sz="4" w:space="0" w:color="auto"/>
            </w:tcBorders>
            <w:shd w:val="clear" w:color="auto" w:fill="auto"/>
            <w:tcMar>
              <w:top w:w="20" w:type="dxa"/>
              <w:left w:w="20" w:type="dxa"/>
              <w:bottom w:w="20" w:type="dxa"/>
              <w:right w:w="20" w:type="dxa"/>
            </w:tcMar>
            <w:vAlign w:val="center"/>
          </w:tcPr>
          <w:p w14:paraId="28968D07" w14:textId="77777777" w:rsidR="00790DD4" w:rsidRPr="000D67C6" w:rsidRDefault="00790DD4" w:rsidP="00790DD4">
            <w:pPr>
              <w:pStyle w:val="T1TableStyle"/>
              <w:jc w:val="right"/>
              <w:rPr>
                <w:rFonts w:ascii="Arial" w:eastAsia="Verdana" w:hAnsi="Arial" w:cs="Arial"/>
                <w:sz w:val="20"/>
                <w:szCs w:val="20"/>
                <w:lang w:val="en-GB"/>
              </w:rPr>
            </w:pPr>
            <w:r w:rsidRPr="000D67C6">
              <w:rPr>
                <w:rFonts w:ascii="Arial" w:eastAsia="Verdana" w:hAnsi="Arial" w:cs="Arial"/>
                <w:b/>
                <w:sz w:val="20"/>
                <w:szCs w:val="20"/>
                <w:lang w:val="en-GB"/>
              </w:rPr>
              <w:t>1,434</w:t>
            </w:r>
          </w:p>
        </w:tc>
        <w:tc>
          <w:tcPr>
            <w:tcW w:w="1134" w:type="dxa"/>
            <w:tcBorders>
              <w:bottom w:val="single" w:sz="4" w:space="0" w:color="auto"/>
              <w:right w:val="single" w:sz="4" w:space="0" w:color="auto"/>
            </w:tcBorders>
            <w:shd w:val="clear" w:color="auto" w:fill="auto"/>
            <w:tcMar>
              <w:top w:w="20" w:type="dxa"/>
              <w:left w:w="20" w:type="dxa"/>
              <w:bottom w:w="20" w:type="dxa"/>
              <w:right w:w="20" w:type="dxa"/>
            </w:tcMar>
            <w:vAlign w:val="center"/>
          </w:tcPr>
          <w:p w14:paraId="32AD127F" w14:textId="77777777" w:rsidR="00790DD4" w:rsidRPr="000D67C6" w:rsidRDefault="00790DD4" w:rsidP="00790DD4">
            <w:pPr>
              <w:pStyle w:val="T1TableStyle"/>
              <w:jc w:val="right"/>
              <w:rPr>
                <w:rFonts w:ascii="Arial" w:eastAsia="Verdana" w:hAnsi="Arial" w:cs="Arial"/>
                <w:b/>
                <w:sz w:val="20"/>
                <w:szCs w:val="20"/>
                <w:lang w:val="en-GB"/>
              </w:rPr>
            </w:pPr>
            <w:r w:rsidRPr="000D67C6">
              <w:rPr>
                <w:rFonts w:ascii="Arial" w:eastAsia="Verdana" w:hAnsi="Arial" w:cs="Arial"/>
                <w:b/>
                <w:sz w:val="20"/>
                <w:szCs w:val="20"/>
                <w:lang w:val="en-GB"/>
              </w:rPr>
              <w:t>61,721</w:t>
            </w:r>
          </w:p>
        </w:tc>
      </w:tr>
    </w:tbl>
    <w:p w14:paraId="2CBC65A0" w14:textId="77777777" w:rsidR="00972C6F" w:rsidRPr="00EE7AF3" w:rsidRDefault="00972C6F" w:rsidP="00972C6F">
      <w:pPr>
        <w:pStyle w:val="NormalIndent"/>
        <w:ind w:left="0"/>
        <w:rPr>
          <w:rFonts w:ascii="Arial" w:hAnsi="Arial" w:cs="Arial"/>
          <w:sz w:val="28"/>
          <w:szCs w:val="22"/>
        </w:rPr>
      </w:pPr>
    </w:p>
    <w:p w14:paraId="007AA83E" w14:textId="77777777" w:rsidR="00972C6F" w:rsidRPr="000D67C6" w:rsidRDefault="00972C6F" w:rsidP="00972C6F">
      <w:pPr>
        <w:pStyle w:val="NormalIndent"/>
        <w:ind w:left="0"/>
        <w:rPr>
          <w:rFonts w:ascii="Arial" w:hAnsi="Arial" w:cs="Arial"/>
          <w:b/>
          <w:sz w:val="22"/>
          <w:szCs w:val="22"/>
        </w:rPr>
      </w:pPr>
      <w:r w:rsidRPr="000D67C6">
        <w:rPr>
          <w:rFonts w:ascii="Arial" w:hAnsi="Arial" w:cs="Arial"/>
          <w:b/>
          <w:sz w:val="22"/>
          <w:szCs w:val="22"/>
        </w:rPr>
        <w:t>Capital Commitments</w:t>
      </w:r>
    </w:p>
    <w:p w14:paraId="7C9506D2" w14:textId="77777777" w:rsidR="00972C6F" w:rsidRPr="000D67C6" w:rsidRDefault="00972C6F" w:rsidP="00972C6F">
      <w:pPr>
        <w:pStyle w:val="NormalIndent"/>
        <w:ind w:left="0"/>
        <w:rPr>
          <w:rFonts w:ascii="Arial" w:hAnsi="Arial" w:cs="Arial"/>
          <w:b/>
          <w:sz w:val="22"/>
          <w:szCs w:val="22"/>
        </w:rPr>
      </w:pPr>
    </w:p>
    <w:p w14:paraId="7C339E3F" w14:textId="443C23B1" w:rsidR="00972C6F" w:rsidRPr="000D67C6" w:rsidRDefault="00972C6F" w:rsidP="00972C6F">
      <w:pPr>
        <w:pStyle w:val="NormalIndent"/>
        <w:ind w:left="0"/>
        <w:jc w:val="both"/>
        <w:rPr>
          <w:rFonts w:ascii="Arial" w:hAnsi="Arial" w:cs="Arial"/>
          <w:sz w:val="22"/>
          <w:szCs w:val="22"/>
        </w:rPr>
      </w:pPr>
      <w:r w:rsidRPr="000D67C6">
        <w:rPr>
          <w:rFonts w:ascii="Arial" w:hAnsi="Arial" w:cs="Arial"/>
          <w:sz w:val="22"/>
          <w:szCs w:val="22"/>
        </w:rPr>
        <w:t xml:space="preserve">At </w:t>
      </w:r>
      <w:r w:rsidR="00591F0F" w:rsidRPr="000D67C6">
        <w:rPr>
          <w:rFonts w:ascii="Arial" w:hAnsi="Arial" w:cs="Arial"/>
          <w:sz w:val="22"/>
          <w:szCs w:val="22"/>
        </w:rPr>
        <w:t>31 March 201</w:t>
      </w:r>
      <w:r w:rsidR="00790DD4" w:rsidRPr="000D67C6">
        <w:rPr>
          <w:rFonts w:ascii="Arial" w:hAnsi="Arial" w:cs="Arial"/>
          <w:sz w:val="22"/>
          <w:szCs w:val="22"/>
        </w:rPr>
        <w:t>9</w:t>
      </w:r>
      <w:r w:rsidRPr="000D67C6">
        <w:rPr>
          <w:rFonts w:ascii="Arial" w:hAnsi="Arial" w:cs="Arial"/>
          <w:sz w:val="22"/>
          <w:szCs w:val="22"/>
        </w:rPr>
        <w:t xml:space="preserve">, the Authority </w:t>
      </w:r>
      <w:r w:rsidR="00D85BED" w:rsidRPr="000D67C6">
        <w:rPr>
          <w:rFonts w:ascii="Arial" w:hAnsi="Arial" w:cs="Arial"/>
          <w:sz w:val="22"/>
          <w:szCs w:val="22"/>
        </w:rPr>
        <w:t>had the following major commitment</w:t>
      </w:r>
      <w:r w:rsidR="006301A6" w:rsidRPr="000D67C6">
        <w:rPr>
          <w:rFonts w:ascii="Arial" w:hAnsi="Arial" w:cs="Arial"/>
          <w:sz w:val="22"/>
          <w:szCs w:val="22"/>
        </w:rPr>
        <w:t>s</w:t>
      </w:r>
      <w:r w:rsidRPr="000D67C6">
        <w:rPr>
          <w:rFonts w:ascii="Arial" w:hAnsi="Arial" w:cs="Arial"/>
          <w:sz w:val="22"/>
          <w:szCs w:val="22"/>
        </w:rPr>
        <w:t>:</w:t>
      </w:r>
    </w:p>
    <w:p w14:paraId="634ADB48" w14:textId="77777777" w:rsidR="00972C6F" w:rsidRPr="000D67C6" w:rsidRDefault="00972C6F" w:rsidP="00972C6F">
      <w:pPr>
        <w:pStyle w:val="NormalIndent"/>
        <w:ind w:left="0"/>
        <w:rPr>
          <w:rFonts w:ascii="Arial" w:hAnsi="Arial" w:cs="Arial"/>
          <w:sz w:val="22"/>
          <w:szCs w:val="22"/>
        </w:rPr>
      </w:pPr>
    </w:p>
    <w:p w14:paraId="49CB57DC" w14:textId="77777777" w:rsidR="00972C6F" w:rsidRPr="000D67C6" w:rsidRDefault="00FA4384" w:rsidP="00C4608B">
      <w:pPr>
        <w:pStyle w:val="NormalIndent"/>
        <w:numPr>
          <w:ilvl w:val="0"/>
          <w:numId w:val="29"/>
        </w:numPr>
        <w:rPr>
          <w:rFonts w:ascii="Arial" w:hAnsi="Arial" w:cs="Arial"/>
          <w:sz w:val="22"/>
          <w:szCs w:val="22"/>
        </w:rPr>
      </w:pPr>
      <w:r w:rsidRPr="000D67C6">
        <w:rPr>
          <w:rFonts w:ascii="Arial" w:hAnsi="Arial" w:cs="Arial"/>
          <w:sz w:val="22"/>
          <w:szCs w:val="22"/>
        </w:rPr>
        <w:t xml:space="preserve">£360k </w:t>
      </w:r>
      <w:r w:rsidR="00C96952" w:rsidRPr="000D67C6">
        <w:rPr>
          <w:rFonts w:ascii="Arial" w:hAnsi="Arial" w:cs="Arial"/>
          <w:sz w:val="22"/>
          <w:szCs w:val="22"/>
        </w:rPr>
        <w:t>– Thermal Imag</w:t>
      </w:r>
      <w:r w:rsidR="00AE2D8E" w:rsidRPr="000D67C6">
        <w:rPr>
          <w:rFonts w:ascii="Arial" w:hAnsi="Arial" w:cs="Arial"/>
          <w:sz w:val="22"/>
          <w:szCs w:val="22"/>
        </w:rPr>
        <w:t>ing</w:t>
      </w:r>
      <w:r w:rsidR="00C96952" w:rsidRPr="000D67C6">
        <w:rPr>
          <w:rFonts w:ascii="Arial" w:hAnsi="Arial" w:cs="Arial"/>
          <w:sz w:val="22"/>
          <w:szCs w:val="22"/>
        </w:rPr>
        <w:t xml:space="preserve"> Cameras</w:t>
      </w:r>
    </w:p>
    <w:p w14:paraId="18F672AF" w14:textId="77777777" w:rsidR="00DC7E67" w:rsidRPr="000D67C6" w:rsidRDefault="00936EFB" w:rsidP="00C4608B">
      <w:pPr>
        <w:pStyle w:val="NormalIndent"/>
        <w:numPr>
          <w:ilvl w:val="0"/>
          <w:numId w:val="29"/>
        </w:numPr>
        <w:rPr>
          <w:rFonts w:ascii="Arial" w:hAnsi="Arial" w:cs="Arial"/>
          <w:sz w:val="22"/>
          <w:szCs w:val="22"/>
        </w:rPr>
      </w:pPr>
      <w:r w:rsidRPr="000D67C6">
        <w:rPr>
          <w:rFonts w:ascii="Arial" w:hAnsi="Arial" w:cs="Arial"/>
          <w:sz w:val="22"/>
          <w:szCs w:val="22"/>
        </w:rPr>
        <w:t>£</w:t>
      </w:r>
      <w:r w:rsidR="00C96952" w:rsidRPr="000D67C6">
        <w:rPr>
          <w:rFonts w:ascii="Arial" w:hAnsi="Arial" w:cs="Arial"/>
          <w:sz w:val="22"/>
          <w:szCs w:val="22"/>
        </w:rPr>
        <w:t>445</w:t>
      </w:r>
      <w:r w:rsidR="00DC7E67" w:rsidRPr="000D67C6">
        <w:rPr>
          <w:rFonts w:ascii="Arial" w:hAnsi="Arial" w:cs="Arial"/>
          <w:sz w:val="22"/>
          <w:szCs w:val="22"/>
        </w:rPr>
        <w:t>k – Operational Vehicles</w:t>
      </w:r>
    </w:p>
    <w:p w14:paraId="419A5C4C" w14:textId="77777777" w:rsidR="00936EFB" w:rsidRPr="000D67C6" w:rsidRDefault="00936EFB" w:rsidP="00C4608B">
      <w:pPr>
        <w:pStyle w:val="NormalIndent"/>
        <w:numPr>
          <w:ilvl w:val="0"/>
          <w:numId w:val="29"/>
        </w:numPr>
        <w:rPr>
          <w:rFonts w:ascii="Arial" w:hAnsi="Arial" w:cs="Arial"/>
          <w:sz w:val="22"/>
          <w:szCs w:val="22"/>
        </w:rPr>
      </w:pPr>
      <w:r w:rsidRPr="000D67C6">
        <w:rPr>
          <w:rFonts w:ascii="Arial" w:hAnsi="Arial" w:cs="Arial"/>
          <w:sz w:val="22"/>
          <w:szCs w:val="22"/>
        </w:rPr>
        <w:t>£</w:t>
      </w:r>
      <w:r w:rsidR="00C96952" w:rsidRPr="000D67C6">
        <w:rPr>
          <w:rFonts w:ascii="Arial" w:hAnsi="Arial" w:cs="Arial"/>
          <w:sz w:val="22"/>
          <w:szCs w:val="22"/>
        </w:rPr>
        <w:t>92</w:t>
      </w:r>
      <w:r w:rsidR="004453E9" w:rsidRPr="000D67C6">
        <w:rPr>
          <w:rFonts w:ascii="Arial" w:hAnsi="Arial" w:cs="Arial"/>
          <w:sz w:val="22"/>
          <w:szCs w:val="22"/>
        </w:rPr>
        <w:t xml:space="preserve">k </w:t>
      </w:r>
      <w:r w:rsidR="00FC0159" w:rsidRPr="000D67C6">
        <w:rPr>
          <w:rFonts w:ascii="Arial" w:hAnsi="Arial" w:cs="Arial"/>
          <w:sz w:val="22"/>
          <w:szCs w:val="22"/>
        </w:rPr>
        <w:t xml:space="preserve">– </w:t>
      </w:r>
      <w:r w:rsidR="00C96952" w:rsidRPr="000D67C6">
        <w:rPr>
          <w:rFonts w:ascii="Arial" w:hAnsi="Arial" w:cs="Arial"/>
          <w:sz w:val="22"/>
          <w:szCs w:val="22"/>
        </w:rPr>
        <w:t>Llanidloes Fire Station upgrade</w:t>
      </w:r>
    </w:p>
    <w:p w14:paraId="59D39657" w14:textId="77777777" w:rsidR="00972C6F" w:rsidRPr="000D67C6" w:rsidRDefault="00972C6F" w:rsidP="00972C6F">
      <w:pPr>
        <w:pStyle w:val="NormalIndent"/>
        <w:ind w:left="0"/>
        <w:rPr>
          <w:rFonts w:ascii="Arial" w:hAnsi="Arial" w:cs="Arial"/>
          <w:sz w:val="22"/>
          <w:szCs w:val="22"/>
        </w:rPr>
      </w:pPr>
    </w:p>
    <w:p w14:paraId="253B736E" w14:textId="77777777" w:rsidR="00972C6F" w:rsidRPr="000D67C6" w:rsidRDefault="00972C6F" w:rsidP="00972C6F">
      <w:pPr>
        <w:pStyle w:val="NormalIndent"/>
        <w:ind w:left="0"/>
        <w:rPr>
          <w:rFonts w:ascii="Arial" w:hAnsi="Arial" w:cs="Arial"/>
          <w:b/>
          <w:sz w:val="22"/>
          <w:szCs w:val="22"/>
        </w:rPr>
      </w:pPr>
      <w:r w:rsidRPr="000D67C6">
        <w:rPr>
          <w:rFonts w:ascii="Arial" w:hAnsi="Arial" w:cs="Arial"/>
          <w:b/>
          <w:sz w:val="22"/>
          <w:szCs w:val="22"/>
        </w:rPr>
        <w:t>Revaluations</w:t>
      </w:r>
    </w:p>
    <w:p w14:paraId="74C8050B" w14:textId="77777777" w:rsidR="00972C6F" w:rsidRPr="000D67C6" w:rsidRDefault="00972C6F" w:rsidP="00972C6F">
      <w:pPr>
        <w:pStyle w:val="NormalIndent"/>
        <w:ind w:left="0"/>
        <w:rPr>
          <w:rFonts w:ascii="Arial" w:hAnsi="Arial" w:cs="Arial"/>
          <w:sz w:val="22"/>
          <w:szCs w:val="22"/>
        </w:rPr>
      </w:pPr>
    </w:p>
    <w:p w14:paraId="38767F24" w14:textId="73817C28" w:rsidR="00972C6F" w:rsidRPr="000D67C6" w:rsidRDefault="00972C6F" w:rsidP="00972C6F">
      <w:pPr>
        <w:pStyle w:val="NormalIndent"/>
        <w:ind w:left="0"/>
        <w:jc w:val="both"/>
        <w:rPr>
          <w:rFonts w:ascii="Arial" w:hAnsi="Arial" w:cs="Arial"/>
          <w:sz w:val="22"/>
          <w:szCs w:val="22"/>
        </w:rPr>
      </w:pPr>
      <w:r w:rsidRPr="000D67C6">
        <w:rPr>
          <w:rFonts w:ascii="Arial" w:hAnsi="Arial" w:cs="Arial"/>
          <w:sz w:val="22"/>
          <w:szCs w:val="22"/>
        </w:rPr>
        <w:t xml:space="preserve">The Authority </w:t>
      </w:r>
      <w:proofErr w:type="spellStart"/>
      <w:r w:rsidRPr="000D67C6">
        <w:rPr>
          <w:rFonts w:ascii="Arial" w:hAnsi="Arial" w:cs="Arial"/>
          <w:sz w:val="22"/>
          <w:szCs w:val="22"/>
        </w:rPr>
        <w:t>revalues</w:t>
      </w:r>
      <w:proofErr w:type="spellEnd"/>
      <w:r w:rsidRPr="000D67C6">
        <w:rPr>
          <w:rFonts w:ascii="Arial" w:hAnsi="Arial" w:cs="Arial"/>
          <w:sz w:val="22"/>
          <w:szCs w:val="22"/>
        </w:rPr>
        <w:t xml:space="preserve"> its Land and Buildings at least once every five years, the last valuation being carried out as at 1 April 2015.</w:t>
      </w:r>
      <w:r w:rsidR="0025066B" w:rsidRPr="000D67C6">
        <w:rPr>
          <w:rFonts w:ascii="Arial" w:hAnsi="Arial" w:cs="Arial"/>
          <w:sz w:val="22"/>
          <w:szCs w:val="22"/>
        </w:rPr>
        <w:t xml:space="preserve"> The </w:t>
      </w:r>
      <w:r w:rsidR="00FC6D1A" w:rsidRPr="000D67C6">
        <w:rPr>
          <w:rFonts w:ascii="Arial" w:hAnsi="Arial" w:cs="Arial"/>
          <w:sz w:val="22"/>
          <w:szCs w:val="22"/>
        </w:rPr>
        <w:t xml:space="preserve">valuation </w:t>
      </w:r>
      <w:r w:rsidR="0025066B" w:rsidRPr="000D67C6">
        <w:rPr>
          <w:rFonts w:ascii="Arial" w:hAnsi="Arial" w:cs="Arial"/>
          <w:sz w:val="22"/>
          <w:szCs w:val="22"/>
        </w:rPr>
        <w:t xml:space="preserve">exercise was carried out by a member of the Royal </w:t>
      </w:r>
      <w:r w:rsidR="00F0660F" w:rsidRPr="000D67C6">
        <w:rPr>
          <w:rFonts w:ascii="Arial" w:hAnsi="Arial" w:cs="Arial"/>
          <w:sz w:val="22"/>
          <w:szCs w:val="22"/>
        </w:rPr>
        <w:t>Institution of Chartered Surveyors employed by Carmarthenshire County Council.</w:t>
      </w:r>
    </w:p>
    <w:p w14:paraId="38108333" w14:textId="77777777" w:rsidR="001D113F" w:rsidRPr="000D67C6" w:rsidRDefault="001D113F" w:rsidP="00972C6F">
      <w:pPr>
        <w:pStyle w:val="NormalIndent"/>
        <w:ind w:left="0"/>
        <w:rPr>
          <w:rFonts w:ascii="Arial" w:hAnsi="Arial" w:cs="Arial"/>
          <w:b/>
          <w:sz w:val="22"/>
          <w:szCs w:val="22"/>
        </w:rPr>
      </w:pPr>
    </w:p>
    <w:p w14:paraId="6C8606FA" w14:textId="77777777" w:rsidR="00972C6F" w:rsidRPr="000D67C6" w:rsidRDefault="00972C6F" w:rsidP="00972C6F">
      <w:pPr>
        <w:pStyle w:val="NormalIndent"/>
        <w:ind w:left="0"/>
        <w:rPr>
          <w:rFonts w:ascii="Arial" w:hAnsi="Arial" w:cs="Arial"/>
          <w:b/>
          <w:sz w:val="22"/>
          <w:szCs w:val="22"/>
        </w:rPr>
      </w:pPr>
      <w:r w:rsidRPr="000D67C6">
        <w:rPr>
          <w:rFonts w:ascii="Arial" w:hAnsi="Arial" w:cs="Arial"/>
          <w:b/>
          <w:sz w:val="22"/>
          <w:szCs w:val="22"/>
        </w:rPr>
        <w:t>Non-operational Property, Plant and Equipment (Surplus Assets)</w:t>
      </w:r>
    </w:p>
    <w:p w14:paraId="6CC6A1A6" w14:textId="77777777" w:rsidR="00972C6F" w:rsidRPr="000D67C6" w:rsidRDefault="00972C6F" w:rsidP="00972C6F">
      <w:pPr>
        <w:pStyle w:val="NormalIndent"/>
        <w:ind w:left="0"/>
        <w:rPr>
          <w:rFonts w:ascii="Arial" w:hAnsi="Arial" w:cs="Arial"/>
          <w:sz w:val="22"/>
          <w:szCs w:val="22"/>
        </w:rPr>
      </w:pPr>
    </w:p>
    <w:p w14:paraId="1B344ED3" w14:textId="77777777" w:rsidR="00972C6F" w:rsidRPr="000D67C6" w:rsidRDefault="00972C6F" w:rsidP="00972C6F">
      <w:pPr>
        <w:pStyle w:val="NormalIndent"/>
        <w:ind w:left="0"/>
        <w:rPr>
          <w:rFonts w:ascii="Arial" w:hAnsi="Arial" w:cs="Arial"/>
          <w:sz w:val="22"/>
          <w:szCs w:val="22"/>
        </w:rPr>
      </w:pPr>
      <w:r w:rsidRPr="000D67C6">
        <w:rPr>
          <w:rFonts w:ascii="Arial" w:hAnsi="Arial" w:cs="Arial"/>
          <w:sz w:val="22"/>
          <w:szCs w:val="22"/>
        </w:rPr>
        <w:t>The Authority does not have surplus assets.</w:t>
      </w:r>
    </w:p>
    <w:p w14:paraId="40C0AF52" w14:textId="77777777" w:rsidR="00972C6F" w:rsidRPr="000D67C6" w:rsidRDefault="00972C6F" w:rsidP="00972C6F">
      <w:pPr>
        <w:pStyle w:val="NormalIndent"/>
        <w:ind w:left="0"/>
        <w:rPr>
          <w:rFonts w:ascii="Arial" w:hAnsi="Arial" w:cs="Arial"/>
          <w:b/>
          <w:sz w:val="22"/>
          <w:szCs w:val="22"/>
        </w:rPr>
      </w:pPr>
    </w:p>
    <w:p w14:paraId="3B12BF3F" w14:textId="2D2E80DD" w:rsidR="0038381D" w:rsidRPr="000D67C6" w:rsidRDefault="00421E5F" w:rsidP="00421E5F">
      <w:pPr>
        <w:pStyle w:val="NormalIndent"/>
        <w:ind w:left="0"/>
        <w:rPr>
          <w:rFonts w:ascii="Arial" w:hAnsi="Arial" w:cs="Arial"/>
          <w:b/>
          <w:sz w:val="22"/>
          <w:szCs w:val="22"/>
        </w:rPr>
      </w:pPr>
      <w:r w:rsidRPr="000D67C6">
        <w:rPr>
          <w:rFonts w:ascii="Arial" w:hAnsi="Arial" w:cs="Arial"/>
          <w:b/>
          <w:sz w:val="22"/>
          <w:szCs w:val="22"/>
        </w:rPr>
        <w:t>Impairments</w:t>
      </w:r>
    </w:p>
    <w:p w14:paraId="6C125DBF" w14:textId="17A362D3" w:rsidR="00421E5F" w:rsidRPr="000D67C6" w:rsidRDefault="00421E5F" w:rsidP="00421E5F">
      <w:pPr>
        <w:pStyle w:val="NormalIndent"/>
        <w:ind w:left="0"/>
        <w:rPr>
          <w:rFonts w:ascii="Arial" w:hAnsi="Arial" w:cs="Arial"/>
          <w:b/>
          <w:sz w:val="22"/>
          <w:szCs w:val="22"/>
        </w:rPr>
      </w:pPr>
    </w:p>
    <w:p w14:paraId="7212E4A2" w14:textId="502D2FA1" w:rsidR="00285EED" w:rsidRPr="000D67C6" w:rsidRDefault="00856A6C" w:rsidP="00285EED">
      <w:pPr>
        <w:pStyle w:val="NormalIndent"/>
        <w:ind w:left="0"/>
        <w:jc w:val="both"/>
        <w:rPr>
          <w:rFonts w:ascii="Arial" w:hAnsi="Arial" w:cs="Arial"/>
          <w:sz w:val="22"/>
          <w:szCs w:val="22"/>
        </w:rPr>
      </w:pPr>
      <w:r w:rsidRPr="000D67C6">
        <w:rPr>
          <w:rFonts w:ascii="Arial" w:hAnsi="Arial" w:cs="Arial"/>
          <w:sz w:val="22"/>
          <w:szCs w:val="22"/>
        </w:rPr>
        <w:t>In Octobe</w:t>
      </w:r>
      <w:r w:rsidR="00C421B1" w:rsidRPr="000D67C6">
        <w:rPr>
          <w:rFonts w:ascii="Arial" w:hAnsi="Arial" w:cs="Arial"/>
          <w:sz w:val="22"/>
          <w:szCs w:val="22"/>
        </w:rPr>
        <w:t>r</w:t>
      </w:r>
      <w:r w:rsidRPr="000D67C6">
        <w:rPr>
          <w:rFonts w:ascii="Arial" w:hAnsi="Arial" w:cs="Arial"/>
          <w:sz w:val="22"/>
          <w:szCs w:val="22"/>
        </w:rPr>
        <w:t xml:space="preserve"> 2018 </w:t>
      </w:r>
      <w:r w:rsidR="00C421B1" w:rsidRPr="000D67C6">
        <w:rPr>
          <w:rFonts w:ascii="Arial" w:hAnsi="Arial" w:cs="Arial"/>
          <w:sz w:val="22"/>
          <w:szCs w:val="22"/>
        </w:rPr>
        <w:t>Storm Callum hit West Wales. Llandysul Fire Station was flooded and severely damage</w:t>
      </w:r>
      <w:r w:rsidR="00F731BE" w:rsidRPr="000D67C6">
        <w:rPr>
          <w:rFonts w:ascii="Arial" w:hAnsi="Arial" w:cs="Arial"/>
          <w:sz w:val="22"/>
          <w:szCs w:val="22"/>
        </w:rPr>
        <w:t xml:space="preserve">d resulting in the </w:t>
      </w:r>
      <w:r w:rsidR="002B09CD" w:rsidRPr="000D67C6">
        <w:rPr>
          <w:rFonts w:ascii="Arial" w:hAnsi="Arial" w:cs="Arial"/>
          <w:sz w:val="22"/>
          <w:szCs w:val="22"/>
        </w:rPr>
        <w:t xml:space="preserve">station building being </w:t>
      </w:r>
      <w:r w:rsidR="00B17BAF" w:rsidRPr="000D67C6">
        <w:rPr>
          <w:rFonts w:ascii="Arial" w:hAnsi="Arial" w:cs="Arial"/>
          <w:sz w:val="22"/>
          <w:szCs w:val="22"/>
        </w:rPr>
        <w:t xml:space="preserve">rendered </w:t>
      </w:r>
      <w:r w:rsidR="002B09CD" w:rsidRPr="000D67C6">
        <w:rPr>
          <w:rFonts w:ascii="Arial" w:hAnsi="Arial" w:cs="Arial"/>
          <w:sz w:val="22"/>
          <w:szCs w:val="22"/>
        </w:rPr>
        <w:t>non-operational</w:t>
      </w:r>
      <w:r w:rsidR="00D96A23" w:rsidRPr="000D67C6">
        <w:rPr>
          <w:rFonts w:ascii="Arial" w:hAnsi="Arial" w:cs="Arial"/>
          <w:sz w:val="22"/>
          <w:szCs w:val="22"/>
        </w:rPr>
        <w:t xml:space="preserve"> altho</w:t>
      </w:r>
      <w:r w:rsidR="00285EED" w:rsidRPr="000D67C6">
        <w:rPr>
          <w:rFonts w:ascii="Arial" w:hAnsi="Arial" w:cs="Arial"/>
          <w:sz w:val="22"/>
          <w:szCs w:val="22"/>
        </w:rPr>
        <w:t>ugh t</w:t>
      </w:r>
      <w:r w:rsidR="00D96A23" w:rsidRPr="000D67C6">
        <w:rPr>
          <w:rFonts w:ascii="Arial" w:hAnsi="Arial" w:cs="Arial"/>
          <w:sz w:val="22"/>
          <w:szCs w:val="22"/>
        </w:rPr>
        <w:t>he appliance bays remain</w:t>
      </w:r>
      <w:r w:rsidR="00285EED" w:rsidRPr="000D67C6">
        <w:rPr>
          <w:rFonts w:ascii="Arial" w:hAnsi="Arial" w:cs="Arial"/>
          <w:sz w:val="22"/>
          <w:szCs w:val="22"/>
        </w:rPr>
        <w:t>ed</w:t>
      </w:r>
      <w:r w:rsidR="00D96A23" w:rsidRPr="000D67C6">
        <w:rPr>
          <w:rFonts w:ascii="Arial" w:hAnsi="Arial" w:cs="Arial"/>
          <w:sz w:val="22"/>
          <w:szCs w:val="22"/>
        </w:rPr>
        <w:t xml:space="preserve"> in use</w:t>
      </w:r>
      <w:r w:rsidR="00285EED" w:rsidRPr="000D67C6">
        <w:rPr>
          <w:rFonts w:ascii="Arial" w:hAnsi="Arial" w:cs="Arial"/>
          <w:sz w:val="22"/>
          <w:szCs w:val="22"/>
        </w:rPr>
        <w:t>.</w:t>
      </w:r>
      <w:r w:rsidR="00272031" w:rsidRPr="000D67C6">
        <w:rPr>
          <w:rFonts w:ascii="Arial" w:hAnsi="Arial" w:cs="Arial"/>
          <w:sz w:val="22"/>
          <w:szCs w:val="22"/>
        </w:rPr>
        <w:t xml:space="preserve"> </w:t>
      </w:r>
      <w:r w:rsidR="00A6546B" w:rsidRPr="000D67C6">
        <w:rPr>
          <w:rFonts w:ascii="Arial" w:hAnsi="Arial" w:cs="Arial"/>
          <w:sz w:val="22"/>
          <w:szCs w:val="22"/>
        </w:rPr>
        <w:t>The v</w:t>
      </w:r>
      <w:r w:rsidR="00D470E7" w:rsidRPr="000D67C6">
        <w:rPr>
          <w:rFonts w:ascii="Arial" w:hAnsi="Arial" w:cs="Arial"/>
          <w:sz w:val="22"/>
          <w:szCs w:val="22"/>
        </w:rPr>
        <w:t xml:space="preserve">aluer has valued the site in accordance with CIPFA’s Code of Practice </w:t>
      </w:r>
      <w:r w:rsidR="00480BAC" w:rsidRPr="000D67C6">
        <w:rPr>
          <w:rFonts w:ascii="Arial" w:hAnsi="Arial" w:cs="Arial"/>
          <w:sz w:val="22"/>
          <w:szCs w:val="22"/>
        </w:rPr>
        <w:t xml:space="preserve">on Local Authority Accounting </w:t>
      </w:r>
      <w:r w:rsidR="00654872" w:rsidRPr="000D67C6">
        <w:rPr>
          <w:rFonts w:ascii="Arial" w:hAnsi="Arial" w:cs="Arial"/>
          <w:sz w:val="22"/>
          <w:szCs w:val="22"/>
        </w:rPr>
        <w:t xml:space="preserve">resulting in an </w:t>
      </w:r>
      <w:r w:rsidR="003304E6" w:rsidRPr="000D67C6">
        <w:rPr>
          <w:rFonts w:ascii="Arial" w:hAnsi="Arial" w:cs="Arial"/>
          <w:sz w:val="22"/>
          <w:szCs w:val="22"/>
        </w:rPr>
        <w:t>impairment loss</w:t>
      </w:r>
      <w:r w:rsidR="00654872" w:rsidRPr="000D67C6">
        <w:rPr>
          <w:rFonts w:ascii="Arial" w:hAnsi="Arial" w:cs="Arial"/>
          <w:sz w:val="22"/>
          <w:szCs w:val="22"/>
        </w:rPr>
        <w:t xml:space="preserve"> of </w:t>
      </w:r>
      <w:r w:rsidR="007118E8" w:rsidRPr="000D67C6">
        <w:rPr>
          <w:rFonts w:ascii="Arial" w:hAnsi="Arial" w:cs="Arial"/>
          <w:sz w:val="22"/>
          <w:szCs w:val="22"/>
        </w:rPr>
        <w:t>£51k.</w:t>
      </w:r>
    </w:p>
    <w:p w14:paraId="4162EBBB" w14:textId="77777777" w:rsidR="00285EED" w:rsidRPr="000D67C6" w:rsidRDefault="00285EED" w:rsidP="00285EED">
      <w:pPr>
        <w:pStyle w:val="NormalIndent"/>
        <w:ind w:left="0"/>
        <w:jc w:val="both"/>
        <w:rPr>
          <w:rFonts w:ascii="Arial" w:hAnsi="Arial" w:cs="Arial"/>
          <w:b/>
          <w:sz w:val="28"/>
          <w:szCs w:val="28"/>
        </w:rPr>
      </w:pPr>
    </w:p>
    <w:p w14:paraId="67E82819" w14:textId="77777777" w:rsidR="0072554E" w:rsidRPr="000D67C6" w:rsidRDefault="0072554E" w:rsidP="00F0660F">
      <w:pPr>
        <w:rPr>
          <w:rFonts w:ascii="Arial" w:hAnsi="Arial" w:cs="Arial"/>
          <w:b/>
          <w:sz w:val="28"/>
          <w:szCs w:val="28"/>
          <w:lang w:val="en-GB"/>
        </w:rPr>
      </w:pPr>
    </w:p>
    <w:p w14:paraId="593FA149" w14:textId="6568288A" w:rsidR="008F013B" w:rsidRPr="000D67C6" w:rsidRDefault="008F013B" w:rsidP="00F0660F">
      <w:pPr>
        <w:rPr>
          <w:rFonts w:ascii="Arial" w:hAnsi="Arial" w:cs="Arial"/>
          <w:b/>
          <w:sz w:val="28"/>
          <w:szCs w:val="28"/>
          <w:lang w:val="en-GB"/>
        </w:rPr>
      </w:pPr>
      <w:r w:rsidRPr="000D67C6">
        <w:rPr>
          <w:rFonts w:ascii="Arial" w:hAnsi="Arial" w:cs="Arial"/>
          <w:b/>
          <w:sz w:val="28"/>
          <w:szCs w:val="28"/>
          <w:lang w:val="en-GB"/>
        </w:rPr>
        <w:t>Note</w:t>
      </w:r>
      <w:r w:rsidR="00C45161" w:rsidRPr="000D67C6">
        <w:rPr>
          <w:rFonts w:ascii="Arial" w:hAnsi="Arial" w:cs="Arial"/>
          <w:b/>
          <w:sz w:val="28"/>
          <w:szCs w:val="28"/>
          <w:lang w:val="en-GB"/>
        </w:rPr>
        <w:t xml:space="preserve"> </w:t>
      </w:r>
      <w:r w:rsidR="0038381D" w:rsidRPr="000D67C6">
        <w:rPr>
          <w:rFonts w:ascii="Arial" w:hAnsi="Arial" w:cs="Arial"/>
          <w:b/>
          <w:sz w:val="28"/>
          <w:szCs w:val="28"/>
          <w:lang w:val="en-GB"/>
        </w:rPr>
        <w:t>13</w:t>
      </w:r>
      <w:r w:rsidRPr="000D67C6">
        <w:rPr>
          <w:rFonts w:ascii="Arial" w:hAnsi="Arial" w:cs="Arial"/>
          <w:b/>
          <w:sz w:val="28"/>
          <w:szCs w:val="28"/>
          <w:lang w:val="en-GB"/>
        </w:rPr>
        <w:t xml:space="preserve"> - Intangible Assets</w:t>
      </w:r>
    </w:p>
    <w:p w14:paraId="791B5FB5" w14:textId="77777777" w:rsidR="008F013B" w:rsidRPr="000D67C6" w:rsidRDefault="008F013B" w:rsidP="001B2935">
      <w:pPr>
        <w:pStyle w:val="Normal0"/>
        <w:jc w:val="both"/>
        <w:rPr>
          <w:rFonts w:ascii="Arial" w:eastAsia="Calibri" w:hAnsi="Arial" w:cs="Arial"/>
          <w:sz w:val="22"/>
          <w:szCs w:val="22"/>
          <w:lang w:val="en-GB"/>
        </w:rPr>
      </w:pPr>
    </w:p>
    <w:p w14:paraId="2A339C11" w14:textId="77777777" w:rsidR="003B4213" w:rsidRPr="000D67C6" w:rsidRDefault="008F013B" w:rsidP="001B2935">
      <w:pPr>
        <w:pStyle w:val="Normal0"/>
        <w:jc w:val="both"/>
        <w:rPr>
          <w:rFonts w:ascii="Arial" w:eastAsia="Calibri" w:hAnsi="Arial" w:cs="Arial"/>
          <w:sz w:val="22"/>
          <w:szCs w:val="22"/>
          <w:lang w:val="en-GB"/>
        </w:rPr>
      </w:pPr>
      <w:r w:rsidRPr="000D67C6">
        <w:rPr>
          <w:rFonts w:ascii="Arial" w:eastAsia="Calibri" w:hAnsi="Arial" w:cs="Arial"/>
          <w:sz w:val="22"/>
          <w:szCs w:val="22"/>
          <w:lang w:val="en-GB"/>
        </w:rPr>
        <w:t xml:space="preserve">The </w:t>
      </w:r>
      <w:r w:rsidR="00197018" w:rsidRPr="000D67C6">
        <w:rPr>
          <w:rFonts w:ascii="Arial" w:eastAsia="Calibri" w:hAnsi="Arial" w:cs="Arial"/>
          <w:sz w:val="22"/>
          <w:szCs w:val="22"/>
          <w:lang w:val="en-GB"/>
        </w:rPr>
        <w:t>Authority</w:t>
      </w:r>
      <w:r w:rsidRPr="000D67C6">
        <w:rPr>
          <w:rFonts w:ascii="Arial" w:eastAsia="Calibri" w:hAnsi="Arial" w:cs="Arial"/>
          <w:sz w:val="22"/>
          <w:szCs w:val="22"/>
          <w:lang w:val="en-GB"/>
        </w:rPr>
        <w:t xml:space="preserve"> accounts for its software as intangible assets, to the extent that the software is not an integral part of a particular IT system and accounted for as part of the hardware item of property, plant and equipment. The intangible assets include both purchased l</w:t>
      </w:r>
      <w:r w:rsidR="009D3B11" w:rsidRPr="000D67C6">
        <w:rPr>
          <w:rFonts w:ascii="Arial" w:eastAsia="Calibri" w:hAnsi="Arial" w:cs="Arial"/>
          <w:sz w:val="22"/>
          <w:szCs w:val="22"/>
          <w:lang w:val="en-GB"/>
        </w:rPr>
        <w:t>icenses and internally generated</w:t>
      </w:r>
      <w:r w:rsidRPr="000D67C6">
        <w:rPr>
          <w:rFonts w:ascii="Arial" w:eastAsia="Calibri" w:hAnsi="Arial" w:cs="Arial"/>
          <w:sz w:val="22"/>
          <w:szCs w:val="22"/>
          <w:lang w:val="en-GB"/>
        </w:rPr>
        <w:t xml:space="preserve"> software.   </w:t>
      </w:r>
    </w:p>
    <w:p w14:paraId="18F6EEA7" w14:textId="77777777" w:rsidR="001B2935" w:rsidRPr="000D67C6" w:rsidRDefault="001B2935" w:rsidP="001B2935">
      <w:pPr>
        <w:pStyle w:val="Normal0"/>
        <w:jc w:val="both"/>
        <w:rPr>
          <w:rFonts w:ascii="Arial" w:eastAsia="Calibri" w:hAnsi="Arial" w:cs="Arial"/>
          <w:sz w:val="22"/>
          <w:szCs w:val="22"/>
          <w:lang w:val="en-GB"/>
        </w:rPr>
      </w:pPr>
    </w:p>
    <w:p w14:paraId="542E322A" w14:textId="77777777" w:rsidR="00C45161" w:rsidRPr="000D67C6" w:rsidRDefault="008F013B" w:rsidP="001B2935">
      <w:pPr>
        <w:pStyle w:val="Normal0"/>
        <w:jc w:val="both"/>
        <w:rPr>
          <w:rFonts w:ascii="Arial" w:eastAsia="Calibri" w:hAnsi="Arial" w:cs="Arial"/>
          <w:sz w:val="22"/>
          <w:szCs w:val="22"/>
          <w:lang w:val="en-GB"/>
        </w:rPr>
      </w:pPr>
      <w:r w:rsidRPr="000D67C6">
        <w:rPr>
          <w:rFonts w:ascii="Arial" w:eastAsia="Calibri" w:hAnsi="Arial" w:cs="Arial"/>
          <w:sz w:val="22"/>
          <w:szCs w:val="22"/>
          <w:lang w:val="en-GB"/>
        </w:rPr>
        <w:t xml:space="preserve">All software is given a finite useful life, based on assessments of the period that the software is expected to be of use to the </w:t>
      </w:r>
      <w:r w:rsidR="00197018" w:rsidRPr="000D67C6">
        <w:rPr>
          <w:rFonts w:ascii="Arial" w:eastAsia="Calibri" w:hAnsi="Arial" w:cs="Arial"/>
          <w:sz w:val="22"/>
          <w:szCs w:val="22"/>
          <w:lang w:val="en-GB"/>
        </w:rPr>
        <w:t>Authority</w:t>
      </w:r>
      <w:r w:rsidRPr="000D67C6">
        <w:rPr>
          <w:rFonts w:ascii="Arial" w:eastAsia="Calibri" w:hAnsi="Arial" w:cs="Arial"/>
          <w:sz w:val="22"/>
          <w:szCs w:val="22"/>
          <w:lang w:val="en-GB"/>
        </w:rPr>
        <w:t xml:space="preserve">. The useful lives assigned to the major software suites used by the </w:t>
      </w:r>
      <w:r w:rsidR="00197018" w:rsidRPr="000D67C6">
        <w:rPr>
          <w:rFonts w:ascii="Arial" w:eastAsia="Calibri" w:hAnsi="Arial" w:cs="Arial"/>
          <w:sz w:val="22"/>
          <w:szCs w:val="22"/>
          <w:lang w:val="en-GB"/>
        </w:rPr>
        <w:t>Authority</w:t>
      </w:r>
      <w:r w:rsidRPr="000D67C6">
        <w:rPr>
          <w:rFonts w:ascii="Arial" w:eastAsia="Calibri" w:hAnsi="Arial" w:cs="Arial"/>
          <w:sz w:val="22"/>
          <w:szCs w:val="22"/>
          <w:lang w:val="en-GB"/>
        </w:rPr>
        <w:t xml:space="preserve"> </w:t>
      </w:r>
      <w:r w:rsidR="003B4213" w:rsidRPr="000D67C6">
        <w:rPr>
          <w:rFonts w:ascii="Arial" w:eastAsia="Calibri" w:hAnsi="Arial" w:cs="Arial"/>
          <w:sz w:val="22"/>
          <w:szCs w:val="22"/>
          <w:lang w:val="en-GB"/>
        </w:rPr>
        <w:t>is 10 years.</w:t>
      </w:r>
    </w:p>
    <w:p w14:paraId="0B4769A0" w14:textId="77777777" w:rsidR="001B2935" w:rsidRPr="000D67C6" w:rsidRDefault="001B2935" w:rsidP="001B2935">
      <w:pPr>
        <w:pStyle w:val="Normal0"/>
        <w:jc w:val="both"/>
        <w:rPr>
          <w:rFonts w:ascii="Arial" w:eastAsia="Calibri" w:hAnsi="Arial" w:cs="Arial"/>
          <w:sz w:val="22"/>
          <w:szCs w:val="22"/>
          <w:lang w:val="en-GB"/>
        </w:rPr>
      </w:pPr>
    </w:p>
    <w:p w14:paraId="4DABD5F9" w14:textId="77777777" w:rsidR="003B4213" w:rsidRPr="000D67C6" w:rsidRDefault="003B4213" w:rsidP="001B2935">
      <w:pPr>
        <w:pStyle w:val="Normal0"/>
        <w:jc w:val="both"/>
        <w:rPr>
          <w:rFonts w:ascii="Arial" w:eastAsia="Calibri" w:hAnsi="Arial" w:cs="Arial"/>
          <w:sz w:val="22"/>
          <w:szCs w:val="22"/>
          <w:lang w:val="en-GB"/>
        </w:rPr>
      </w:pPr>
      <w:r w:rsidRPr="000D67C6">
        <w:rPr>
          <w:rFonts w:ascii="Arial" w:eastAsia="Calibri" w:hAnsi="Arial" w:cs="Arial"/>
          <w:sz w:val="22"/>
          <w:szCs w:val="22"/>
          <w:lang w:val="en-GB"/>
        </w:rPr>
        <w:t>The movement on Intangible Asset balances during the year is as follows:</w:t>
      </w:r>
    </w:p>
    <w:p w14:paraId="543C89CC" w14:textId="77777777" w:rsidR="001B2935" w:rsidRPr="000D67C6" w:rsidRDefault="001B2935" w:rsidP="001B2935">
      <w:pPr>
        <w:pStyle w:val="Normal0"/>
        <w:jc w:val="both"/>
        <w:rPr>
          <w:rFonts w:ascii="Arial" w:eastAsia="Calibri" w:hAnsi="Arial" w:cs="Arial"/>
          <w:sz w:val="22"/>
          <w:szCs w:val="22"/>
          <w:lang w:val="en-GB"/>
        </w:rPr>
      </w:pPr>
    </w:p>
    <w:tbl>
      <w:tblPr>
        <w:tblW w:w="7088" w:type="dxa"/>
        <w:jc w:val="center"/>
        <w:tblLook w:val="04A0" w:firstRow="1" w:lastRow="0" w:firstColumn="1" w:lastColumn="0" w:noHBand="0" w:noVBand="1"/>
      </w:tblPr>
      <w:tblGrid>
        <w:gridCol w:w="1012"/>
        <w:gridCol w:w="4555"/>
        <w:gridCol w:w="1521"/>
      </w:tblGrid>
      <w:tr w:rsidR="003B4213" w:rsidRPr="000D67C6" w14:paraId="6CBCC85D"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317F36DE" w14:textId="77777777" w:rsidR="003B4213" w:rsidRPr="000D67C6" w:rsidRDefault="009D6E5A" w:rsidP="003B4213">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201</w:t>
            </w:r>
            <w:r w:rsidR="00790DD4" w:rsidRPr="000D67C6">
              <w:rPr>
                <w:rFonts w:ascii="Arial" w:eastAsia="Times New Roman" w:hAnsi="Arial" w:cs="Arial"/>
                <w:b/>
                <w:bCs/>
                <w:sz w:val="22"/>
                <w:szCs w:val="22"/>
                <w:lang w:val="en-GB" w:eastAsia="en-GB"/>
              </w:rPr>
              <w:t>7</w:t>
            </w:r>
            <w:r w:rsidRPr="000D67C6">
              <w:rPr>
                <w:rFonts w:ascii="Arial" w:eastAsia="Times New Roman" w:hAnsi="Arial" w:cs="Arial"/>
                <w:b/>
                <w:bCs/>
                <w:sz w:val="22"/>
                <w:szCs w:val="22"/>
                <w:lang w:val="en-GB" w:eastAsia="en-GB"/>
              </w:rPr>
              <w:t>/1</w:t>
            </w:r>
            <w:r w:rsidR="00790DD4" w:rsidRPr="000D67C6">
              <w:rPr>
                <w:rFonts w:ascii="Arial" w:eastAsia="Times New Roman" w:hAnsi="Arial" w:cs="Arial"/>
                <w:b/>
                <w:bCs/>
                <w:sz w:val="22"/>
                <w:szCs w:val="22"/>
                <w:lang w:val="en-GB" w:eastAsia="en-GB"/>
              </w:rPr>
              <w:t>8</w:t>
            </w:r>
          </w:p>
        </w:tc>
        <w:tc>
          <w:tcPr>
            <w:tcW w:w="4555" w:type="dxa"/>
            <w:tcBorders>
              <w:top w:val="nil"/>
              <w:left w:val="nil"/>
              <w:bottom w:val="nil"/>
              <w:right w:val="nil"/>
            </w:tcBorders>
            <w:shd w:val="clear" w:color="auto" w:fill="auto"/>
            <w:noWrap/>
            <w:vAlign w:val="bottom"/>
            <w:hideMark/>
          </w:tcPr>
          <w:p w14:paraId="7868C1BB" w14:textId="77777777" w:rsidR="003B4213" w:rsidRPr="000D67C6" w:rsidRDefault="003B4213" w:rsidP="0038381D">
            <w:pPr>
              <w:ind w:firstLine="180"/>
              <w:jc w:val="right"/>
              <w:rPr>
                <w:rFonts w:ascii="Arial" w:eastAsia="Times New Roman" w:hAnsi="Arial" w:cs="Arial"/>
                <w:b/>
                <w:bCs/>
                <w:sz w:val="22"/>
                <w:szCs w:val="22"/>
                <w:lang w:val="en-GB" w:eastAsia="en-GB"/>
              </w:rPr>
            </w:pPr>
          </w:p>
        </w:tc>
        <w:tc>
          <w:tcPr>
            <w:tcW w:w="1521" w:type="dxa"/>
            <w:tcBorders>
              <w:top w:val="nil"/>
              <w:left w:val="nil"/>
              <w:bottom w:val="nil"/>
              <w:right w:val="nil"/>
            </w:tcBorders>
            <w:shd w:val="clear" w:color="auto" w:fill="auto"/>
            <w:noWrap/>
            <w:vAlign w:val="bottom"/>
            <w:hideMark/>
          </w:tcPr>
          <w:p w14:paraId="65DD1007" w14:textId="77777777" w:rsidR="003B4213" w:rsidRPr="000D67C6" w:rsidRDefault="009D6E5A" w:rsidP="003B4213">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201</w:t>
            </w:r>
            <w:r w:rsidR="00790DD4" w:rsidRPr="000D67C6">
              <w:rPr>
                <w:rFonts w:ascii="Arial" w:eastAsia="Times New Roman" w:hAnsi="Arial" w:cs="Arial"/>
                <w:b/>
                <w:bCs/>
                <w:sz w:val="22"/>
                <w:szCs w:val="22"/>
                <w:lang w:val="en-GB" w:eastAsia="en-GB"/>
              </w:rPr>
              <w:t>8</w:t>
            </w:r>
            <w:r w:rsidRPr="000D67C6">
              <w:rPr>
                <w:rFonts w:ascii="Arial" w:eastAsia="Times New Roman" w:hAnsi="Arial" w:cs="Arial"/>
                <w:b/>
                <w:bCs/>
                <w:sz w:val="22"/>
                <w:szCs w:val="22"/>
                <w:lang w:val="en-GB" w:eastAsia="en-GB"/>
              </w:rPr>
              <w:t>/1</w:t>
            </w:r>
            <w:r w:rsidR="00790DD4" w:rsidRPr="000D67C6">
              <w:rPr>
                <w:rFonts w:ascii="Arial" w:eastAsia="Times New Roman" w:hAnsi="Arial" w:cs="Arial"/>
                <w:b/>
                <w:bCs/>
                <w:sz w:val="22"/>
                <w:szCs w:val="22"/>
                <w:lang w:val="en-GB" w:eastAsia="en-GB"/>
              </w:rPr>
              <w:t>9</w:t>
            </w:r>
          </w:p>
        </w:tc>
      </w:tr>
      <w:tr w:rsidR="003B4213" w:rsidRPr="000D67C6" w14:paraId="145D5F0D" w14:textId="77777777" w:rsidTr="00B850D2">
        <w:trPr>
          <w:trHeight w:val="312"/>
          <w:jc w:val="center"/>
        </w:trPr>
        <w:tc>
          <w:tcPr>
            <w:tcW w:w="1012" w:type="dxa"/>
            <w:tcBorders>
              <w:top w:val="nil"/>
              <w:left w:val="nil"/>
              <w:bottom w:val="single" w:sz="4" w:space="0" w:color="auto"/>
              <w:right w:val="nil"/>
            </w:tcBorders>
            <w:shd w:val="clear" w:color="auto" w:fill="auto"/>
            <w:noWrap/>
            <w:vAlign w:val="bottom"/>
            <w:hideMark/>
          </w:tcPr>
          <w:p w14:paraId="215F803D" w14:textId="77777777" w:rsidR="003B4213" w:rsidRPr="000D67C6" w:rsidRDefault="00BC46D1" w:rsidP="003B4213">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£000</w:t>
            </w:r>
          </w:p>
        </w:tc>
        <w:tc>
          <w:tcPr>
            <w:tcW w:w="4555" w:type="dxa"/>
            <w:tcBorders>
              <w:top w:val="nil"/>
              <w:left w:val="nil"/>
              <w:bottom w:val="single" w:sz="4" w:space="0" w:color="auto"/>
              <w:right w:val="nil"/>
            </w:tcBorders>
            <w:shd w:val="clear" w:color="auto" w:fill="auto"/>
            <w:noWrap/>
            <w:vAlign w:val="bottom"/>
            <w:hideMark/>
          </w:tcPr>
          <w:p w14:paraId="67C75FBA" w14:textId="77777777" w:rsidR="003B4213" w:rsidRPr="000D67C6" w:rsidRDefault="003B4213" w:rsidP="0038381D">
            <w:pPr>
              <w:ind w:firstLine="180"/>
              <w:jc w:val="right"/>
              <w:rPr>
                <w:rFonts w:ascii="Arial" w:eastAsia="Times New Roman" w:hAnsi="Arial" w:cs="Arial"/>
                <w:b/>
                <w:bCs/>
                <w:sz w:val="22"/>
                <w:szCs w:val="22"/>
                <w:lang w:val="en-GB" w:eastAsia="en-GB"/>
              </w:rPr>
            </w:pPr>
          </w:p>
        </w:tc>
        <w:tc>
          <w:tcPr>
            <w:tcW w:w="1521" w:type="dxa"/>
            <w:tcBorders>
              <w:top w:val="nil"/>
              <w:left w:val="nil"/>
              <w:bottom w:val="single" w:sz="4" w:space="0" w:color="auto"/>
              <w:right w:val="nil"/>
            </w:tcBorders>
            <w:shd w:val="clear" w:color="auto" w:fill="auto"/>
            <w:noWrap/>
            <w:vAlign w:val="bottom"/>
            <w:hideMark/>
          </w:tcPr>
          <w:p w14:paraId="66B04BEB" w14:textId="77777777" w:rsidR="003B4213" w:rsidRPr="000D67C6" w:rsidRDefault="00BC46D1" w:rsidP="003B4213">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£000</w:t>
            </w:r>
          </w:p>
        </w:tc>
      </w:tr>
      <w:tr w:rsidR="003B4213" w:rsidRPr="000D67C6" w14:paraId="1DEF17D9" w14:textId="77777777" w:rsidTr="00B850D2">
        <w:trPr>
          <w:trHeight w:val="312"/>
          <w:jc w:val="center"/>
        </w:trPr>
        <w:tc>
          <w:tcPr>
            <w:tcW w:w="1012" w:type="dxa"/>
            <w:tcBorders>
              <w:top w:val="single" w:sz="4" w:space="0" w:color="auto"/>
              <w:left w:val="nil"/>
              <w:bottom w:val="nil"/>
              <w:right w:val="nil"/>
            </w:tcBorders>
            <w:shd w:val="clear" w:color="auto" w:fill="auto"/>
            <w:noWrap/>
            <w:vAlign w:val="bottom"/>
            <w:hideMark/>
          </w:tcPr>
          <w:p w14:paraId="5D141FAE" w14:textId="77777777" w:rsidR="003B4213" w:rsidRPr="000D67C6" w:rsidRDefault="003B4213" w:rsidP="003B4213">
            <w:pPr>
              <w:jc w:val="right"/>
              <w:rPr>
                <w:rFonts w:ascii="Arial" w:eastAsia="Times New Roman" w:hAnsi="Arial" w:cs="Arial"/>
                <w:b/>
                <w:bCs/>
                <w:sz w:val="22"/>
                <w:szCs w:val="22"/>
                <w:lang w:val="en-GB" w:eastAsia="en-GB"/>
              </w:rPr>
            </w:pPr>
          </w:p>
        </w:tc>
        <w:tc>
          <w:tcPr>
            <w:tcW w:w="4555" w:type="dxa"/>
            <w:tcBorders>
              <w:top w:val="single" w:sz="4" w:space="0" w:color="auto"/>
              <w:left w:val="nil"/>
              <w:bottom w:val="nil"/>
              <w:right w:val="nil"/>
            </w:tcBorders>
            <w:shd w:val="clear" w:color="auto" w:fill="auto"/>
            <w:noWrap/>
            <w:vAlign w:val="bottom"/>
            <w:hideMark/>
          </w:tcPr>
          <w:p w14:paraId="68104B9F" w14:textId="77777777" w:rsidR="003B4213" w:rsidRPr="000D67C6" w:rsidRDefault="003B4213" w:rsidP="0038381D">
            <w:pPr>
              <w:ind w:firstLine="180"/>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Gross Book Value</w:t>
            </w:r>
          </w:p>
        </w:tc>
        <w:tc>
          <w:tcPr>
            <w:tcW w:w="1521" w:type="dxa"/>
            <w:tcBorders>
              <w:top w:val="single" w:sz="4" w:space="0" w:color="auto"/>
              <w:left w:val="nil"/>
              <w:bottom w:val="nil"/>
              <w:right w:val="nil"/>
            </w:tcBorders>
            <w:shd w:val="clear" w:color="auto" w:fill="auto"/>
            <w:noWrap/>
            <w:vAlign w:val="bottom"/>
            <w:hideMark/>
          </w:tcPr>
          <w:p w14:paraId="543204CD" w14:textId="77777777" w:rsidR="003B4213" w:rsidRPr="000D67C6" w:rsidRDefault="003B4213" w:rsidP="003B4213">
            <w:pPr>
              <w:rPr>
                <w:rFonts w:ascii="Arial" w:eastAsia="Times New Roman" w:hAnsi="Arial" w:cs="Arial"/>
                <w:b/>
                <w:bCs/>
                <w:sz w:val="22"/>
                <w:szCs w:val="22"/>
                <w:lang w:val="en-GB" w:eastAsia="en-GB"/>
              </w:rPr>
            </w:pPr>
          </w:p>
        </w:tc>
      </w:tr>
      <w:tr w:rsidR="00790DD4" w:rsidRPr="000D67C6" w14:paraId="3D0A623A"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78729E78"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545</w:t>
            </w:r>
          </w:p>
        </w:tc>
        <w:tc>
          <w:tcPr>
            <w:tcW w:w="4555" w:type="dxa"/>
            <w:tcBorders>
              <w:top w:val="nil"/>
              <w:left w:val="nil"/>
              <w:bottom w:val="nil"/>
              <w:right w:val="nil"/>
            </w:tcBorders>
            <w:shd w:val="clear" w:color="auto" w:fill="auto"/>
            <w:noWrap/>
            <w:vAlign w:val="bottom"/>
            <w:hideMark/>
          </w:tcPr>
          <w:p w14:paraId="60365C1A"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Opening Balance at 1 April</w:t>
            </w:r>
          </w:p>
        </w:tc>
        <w:tc>
          <w:tcPr>
            <w:tcW w:w="1521" w:type="dxa"/>
            <w:tcBorders>
              <w:top w:val="nil"/>
              <w:left w:val="nil"/>
              <w:bottom w:val="nil"/>
              <w:right w:val="nil"/>
            </w:tcBorders>
            <w:shd w:val="clear" w:color="auto" w:fill="auto"/>
            <w:noWrap/>
            <w:vAlign w:val="bottom"/>
          </w:tcPr>
          <w:p w14:paraId="20782AB0" w14:textId="77777777" w:rsidR="00790DD4" w:rsidRPr="000D67C6" w:rsidRDefault="002E7A3E"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1,014</w:t>
            </w:r>
          </w:p>
        </w:tc>
      </w:tr>
      <w:tr w:rsidR="00790DD4" w:rsidRPr="000D67C6" w14:paraId="5DD18C55"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52671F10"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469</w:t>
            </w:r>
          </w:p>
        </w:tc>
        <w:tc>
          <w:tcPr>
            <w:tcW w:w="4555" w:type="dxa"/>
            <w:tcBorders>
              <w:top w:val="nil"/>
              <w:left w:val="nil"/>
              <w:bottom w:val="nil"/>
              <w:right w:val="nil"/>
            </w:tcBorders>
            <w:shd w:val="clear" w:color="auto" w:fill="auto"/>
            <w:noWrap/>
            <w:vAlign w:val="bottom"/>
            <w:hideMark/>
          </w:tcPr>
          <w:p w14:paraId="591F9A67"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Additions </w:t>
            </w:r>
          </w:p>
        </w:tc>
        <w:tc>
          <w:tcPr>
            <w:tcW w:w="1521" w:type="dxa"/>
            <w:tcBorders>
              <w:top w:val="nil"/>
              <w:left w:val="nil"/>
              <w:bottom w:val="nil"/>
              <w:right w:val="nil"/>
            </w:tcBorders>
            <w:shd w:val="clear" w:color="auto" w:fill="auto"/>
            <w:noWrap/>
            <w:vAlign w:val="bottom"/>
          </w:tcPr>
          <w:p w14:paraId="2C734958" w14:textId="77777777" w:rsidR="00790DD4" w:rsidRPr="000D67C6" w:rsidRDefault="002E7A3E"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136</w:t>
            </w:r>
          </w:p>
        </w:tc>
      </w:tr>
      <w:tr w:rsidR="00790DD4" w:rsidRPr="000D67C6" w14:paraId="57836B84"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4B019123"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0</w:t>
            </w:r>
          </w:p>
        </w:tc>
        <w:tc>
          <w:tcPr>
            <w:tcW w:w="4555" w:type="dxa"/>
            <w:tcBorders>
              <w:top w:val="nil"/>
              <w:left w:val="nil"/>
              <w:bottom w:val="nil"/>
              <w:right w:val="nil"/>
            </w:tcBorders>
            <w:shd w:val="clear" w:color="auto" w:fill="auto"/>
            <w:noWrap/>
            <w:vAlign w:val="bottom"/>
            <w:hideMark/>
          </w:tcPr>
          <w:p w14:paraId="1629DA03"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Derecognition</w:t>
            </w:r>
          </w:p>
        </w:tc>
        <w:tc>
          <w:tcPr>
            <w:tcW w:w="1521" w:type="dxa"/>
            <w:tcBorders>
              <w:top w:val="nil"/>
              <w:left w:val="nil"/>
              <w:bottom w:val="nil"/>
              <w:right w:val="nil"/>
            </w:tcBorders>
            <w:shd w:val="clear" w:color="auto" w:fill="auto"/>
            <w:noWrap/>
            <w:vAlign w:val="bottom"/>
          </w:tcPr>
          <w:p w14:paraId="5E9D66F3" w14:textId="77777777" w:rsidR="00790DD4" w:rsidRPr="000D67C6" w:rsidRDefault="002E7A3E"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(15)</w:t>
            </w:r>
          </w:p>
        </w:tc>
      </w:tr>
      <w:tr w:rsidR="00790DD4" w:rsidRPr="000D67C6" w14:paraId="52519D47"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67C08EBA" w14:textId="77777777" w:rsidR="00790DD4" w:rsidRPr="000D67C6" w:rsidRDefault="00790DD4" w:rsidP="00790DD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1,014</w:t>
            </w:r>
          </w:p>
        </w:tc>
        <w:tc>
          <w:tcPr>
            <w:tcW w:w="4555" w:type="dxa"/>
            <w:tcBorders>
              <w:top w:val="nil"/>
              <w:left w:val="nil"/>
              <w:bottom w:val="nil"/>
              <w:right w:val="nil"/>
            </w:tcBorders>
            <w:shd w:val="clear" w:color="auto" w:fill="auto"/>
            <w:noWrap/>
            <w:vAlign w:val="bottom"/>
            <w:hideMark/>
          </w:tcPr>
          <w:p w14:paraId="6130655D" w14:textId="650BEE77" w:rsidR="00790DD4" w:rsidRPr="000D67C6" w:rsidRDefault="00790DD4" w:rsidP="00790DD4">
            <w:pPr>
              <w:ind w:firstLine="180"/>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Closing Bal</w:t>
            </w:r>
            <w:r w:rsidR="00B850D2">
              <w:rPr>
                <w:rFonts w:ascii="Arial" w:eastAsia="Times New Roman" w:hAnsi="Arial" w:cs="Arial"/>
                <w:b/>
                <w:bCs/>
                <w:sz w:val="22"/>
                <w:szCs w:val="22"/>
                <w:lang w:val="en-GB" w:eastAsia="en-GB"/>
              </w:rPr>
              <w:t>ance</w:t>
            </w:r>
            <w:r w:rsidRPr="000D67C6">
              <w:rPr>
                <w:rFonts w:ascii="Arial" w:eastAsia="Times New Roman" w:hAnsi="Arial" w:cs="Arial"/>
                <w:b/>
                <w:bCs/>
                <w:sz w:val="22"/>
                <w:szCs w:val="22"/>
                <w:lang w:val="en-GB" w:eastAsia="en-GB"/>
              </w:rPr>
              <w:t xml:space="preserve"> at 31 March</w:t>
            </w:r>
          </w:p>
        </w:tc>
        <w:tc>
          <w:tcPr>
            <w:tcW w:w="1521" w:type="dxa"/>
            <w:tcBorders>
              <w:top w:val="nil"/>
              <w:left w:val="nil"/>
              <w:bottom w:val="nil"/>
              <w:right w:val="nil"/>
            </w:tcBorders>
            <w:shd w:val="clear" w:color="auto" w:fill="auto"/>
            <w:noWrap/>
            <w:vAlign w:val="bottom"/>
          </w:tcPr>
          <w:p w14:paraId="18AD7AED" w14:textId="77777777" w:rsidR="00790DD4" w:rsidRPr="000D67C6" w:rsidRDefault="00325FD3" w:rsidP="00790DD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1,135</w:t>
            </w:r>
          </w:p>
        </w:tc>
      </w:tr>
      <w:tr w:rsidR="00790DD4" w:rsidRPr="000D67C6" w14:paraId="365D06D5"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200B9C10" w14:textId="77777777" w:rsidR="00790DD4" w:rsidRPr="000D67C6" w:rsidRDefault="00790DD4" w:rsidP="00790DD4">
            <w:pPr>
              <w:rPr>
                <w:rFonts w:ascii="Arial" w:eastAsia="Times New Roman" w:hAnsi="Arial" w:cs="Arial"/>
                <w:sz w:val="22"/>
                <w:szCs w:val="22"/>
                <w:lang w:val="en-GB" w:eastAsia="en-GB"/>
              </w:rPr>
            </w:pPr>
          </w:p>
        </w:tc>
        <w:tc>
          <w:tcPr>
            <w:tcW w:w="4555" w:type="dxa"/>
            <w:tcBorders>
              <w:top w:val="nil"/>
              <w:left w:val="nil"/>
              <w:bottom w:val="nil"/>
              <w:right w:val="nil"/>
            </w:tcBorders>
            <w:shd w:val="clear" w:color="auto" w:fill="auto"/>
            <w:noWrap/>
            <w:vAlign w:val="bottom"/>
            <w:hideMark/>
          </w:tcPr>
          <w:p w14:paraId="786EE188" w14:textId="77777777" w:rsidR="00790DD4" w:rsidRPr="000D67C6" w:rsidRDefault="00790DD4" w:rsidP="00790DD4">
            <w:pPr>
              <w:ind w:firstLine="180"/>
              <w:jc w:val="right"/>
              <w:rPr>
                <w:rFonts w:ascii="Arial" w:eastAsia="Times New Roman" w:hAnsi="Arial" w:cs="Arial"/>
                <w:sz w:val="22"/>
                <w:szCs w:val="22"/>
                <w:lang w:val="en-GB" w:eastAsia="en-GB"/>
              </w:rPr>
            </w:pPr>
          </w:p>
        </w:tc>
        <w:tc>
          <w:tcPr>
            <w:tcW w:w="1521" w:type="dxa"/>
            <w:tcBorders>
              <w:top w:val="nil"/>
              <w:left w:val="nil"/>
              <w:bottom w:val="nil"/>
              <w:right w:val="nil"/>
            </w:tcBorders>
            <w:shd w:val="clear" w:color="auto" w:fill="auto"/>
            <w:noWrap/>
            <w:vAlign w:val="bottom"/>
          </w:tcPr>
          <w:p w14:paraId="50CF28CC" w14:textId="77777777" w:rsidR="00790DD4" w:rsidRPr="000D67C6" w:rsidRDefault="00790DD4" w:rsidP="00790DD4">
            <w:pPr>
              <w:rPr>
                <w:rFonts w:ascii="Arial" w:eastAsia="Times New Roman" w:hAnsi="Arial" w:cs="Arial"/>
                <w:sz w:val="22"/>
                <w:szCs w:val="22"/>
                <w:lang w:val="en-GB" w:eastAsia="en-GB"/>
              </w:rPr>
            </w:pPr>
          </w:p>
        </w:tc>
      </w:tr>
      <w:tr w:rsidR="00790DD4" w:rsidRPr="000D67C6" w14:paraId="2E923E13"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29DBE25C" w14:textId="77777777" w:rsidR="00790DD4" w:rsidRPr="000D67C6" w:rsidRDefault="00790DD4" w:rsidP="00790DD4">
            <w:pPr>
              <w:rPr>
                <w:rFonts w:ascii="Arial" w:eastAsia="Times New Roman" w:hAnsi="Arial" w:cs="Arial"/>
                <w:b/>
                <w:bCs/>
                <w:sz w:val="22"/>
                <w:szCs w:val="22"/>
                <w:lang w:val="en-GB" w:eastAsia="en-GB"/>
              </w:rPr>
            </w:pPr>
          </w:p>
        </w:tc>
        <w:tc>
          <w:tcPr>
            <w:tcW w:w="4555" w:type="dxa"/>
            <w:tcBorders>
              <w:top w:val="nil"/>
              <w:left w:val="nil"/>
              <w:bottom w:val="nil"/>
              <w:right w:val="nil"/>
            </w:tcBorders>
            <w:shd w:val="clear" w:color="auto" w:fill="auto"/>
            <w:noWrap/>
            <w:vAlign w:val="bottom"/>
            <w:hideMark/>
          </w:tcPr>
          <w:p w14:paraId="7387BA1C" w14:textId="77777777" w:rsidR="00790DD4" w:rsidRPr="000D67C6" w:rsidRDefault="00790DD4" w:rsidP="00790DD4">
            <w:pPr>
              <w:ind w:firstLine="180"/>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Accumulated Amortisation</w:t>
            </w:r>
          </w:p>
        </w:tc>
        <w:tc>
          <w:tcPr>
            <w:tcW w:w="1521" w:type="dxa"/>
            <w:tcBorders>
              <w:top w:val="nil"/>
              <w:left w:val="nil"/>
              <w:bottom w:val="nil"/>
              <w:right w:val="nil"/>
            </w:tcBorders>
            <w:shd w:val="clear" w:color="auto" w:fill="auto"/>
            <w:noWrap/>
            <w:vAlign w:val="bottom"/>
          </w:tcPr>
          <w:p w14:paraId="38FBCA72" w14:textId="77777777" w:rsidR="00790DD4" w:rsidRPr="000D67C6" w:rsidRDefault="00790DD4" w:rsidP="00790DD4">
            <w:pPr>
              <w:rPr>
                <w:rFonts w:ascii="Arial" w:eastAsia="Times New Roman" w:hAnsi="Arial" w:cs="Arial"/>
                <w:b/>
                <w:bCs/>
                <w:sz w:val="22"/>
                <w:szCs w:val="22"/>
                <w:lang w:val="en-GB" w:eastAsia="en-GB"/>
              </w:rPr>
            </w:pPr>
          </w:p>
        </w:tc>
      </w:tr>
      <w:tr w:rsidR="00790DD4" w:rsidRPr="000D67C6" w14:paraId="44426D4D"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3B641D65"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(113)</w:t>
            </w:r>
          </w:p>
        </w:tc>
        <w:tc>
          <w:tcPr>
            <w:tcW w:w="4555" w:type="dxa"/>
            <w:tcBorders>
              <w:top w:val="nil"/>
              <w:left w:val="nil"/>
              <w:bottom w:val="nil"/>
              <w:right w:val="nil"/>
            </w:tcBorders>
            <w:shd w:val="clear" w:color="auto" w:fill="auto"/>
            <w:noWrap/>
            <w:vAlign w:val="bottom"/>
            <w:hideMark/>
          </w:tcPr>
          <w:p w14:paraId="0AC871E7"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At 1 April</w:t>
            </w:r>
          </w:p>
        </w:tc>
        <w:tc>
          <w:tcPr>
            <w:tcW w:w="1521" w:type="dxa"/>
            <w:tcBorders>
              <w:top w:val="nil"/>
              <w:left w:val="nil"/>
              <w:bottom w:val="nil"/>
              <w:right w:val="nil"/>
            </w:tcBorders>
            <w:shd w:val="clear" w:color="auto" w:fill="auto"/>
            <w:noWrap/>
            <w:vAlign w:val="bottom"/>
          </w:tcPr>
          <w:p w14:paraId="46C665F6" w14:textId="77777777" w:rsidR="00790DD4" w:rsidRPr="000D67C6" w:rsidRDefault="00325FD3"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(168)</w:t>
            </w:r>
          </w:p>
        </w:tc>
      </w:tr>
      <w:tr w:rsidR="00790DD4" w:rsidRPr="000D67C6" w14:paraId="6E51EA0E"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43680222"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(55)</w:t>
            </w:r>
          </w:p>
        </w:tc>
        <w:tc>
          <w:tcPr>
            <w:tcW w:w="4555" w:type="dxa"/>
            <w:tcBorders>
              <w:top w:val="nil"/>
              <w:left w:val="nil"/>
              <w:bottom w:val="nil"/>
              <w:right w:val="nil"/>
            </w:tcBorders>
            <w:shd w:val="clear" w:color="auto" w:fill="auto"/>
            <w:noWrap/>
            <w:vAlign w:val="bottom"/>
            <w:hideMark/>
          </w:tcPr>
          <w:p w14:paraId="0826A00E"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Amortisation </w:t>
            </w:r>
          </w:p>
        </w:tc>
        <w:tc>
          <w:tcPr>
            <w:tcW w:w="1521" w:type="dxa"/>
            <w:tcBorders>
              <w:top w:val="nil"/>
              <w:left w:val="nil"/>
              <w:bottom w:val="nil"/>
              <w:right w:val="nil"/>
            </w:tcBorders>
            <w:shd w:val="clear" w:color="auto" w:fill="auto"/>
            <w:noWrap/>
            <w:vAlign w:val="bottom"/>
          </w:tcPr>
          <w:p w14:paraId="4CD6FA6C" w14:textId="77777777" w:rsidR="00790DD4" w:rsidRPr="000D67C6" w:rsidRDefault="00325FD3"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(107)</w:t>
            </w:r>
          </w:p>
        </w:tc>
      </w:tr>
      <w:tr w:rsidR="00790DD4" w:rsidRPr="000D67C6" w14:paraId="5E61E3CA"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578D1FB5"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0</w:t>
            </w:r>
          </w:p>
        </w:tc>
        <w:tc>
          <w:tcPr>
            <w:tcW w:w="4555" w:type="dxa"/>
            <w:tcBorders>
              <w:top w:val="nil"/>
              <w:left w:val="nil"/>
              <w:bottom w:val="nil"/>
              <w:right w:val="nil"/>
            </w:tcBorders>
            <w:shd w:val="clear" w:color="auto" w:fill="auto"/>
            <w:noWrap/>
            <w:vAlign w:val="bottom"/>
            <w:hideMark/>
          </w:tcPr>
          <w:p w14:paraId="5C065013"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Derecognition</w:t>
            </w:r>
          </w:p>
        </w:tc>
        <w:tc>
          <w:tcPr>
            <w:tcW w:w="1521" w:type="dxa"/>
            <w:tcBorders>
              <w:top w:val="nil"/>
              <w:left w:val="nil"/>
              <w:bottom w:val="nil"/>
              <w:right w:val="nil"/>
            </w:tcBorders>
            <w:shd w:val="clear" w:color="auto" w:fill="auto"/>
            <w:noWrap/>
            <w:vAlign w:val="bottom"/>
          </w:tcPr>
          <w:p w14:paraId="793AC343" w14:textId="77777777" w:rsidR="00790DD4" w:rsidRPr="000D67C6" w:rsidRDefault="00325FD3"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15</w:t>
            </w:r>
          </w:p>
        </w:tc>
      </w:tr>
      <w:tr w:rsidR="00790DD4" w:rsidRPr="000D67C6" w14:paraId="5901EB73" w14:textId="77777777" w:rsidTr="00B850D2">
        <w:trPr>
          <w:trHeight w:val="312"/>
          <w:jc w:val="center"/>
        </w:trPr>
        <w:tc>
          <w:tcPr>
            <w:tcW w:w="1012" w:type="dxa"/>
            <w:tcBorders>
              <w:top w:val="nil"/>
              <w:left w:val="nil"/>
              <w:right w:val="nil"/>
            </w:tcBorders>
            <w:shd w:val="clear" w:color="auto" w:fill="auto"/>
            <w:noWrap/>
            <w:vAlign w:val="bottom"/>
            <w:hideMark/>
          </w:tcPr>
          <w:p w14:paraId="6C6C9F5C" w14:textId="77777777" w:rsidR="00790DD4" w:rsidRPr="000D67C6" w:rsidRDefault="00790DD4" w:rsidP="00790DD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(168)</w:t>
            </w:r>
          </w:p>
        </w:tc>
        <w:tc>
          <w:tcPr>
            <w:tcW w:w="4555" w:type="dxa"/>
            <w:tcBorders>
              <w:top w:val="nil"/>
              <w:left w:val="nil"/>
              <w:right w:val="nil"/>
            </w:tcBorders>
            <w:shd w:val="clear" w:color="auto" w:fill="auto"/>
            <w:noWrap/>
            <w:vAlign w:val="bottom"/>
            <w:hideMark/>
          </w:tcPr>
          <w:p w14:paraId="1E2A8A9A" w14:textId="208E4D28" w:rsidR="00790DD4" w:rsidRPr="000D67C6" w:rsidRDefault="00790DD4" w:rsidP="00790DD4">
            <w:pPr>
              <w:ind w:firstLine="180"/>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Closing Bal</w:t>
            </w:r>
            <w:r w:rsidR="00B850D2">
              <w:rPr>
                <w:rFonts w:ascii="Arial" w:eastAsia="Times New Roman" w:hAnsi="Arial" w:cs="Arial"/>
                <w:b/>
                <w:bCs/>
                <w:sz w:val="22"/>
                <w:szCs w:val="22"/>
                <w:lang w:val="en-GB" w:eastAsia="en-GB"/>
              </w:rPr>
              <w:t>ance</w:t>
            </w:r>
            <w:r w:rsidRPr="000D67C6">
              <w:rPr>
                <w:rFonts w:ascii="Arial" w:eastAsia="Times New Roman" w:hAnsi="Arial" w:cs="Arial"/>
                <w:b/>
                <w:bCs/>
                <w:sz w:val="22"/>
                <w:szCs w:val="22"/>
                <w:lang w:val="en-GB" w:eastAsia="en-GB"/>
              </w:rPr>
              <w:t xml:space="preserve"> at 31 March</w:t>
            </w:r>
          </w:p>
        </w:tc>
        <w:tc>
          <w:tcPr>
            <w:tcW w:w="1521" w:type="dxa"/>
            <w:tcBorders>
              <w:top w:val="nil"/>
              <w:left w:val="nil"/>
              <w:right w:val="nil"/>
            </w:tcBorders>
            <w:shd w:val="clear" w:color="auto" w:fill="auto"/>
            <w:noWrap/>
            <w:vAlign w:val="bottom"/>
          </w:tcPr>
          <w:p w14:paraId="61140B49" w14:textId="77777777" w:rsidR="00790DD4" w:rsidRPr="000D67C6" w:rsidRDefault="00325FD3" w:rsidP="00790DD4">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(260)</w:t>
            </w:r>
          </w:p>
        </w:tc>
      </w:tr>
      <w:tr w:rsidR="00790DD4" w:rsidRPr="000D67C6" w14:paraId="442C7FB3" w14:textId="77777777" w:rsidTr="00B850D2">
        <w:trPr>
          <w:trHeight w:val="312"/>
          <w:jc w:val="center"/>
        </w:trPr>
        <w:tc>
          <w:tcPr>
            <w:tcW w:w="1012" w:type="dxa"/>
            <w:tcBorders>
              <w:top w:val="nil"/>
              <w:left w:val="nil"/>
              <w:bottom w:val="single" w:sz="4" w:space="0" w:color="auto"/>
              <w:right w:val="nil"/>
            </w:tcBorders>
            <w:shd w:val="clear" w:color="auto" w:fill="auto"/>
            <w:noWrap/>
            <w:vAlign w:val="bottom"/>
            <w:hideMark/>
          </w:tcPr>
          <w:p w14:paraId="39B28540" w14:textId="77777777" w:rsidR="00790DD4" w:rsidRPr="000D67C6" w:rsidRDefault="00790DD4" w:rsidP="00790DD4">
            <w:pPr>
              <w:rPr>
                <w:rFonts w:ascii="Arial" w:eastAsia="Times New Roman" w:hAnsi="Arial" w:cs="Arial"/>
                <w:sz w:val="22"/>
                <w:szCs w:val="22"/>
                <w:lang w:val="en-GB" w:eastAsia="en-GB"/>
              </w:rPr>
            </w:pPr>
          </w:p>
        </w:tc>
        <w:tc>
          <w:tcPr>
            <w:tcW w:w="4555" w:type="dxa"/>
            <w:tcBorders>
              <w:top w:val="nil"/>
              <w:left w:val="nil"/>
              <w:bottom w:val="single" w:sz="4" w:space="0" w:color="auto"/>
              <w:right w:val="nil"/>
            </w:tcBorders>
            <w:shd w:val="clear" w:color="auto" w:fill="auto"/>
            <w:noWrap/>
            <w:vAlign w:val="bottom"/>
            <w:hideMark/>
          </w:tcPr>
          <w:p w14:paraId="10AEC65D" w14:textId="77777777" w:rsidR="00790DD4" w:rsidRPr="000D67C6" w:rsidRDefault="00790DD4" w:rsidP="00790DD4">
            <w:pPr>
              <w:ind w:firstLine="180"/>
              <w:jc w:val="right"/>
              <w:rPr>
                <w:rFonts w:ascii="Arial" w:eastAsia="Times New Roman" w:hAnsi="Arial" w:cs="Arial"/>
                <w:sz w:val="22"/>
                <w:szCs w:val="22"/>
                <w:lang w:val="en-GB" w:eastAsia="en-GB"/>
              </w:rPr>
            </w:pPr>
          </w:p>
        </w:tc>
        <w:tc>
          <w:tcPr>
            <w:tcW w:w="1521" w:type="dxa"/>
            <w:tcBorders>
              <w:top w:val="nil"/>
              <w:left w:val="nil"/>
              <w:bottom w:val="single" w:sz="4" w:space="0" w:color="auto"/>
              <w:right w:val="nil"/>
            </w:tcBorders>
            <w:shd w:val="clear" w:color="auto" w:fill="auto"/>
            <w:noWrap/>
            <w:vAlign w:val="bottom"/>
          </w:tcPr>
          <w:p w14:paraId="1BFC96A9" w14:textId="77777777" w:rsidR="00790DD4" w:rsidRPr="000D67C6" w:rsidRDefault="00790DD4" w:rsidP="00790DD4">
            <w:pPr>
              <w:rPr>
                <w:rFonts w:ascii="Arial" w:eastAsia="Times New Roman" w:hAnsi="Arial" w:cs="Arial"/>
                <w:sz w:val="22"/>
                <w:szCs w:val="22"/>
                <w:lang w:val="en-GB" w:eastAsia="en-GB"/>
              </w:rPr>
            </w:pPr>
          </w:p>
        </w:tc>
      </w:tr>
      <w:tr w:rsidR="00790DD4" w:rsidRPr="000D67C6" w14:paraId="5C28755F" w14:textId="77777777" w:rsidTr="00B850D2">
        <w:trPr>
          <w:trHeight w:val="312"/>
          <w:jc w:val="center"/>
        </w:trPr>
        <w:tc>
          <w:tcPr>
            <w:tcW w:w="1012" w:type="dxa"/>
            <w:tcBorders>
              <w:top w:val="single" w:sz="4" w:space="0" w:color="auto"/>
              <w:left w:val="nil"/>
              <w:bottom w:val="nil"/>
              <w:right w:val="nil"/>
            </w:tcBorders>
            <w:shd w:val="clear" w:color="auto" w:fill="auto"/>
            <w:noWrap/>
            <w:vAlign w:val="bottom"/>
            <w:hideMark/>
          </w:tcPr>
          <w:p w14:paraId="7A2BD99B" w14:textId="77777777" w:rsidR="00790DD4" w:rsidRPr="000D67C6" w:rsidRDefault="00790DD4" w:rsidP="00790DD4">
            <w:pPr>
              <w:rPr>
                <w:rFonts w:ascii="Arial" w:eastAsia="Times New Roman" w:hAnsi="Arial" w:cs="Arial"/>
                <w:b/>
                <w:bCs/>
                <w:sz w:val="22"/>
                <w:szCs w:val="22"/>
                <w:lang w:val="en-GB" w:eastAsia="en-GB"/>
              </w:rPr>
            </w:pPr>
          </w:p>
        </w:tc>
        <w:tc>
          <w:tcPr>
            <w:tcW w:w="4555" w:type="dxa"/>
            <w:tcBorders>
              <w:top w:val="single" w:sz="4" w:space="0" w:color="auto"/>
              <w:left w:val="nil"/>
              <w:bottom w:val="nil"/>
              <w:right w:val="nil"/>
            </w:tcBorders>
            <w:shd w:val="clear" w:color="auto" w:fill="auto"/>
            <w:noWrap/>
            <w:vAlign w:val="bottom"/>
            <w:hideMark/>
          </w:tcPr>
          <w:p w14:paraId="7F47F881" w14:textId="77777777" w:rsidR="00790DD4" w:rsidRPr="000D67C6" w:rsidRDefault="00790DD4" w:rsidP="00790DD4">
            <w:pPr>
              <w:ind w:firstLine="180"/>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Net Book Value</w:t>
            </w:r>
          </w:p>
        </w:tc>
        <w:tc>
          <w:tcPr>
            <w:tcW w:w="1521" w:type="dxa"/>
            <w:tcBorders>
              <w:top w:val="single" w:sz="4" w:space="0" w:color="auto"/>
              <w:left w:val="nil"/>
              <w:bottom w:val="nil"/>
              <w:right w:val="nil"/>
            </w:tcBorders>
            <w:shd w:val="clear" w:color="auto" w:fill="auto"/>
            <w:noWrap/>
            <w:vAlign w:val="bottom"/>
          </w:tcPr>
          <w:p w14:paraId="07156DF8" w14:textId="77777777" w:rsidR="00790DD4" w:rsidRPr="000D67C6" w:rsidRDefault="00790DD4" w:rsidP="00790DD4">
            <w:pPr>
              <w:rPr>
                <w:rFonts w:ascii="Arial" w:eastAsia="Times New Roman" w:hAnsi="Arial" w:cs="Arial"/>
                <w:b/>
                <w:bCs/>
                <w:sz w:val="22"/>
                <w:szCs w:val="22"/>
                <w:lang w:val="en-GB" w:eastAsia="en-GB"/>
              </w:rPr>
            </w:pPr>
          </w:p>
        </w:tc>
      </w:tr>
      <w:tr w:rsidR="00790DD4" w:rsidRPr="000D67C6" w14:paraId="064463FE" w14:textId="77777777" w:rsidTr="00B850D2">
        <w:trPr>
          <w:trHeight w:val="312"/>
          <w:jc w:val="center"/>
        </w:trPr>
        <w:tc>
          <w:tcPr>
            <w:tcW w:w="1012" w:type="dxa"/>
            <w:tcBorders>
              <w:top w:val="nil"/>
              <w:left w:val="nil"/>
              <w:right w:val="nil"/>
            </w:tcBorders>
            <w:shd w:val="clear" w:color="auto" w:fill="auto"/>
            <w:noWrap/>
            <w:vAlign w:val="bottom"/>
            <w:hideMark/>
          </w:tcPr>
          <w:p w14:paraId="172B92C8"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432</w:t>
            </w:r>
          </w:p>
        </w:tc>
        <w:tc>
          <w:tcPr>
            <w:tcW w:w="4555" w:type="dxa"/>
            <w:tcBorders>
              <w:top w:val="nil"/>
              <w:left w:val="nil"/>
              <w:right w:val="nil"/>
            </w:tcBorders>
            <w:shd w:val="clear" w:color="auto" w:fill="auto"/>
            <w:noWrap/>
            <w:vAlign w:val="bottom"/>
            <w:hideMark/>
          </w:tcPr>
          <w:p w14:paraId="7DAAD141"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Opening Balance at 1 April</w:t>
            </w:r>
          </w:p>
        </w:tc>
        <w:tc>
          <w:tcPr>
            <w:tcW w:w="1521" w:type="dxa"/>
            <w:tcBorders>
              <w:top w:val="nil"/>
              <w:left w:val="nil"/>
              <w:right w:val="nil"/>
            </w:tcBorders>
            <w:shd w:val="clear" w:color="auto" w:fill="auto"/>
            <w:noWrap/>
            <w:vAlign w:val="bottom"/>
          </w:tcPr>
          <w:p w14:paraId="1D2A9936" w14:textId="77777777" w:rsidR="00790DD4" w:rsidRPr="000D67C6" w:rsidRDefault="00325FD3"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846</w:t>
            </w:r>
          </w:p>
        </w:tc>
      </w:tr>
      <w:tr w:rsidR="00790DD4" w:rsidRPr="000D67C6" w14:paraId="687C297A" w14:textId="77777777" w:rsidTr="00B850D2">
        <w:trPr>
          <w:trHeight w:val="312"/>
          <w:jc w:val="center"/>
        </w:trPr>
        <w:tc>
          <w:tcPr>
            <w:tcW w:w="1012" w:type="dxa"/>
            <w:tcBorders>
              <w:top w:val="nil"/>
              <w:left w:val="nil"/>
              <w:bottom w:val="nil"/>
              <w:right w:val="nil"/>
            </w:tcBorders>
            <w:shd w:val="clear" w:color="auto" w:fill="auto"/>
            <w:noWrap/>
            <w:vAlign w:val="bottom"/>
            <w:hideMark/>
          </w:tcPr>
          <w:p w14:paraId="08BCC3AB" w14:textId="77777777" w:rsidR="00790DD4" w:rsidRPr="000D67C6" w:rsidRDefault="00790DD4"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846</w:t>
            </w:r>
          </w:p>
        </w:tc>
        <w:tc>
          <w:tcPr>
            <w:tcW w:w="4555" w:type="dxa"/>
            <w:tcBorders>
              <w:top w:val="nil"/>
              <w:left w:val="nil"/>
              <w:bottom w:val="nil"/>
              <w:right w:val="nil"/>
            </w:tcBorders>
            <w:shd w:val="clear" w:color="auto" w:fill="auto"/>
            <w:noWrap/>
            <w:vAlign w:val="bottom"/>
            <w:hideMark/>
          </w:tcPr>
          <w:p w14:paraId="4CAB3A08" w14:textId="77777777" w:rsidR="00790DD4" w:rsidRPr="000D67C6" w:rsidRDefault="00790DD4" w:rsidP="00790DD4">
            <w:pPr>
              <w:ind w:firstLine="180"/>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Closing Balance 31 March</w:t>
            </w:r>
          </w:p>
        </w:tc>
        <w:tc>
          <w:tcPr>
            <w:tcW w:w="1521" w:type="dxa"/>
            <w:tcBorders>
              <w:top w:val="nil"/>
              <w:left w:val="nil"/>
              <w:bottom w:val="nil"/>
              <w:right w:val="nil"/>
            </w:tcBorders>
            <w:shd w:val="clear" w:color="auto" w:fill="auto"/>
            <w:noWrap/>
            <w:vAlign w:val="bottom"/>
          </w:tcPr>
          <w:p w14:paraId="5FDE269C" w14:textId="77777777" w:rsidR="00790DD4" w:rsidRPr="000D67C6" w:rsidRDefault="00325FD3" w:rsidP="00790DD4">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875</w:t>
            </w:r>
          </w:p>
        </w:tc>
      </w:tr>
      <w:tr w:rsidR="0038381D" w:rsidRPr="000D67C6" w14:paraId="535900E0" w14:textId="77777777" w:rsidTr="00B850D2">
        <w:trPr>
          <w:trHeight w:val="312"/>
          <w:jc w:val="center"/>
        </w:trPr>
        <w:tc>
          <w:tcPr>
            <w:tcW w:w="1012" w:type="dxa"/>
            <w:tcBorders>
              <w:top w:val="nil"/>
              <w:left w:val="nil"/>
              <w:bottom w:val="single" w:sz="4" w:space="0" w:color="auto"/>
              <w:right w:val="nil"/>
            </w:tcBorders>
            <w:shd w:val="clear" w:color="auto" w:fill="auto"/>
            <w:noWrap/>
            <w:vAlign w:val="bottom"/>
          </w:tcPr>
          <w:p w14:paraId="7E50225B" w14:textId="77777777" w:rsidR="0038381D" w:rsidRPr="000D67C6" w:rsidRDefault="0038381D" w:rsidP="003B4213">
            <w:pPr>
              <w:jc w:val="right"/>
              <w:rPr>
                <w:rFonts w:ascii="Arial" w:eastAsia="Times New Roman" w:hAnsi="Arial" w:cs="Arial"/>
                <w:sz w:val="22"/>
                <w:szCs w:val="22"/>
                <w:lang w:val="en-GB" w:eastAsia="en-GB"/>
              </w:rPr>
            </w:pPr>
          </w:p>
        </w:tc>
        <w:tc>
          <w:tcPr>
            <w:tcW w:w="4555" w:type="dxa"/>
            <w:tcBorders>
              <w:top w:val="nil"/>
              <w:left w:val="nil"/>
              <w:bottom w:val="single" w:sz="4" w:space="0" w:color="auto"/>
              <w:right w:val="nil"/>
            </w:tcBorders>
            <w:shd w:val="clear" w:color="auto" w:fill="auto"/>
            <w:noWrap/>
            <w:vAlign w:val="bottom"/>
          </w:tcPr>
          <w:p w14:paraId="6342F29F" w14:textId="77777777" w:rsidR="0038381D" w:rsidRPr="000D67C6" w:rsidRDefault="0038381D" w:rsidP="0038381D">
            <w:pPr>
              <w:ind w:firstLine="180"/>
              <w:rPr>
                <w:rFonts w:ascii="Arial" w:eastAsia="Times New Roman" w:hAnsi="Arial" w:cs="Arial"/>
                <w:sz w:val="22"/>
                <w:szCs w:val="22"/>
                <w:lang w:val="en-GB" w:eastAsia="en-GB"/>
              </w:rPr>
            </w:pPr>
          </w:p>
        </w:tc>
        <w:tc>
          <w:tcPr>
            <w:tcW w:w="1521" w:type="dxa"/>
            <w:tcBorders>
              <w:top w:val="nil"/>
              <w:left w:val="nil"/>
              <w:bottom w:val="single" w:sz="4" w:space="0" w:color="auto"/>
              <w:right w:val="nil"/>
            </w:tcBorders>
            <w:shd w:val="clear" w:color="auto" w:fill="auto"/>
            <w:noWrap/>
            <w:vAlign w:val="bottom"/>
          </w:tcPr>
          <w:p w14:paraId="1A629774" w14:textId="77777777" w:rsidR="0038381D" w:rsidRPr="000D67C6" w:rsidRDefault="0038381D" w:rsidP="003B4213">
            <w:pPr>
              <w:jc w:val="right"/>
              <w:rPr>
                <w:rFonts w:ascii="Arial" w:eastAsia="Times New Roman" w:hAnsi="Arial" w:cs="Arial"/>
                <w:sz w:val="22"/>
                <w:szCs w:val="22"/>
                <w:lang w:val="en-GB" w:eastAsia="en-GB"/>
              </w:rPr>
            </w:pPr>
          </w:p>
        </w:tc>
      </w:tr>
    </w:tbl>
    <w:p w14:paraId="18837302" w14:textId="77777777" w:rsidR="003B4213" w:rsidRPr="000D67C6" w:rsidRDefault="003B4213" w:rsidP="00C45161">
      <w:pPr>
        <w:pStyle w:val="Normal0"/>
        <w:spacing w:after="160" w:line="259" w:lineRule="auto"/>
        <w:jc w:val="both"/>
        <w:rPr>
          <w:rFonts w:ascii="Arial" w:eastAsia="Calibri" w:hAnsi="Arial" w:cs="Arial"/>
          <w:sz w:val="22"/>
          <w:szCs w:val="22"/>
          <w:lang w:val="en-GB"/>
        </w:rPr>
      </w:pPr>
    </w:p>
    <w:p w14:paraId="05DFE135" w14:textId="77777777" w:rsidR="001D113F" w:rsidRPr="000D67C6" w:rsidRDefault="001D113F">
      <w:pPr>
        <w:rPr>
          <w:rFonts w:ascii="Arial" w:eastAsiaTheme="majorEastAsia" w:hAnsi="Arial" w:cs="Arial"/>
          <w:b/>
          <w:sz w:val="28"/>
          <w:szCs w:val="32"/>
          <w:lang w:val="pt-BR"/>
        </w:rPr>
      </w:pPr>
      <w:r w:rsidRPr="000D67C6">
        <w:rPr>
          <w:rFonts w:ascii="Arial" w:hAnsi="Arial" w:cs="Arial"/>
          <w:sz w:val="28"/>
          <w:lang w:val="pt-BR"/>
        </w:rPr>
        <w:br w:type="page"/>
      </w:r>
    </w:p>
    <w:p w14:paraId="78CF5AAF" w14:textId="23F3E968" w:rsidR="008F013B" w:rsidRPr="000D67C6" w:rsidRDefault="0038381D" w:rsidP="008F013B">
      <w:pPr>
        <w:pStyle w:val="Heading1"/>
        <w:spacing w:line="259" w:lineRule="auto"/>
        <w:rPr>
          <w:rFonts w:ascii="Arial" w:hAnsi="Arial" w:cs="Arial"/>
          <w:sz w:val="28"/>
          <w:lang w:val="pt-BR"/>
        </w:rPr>
      </w:pPr>
      <w:r w:rsidRPr="000D67C6">
        <w:rPr>
          <w:rFonts w:ascii="Arial" w:hAnsi="Arial" w:cs="Arial"/>
          <w:sz w:val="28"/>
          <w:lang w:val="pt-BR"/>
        </w:rPr>
        <w:t>Note 14</w:t>
      </w:r>
      <w:r w:rsidR="008F013B" w:rsidRPr="000D67C6">
        <w:rPr>
          <w:rFonts w:ascii="Arial" w:hAnsi="Arial" w:cs="Arial"/>
          <w:sz w:val="28"/>
          <w:lang w:val="pt-BR"/>
        </w:rPr>
        <w:t xml:space="preserve"> - Financial Instruments</w:t>
      </w:r>
      <w:r w:rsidR="00E32666" w:rsidRPr="000D67C6">
        <w:rPr>
          <w:rFonts w:ascii="Arial" w:hAnsi="Arial" w:cs="Arial"/>
          <w:sz w:val="28"/>
          <w:lang w:val="pt-BR"/>
        </w:rPr>
        <w:t xml:space="preserve"> </w:t>
      </w:r>
    </w:p>
    <w:p w14:paraId="45D6E0C3" w14:textId="77777777" w:rsidR="00EB486D" w:rsidRPr="00EE7AF3" w:rsidRDefault="00EB486D" w:rsidP="00EB486D">
      <w:pPr>
        <w:rPr>
          <w:rFonts w:ascii="Arial" w:hAnsi="Arial" w:cs="Arial"/>
          <w:sz w:val="22"/>
          <w:lang w:val="pt-BR"/>
        </w:rPr>
      </w:pPr>
    </w:p>
    <w:p w14:paraId="5F7975F9" w14:textId="77777777" w:rsidR="00EB486D" w:rsidRPr="000D67C6" w:rsidRDefault="00EB486D" w:rsidP="00EB486D">
      <w:pPr>
        <w:rPr>
          <w:rFonts w:ascii="Arial" w:hAnsi="Arial" w:cs="Arial"/>
          <w:sz w:val="22"/>
          <w:szCs w:val="22"/>
          <w:lang w:val="pt-BR"/>
        </w:rPr>
      </w:pPr>
      <w:r w:rsidRPr="000D67C6">
        <w:rPr>
          <w:rFonts w:ascii="Arial" w:hAnsi="Arial" w:cs="Arial"/>
          <w:sz w:val="22"/>
          <w:szCs w:val="22"/>
          <w:lang w:val="pt-BR"/>
        </w:rPr>
        <w:t>The following categories of Financial Instruments are carried in the Balance Sheet:</w:t>
      </w:r>
    </w:p>
    <w:tbl>
      <w:tblPr>
        <w:tblW w:w="9356" w:type="dxa"/>
        <w:tblLayout w:type="fixed"/>
        <w:tblLook w:val="04A0" w:firstRow="1" w:lastRow="0" w:firstColumn="1" w:lastColumn="0" w:noHBand="0" w:noVBand="1"/>
      </w:tblPr>
      <w:tblGrid>
        <w:gridCol w:w="3969"/>
        <w:gridCol w:w="1134"/>
        <w:gridCol w:w="1418"/>
        <w:gridCol w:w="1417"/>
        <w:gridCol w:w="1418"/>
      </w:tblGrid>
      <w:tr w:rsidR="00464E99" w:rsidRPr="000D67C6" w14:paraId="0FD3A20A" w14:textId="77777777" w:rsidTr="00FE16D9">
        <w:trPr>
          <w:trHeight w:hRule="exact" w:val="255"/>
        </w:trPr>
        <w:tc>
          <w:tcPr>
            <w:tcW w:w="3969" w:type="dxa"/>
            <w:shd w:val="clear" w:color="auto" w:fill="auto"/>
            <w:tcMar>
              <w:top w:w="20" w:type="dxa"/>
              <w:left w:w="20" w:type="dxa"/>
              <w:bottom w:w="20" w:type="dxa"/>
              <w:right w:w="20" w:type="dxa"/>
            </w:tcMar>
          </w:tcPr>
          <w:p w14:paraId="51AFC931" w14:textId="77777777" w:rsidR="008F013B" w:rsidRPr="000D67C6" w:rsidRDefault="008F013B" w:rsidP="0038381D">
            <w:pPr>
              <w:pStyle w:val="T1TableStyle"/>
              <w:jc w:val="right"/>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134" w:type="dxa"/>
            <w:shd w:val="clear" w:color="auto" w:fill="auto"/>
            <w:tcMar>
              <w:top w:w="20" w:type="dxa"/>
              <w:left w:w="20" w:type="dxa"/>
              <w:bottom w:w="20" w:type="dxa"/>
              <w:right w:w="20" w:type="dxa"/>
            </w:tcMar>
          </w:tcPr>
          <w:p w14:paraId="5FC640AE"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8" w:type="dxa"/>
            <w:shd w:val="clear" w:color="auto" w:fill="auto"/>
            <w:tcMar>
              <w:top w:w="20" w:type="dxa"/>
              <w:left w:w="20" w:type="dxa"/>
              <w:bottom w:w="20" w:type="dxa"/>
              <w:right w:w="20" w:type="dxa"/>
            </w:tcMar>
          </w:tcPr>
          <w:p w14:paraId="53AC31EB"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7" w:type="dxa"/>
            <w:shd w:val="clear" w:color="auto" w:fill="auto"/>
            <w:tcMar>
              <w:top w:w="20" w:type="dxa"/>
              <w:left w:w="20" w:type="dxa"/>
              <w:bottom w:w="20" w:type="dxa"/>
              <w:right w:w="20" w:type="dxa"/>
            </w:tcMar>
          </w:tcPr>
          <w:p w14:paraId="1003F4FE"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8" w:type="dxa"/>
            <w:shd w:val="clear" w:color="auto" w:fill="auto"/>
            <w:tcMar>
              <w:top w:w="20" w:type="dxa"/>
              <w:left w:w="20" w:type="dxa"/>
              <w:bottom w:w="20" w:type="dxa"/>
              <w:right w:w="20" w:type="dxa"/>
            </w:tcMar>
          </w:tcPr>
          <w:p w14:paraId="02DA67FA"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r>
      <w:tr w:rsidR="00464E99" w:rsidRPr="000D67C6" w14:paraId="580CA3BF" w14:textId="77777777" w:rsidTr="00FE16D9">
        <w:trPr>
          <w:trHeight w:val="255"/>
        </w:trPr>
        <w:tc>
          <w:tcPr>
            <w:tcW w:w="3969" w:type="dxa"/>
            <w:shd w:val="clear" w:color="auto" w:fill="auto"/>
            <w:tcMar>
              <w:top w:w="20" w:type="dxa"/>
              <w:left w:w="20" w:type="dxa"/>
              <w:bottom w:w="20" w:type="dxa"/>
              <w:right w:w="20" w:type="dxa"/>
            </w:tcMar>
          </w:tcPr>
          <w:p w14:paraId="44FC004C" w14:textId="02FF008F" w:rsidR="008F013B" w:rsidRPr="000D67C6" w:rsidRDefault="008F013B" w:rsidP="0038381D">
            <w:pPr>
              <w:pStyle w:val="T1TableStyle"/>
              <w:jc w:val="right"/>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tcPr>
          <w:p w14:paraId="12A449F7" w14:textId="77777777" w:rsidR="00D51CF9" w:rsidRPr="000D67C6" w:rsidRDefault="00D51CF9" w:rsidP="0038381D">
            <w:pPr>
              <w:pStyle w:val="T1TableStyle"/>
              <w:jc w:val="right"/>
              <w:rPr>
                <w:rFonts w:ascii="Arial" w:eastAsia="Verdana" w:hAnsi="Arial" w:cs="Arial"/>
                <w:b/>
                <w:sz w:val="22"/>
                <w:szCs w:val="22"/>
                <w:lang w:val="en-GB"/>
              </w:rPr>
            </w:pPr>
          </w:p>
          <w:p w14:paraId="43B640DA"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Long-term</w:t>
            </w:r>
          </w:p>
        </w:tc>
        <w:tc>
          <w:tcPr>
            <w:tcW w:w="1418" w:type="dxa"/>
            <w:shd w:val="clear" w:color="auto" w:fill="auto"/>
            <w:tcMar>
              <w:top w:w="20" w:type="dxa"/>
              <w:left w:w="20" w:type="dxa"/>
              <w:bottom w:w="20" w:type="dxa"/>
              <w:right w:w="20" w:type="dxa"/>
            </w:tcMar>
          </w:tcPr>
          <w:p w14:paraId="41E2C6E8" w14:textId="77777777" w:rsidR="00D51CF9" w:rsidRPr="000D67C6" w:rsidRDefault="00D51CF9" w:rsidP="0038381D">
            <w:pPr>
              <w:pStyle w:val="T1TableStyle"/>
              <w:jc w:val="right"/>
              <w:rPr>
                <w:rFonts w:ascii="Arial" w:eastAsia="Verdana" w:hAnsi="Arial" w:cs="Arial"/>
                <w:b/>
                <w:sz w:val="22"/>
                <w:szCs w:val="22"/>
                <w:lang w:val="en-GB"/>
              </w:rPr>
            </w:pPr>
          </w:p>
          <w:p w14:paraId="33F598B6"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Long-term</w:t>
            </w:r>
          </w:p>
        </w:tc>
        <w:tc>
          <w:tcPr>
            <w:tcW w:w="1417" w:type="dxa"/>
            <w:shd w:val="clear" w:color="auto" w:fill="auto"/>
            <w:tcMar>
              <w:top w:w="20" w:type="dxa"/>
              <w:left w:w="20" w:type="dxa"/>
              <w:bottom w:w="20" w:type="dxa"/>
              <w:right w:w="20" w:type="dxa"/>
            </w:tcMar>
          </w:tcPr>
          <w:p w14:paraId="6FF03D34" w14:textId="77777777" w:rsidR="00D51CF9" w:rsidRPr="000D67C6" w:rsidRDefault="00D51CF9" w:rsidP="0038381D">
            <w:pPr>
              <w:pStyle w:val="T1TableStyle"/>
              <w:jc w:val="right"/>
              <w:rPr>
                <w:rFonts w:ascii="Arial" w:eastAsia="Verdana" w:hAnsi="Arial" w:cs="Arial"/>
                <w:b/>
                <w:sz w:val="22"/>
                <w:szCs w:val="22"/>
                <w:lang w:val="en-GB"/>
              </w:rPr>
            </w:pPr>
          </w:p>
          <w:p w14:paraId="6E68F1D8" w14:textId="6D1FD759"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Current</w:t>
            </w:r>
          </w:p>
        </w:tc>
        <w:tc>
          <w:tcPr>
            <w:tcW w:w="1418" w:type="dxa"/>
            <w:shd w:val="clear" w:color="auto" w:fill="auto"/>
            <w:tcMar>
              <w:top w:w="20" w:type="dxa"/>
              <w:left w:w="20" w:type="dxa"/>
              <w:bottom w:w="20" w:type="dxa"/>
              <w:right w:w="20" w:type="dxa"/>
            </w:tcMar>
          </w:tcPr>
          <w:p w14:paraId="4B12D258" w14:textId="77777777" w:rsidR="00D51CF9" w:rsidRPr="000D67C6" w:rsidRDefault="00D51CF9" w:rsidP="0038381D">
            <w:pPr>
              <w:pStyle w:val="T1TableStyle"/>
              <w:jc w:val="right"/>
              <w:rPr>
                <w:rFonts w:ascii="Arial" w:eastAsia="Verdana" w:hAnsi="Arial" w:cs="Arial"/>
                <w:b/>
                <w:sz w:val="22"/>
                <w:szCs w:val="22"/>
                <w:lang w:val="en-GB"/>
              </w:rPr>
            </w:pPr>
          </w:p>
          <w:p w14:paraId="2C1C62F2" w14:textId="77777777" w:rsidR="008F013B" w:rsidRPr="000D67C6" w:rsidRDefault="008F013B"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Current</w:t>
            </w:r>
          </w:p>
        </w:tc>
      </w:tr>
      <w:tr w:rsidR="00464E99" w:rsidRPr="000D67C6" w14:paraId="05970143" w14:textId="77777777" w:rsidTr="00FE16D9">
        <w:trPr>
          <w:trHeight w:val="255"/>
        </w:trPr>
        <w:tc>
          <w:tcPr>
            <w:tcW w:w="3969" w:type="dxa"/>
            <w:shd w:val="clear" w:color="auto" w:fill="auto"/>
            <w:tcMar>
              <w:top w:w="20" w:type="dxa"/>
              <w:left w:w="20" w:type="dxa"/>
              <w:bottom w:w="20" w:type="dxa"/>
              <w:right w:w="20" w:type="dxa"/>
            </w:tcMar>
          </w:tcPr>
          <w:p w14:paraId="77F2BB50" w14:textId="77777777" w:rsidR="008F013B" w:rsidRPr="000D67C6" w:rsidRDefault="008F013B" w:rsidP="0038381D">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shd w:val="clear" w:color="auto" w:fill="auto"/>
            <w:tcMar>
              <w:top w:w="20" w:type="dxa"/>
              <w:left w:w="20" w:type="dxa"/>
              <w:bottom w:w="20" w:type="dxa"/>
              <w:right w:w="20" w:type="dxa"/>
            </w:tcMar>
          </w:tcPr>
          <w:p w14:paraId="3608DF9A" w14:textId="77777777" w:rsidR="008F013B" w:rsidRPr="000D67C6" w:rsidRDefault="00BF399C"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r w:rsidR="003A59BE"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1418" w:type="dxa"/>
            <w:shd w:val="clear" w:color="auto" w:fill="auto"/>
            <w:tcMar>
              <w:top w:w="20" w:type="dxa"/>
              <w:left w:w="20" w:type="dxa"/>
              <w:bottom w:w="20" w:type="dxa"/>
              <w:right w:w="20" w:type="dxa"/>
            </w:tcMar>
          </w:tcPr>
          <w:p w14:paraId="0D76F462" w14:textId="77777777" w:rsidR="008F013B" w:rsidRPr="000D67C6" w:rsidRDefault="003A59BE"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9</w:t>
            </w:r>
          </w:p>
        </w:tc>
        <w:tc>
          <w:tcPr>
            <w:tcW w:w="1417" w:type="dxa"/>
            <w:shd w:val="clear" w:color="auto" w:fill="auto"/>
            <w:tcMar>
              <w:top w:w="20" w:type="dxa"/>
              <w:left w:w="20" w:type="dxa"/>
              <w:bottom w:w="20" w:type="dxa"/>
              <w:right w:w="20" w:type="dxa"/>
            </w:tcMar>
          </w:tcPr>
          <w:p w14:paraId="278A1A7C" w14:textId="77777777" w:rsidR="008F013B" w:rsidRPr="000D67C6" w:rsidRDefault="003A59BE"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1418" w:type="dxa"/>
            <w:shd w:val="clear" w:color="auto" w:fill="auto"/>
            <w:tcMar>
              <w:top w:w="20" w:type="dxa"/>
              <w:left w:w="20" w:type="dxa"/>
              <w:bottom w:w="20" w:type="dxa"/>
              <w:right w:w="20" w:type="dxa"/>
            </w:tcMar>
          </w:tcPr>
          <w:p w14:paraId="7826DA70" w14:textId="77777777" w:rsidR="008F013B" w:rsidRPr="000D67C6" w:rsidRDefault="003A59BE" w:rsidP="0038381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9</w:t>
            </w:r>
          </w:p>
        </w:tc>
      </w:tr>
      <w:tr w:rsidR="00464E99" w:rsidRPr="000D67C6" w14:paraId="380BDF67" w14:textId="77777777" w:rsidTr="00FE16D9">
        <w:trPr>
          <w:trHeight w:val="255"/>
        </w:trPr>
        <w:tc>
          <w:tcPr>
            <w:tcW w:w="3969" w:type="dxa"/>
            <w:shd w:val="clear" w:color="auto" w:fill="auto"/>
            <w:tcMar>
              <w:top w:w="20" w:type="dxa"/>
              <w:left w:w="20" w:type="dxa"/>
              <w:bottom w:w="20" w:type="dxa"/>
              <w:right w:w="20" w:type="dxa"/>
            </w:tcMar>
            <w:vAlign w:val="center"/>
          </w:tcPr>
          <w:p w14:paraId="6CE43993" w14:textId="5481F0D7" w:rsidR="00E32666" w:rsidRPr="000D67C6" w:rsidRDefault="00E32666" w:rsidP="00E32666">
            <w:pPr>
              <w:pStyle w:val="T1TableStyle"/>
              <w:rPr>
                <w:rFonts w:ascii="Arial" w:eastAsia="Verdana" w:hAnsi="Arial" w:cs="Arial"/>
                <w:b/>
                <w:sz w:val="22"/>
                <w:szCs w:val="22"/>
                <w:lang w:val="en-GB"/>
              </w:rPr>
            </w:pPr>
            <w:r w:rsidRPr="000D67C6">
              <w:rPr>
                <w:rFonts w:ascii="Arial" w:eastAsia="Verdana" w:hAnsi="Arial" w:cs="Arial"/>
                <w:b/>
                <w:sz w:val="22"/>
                <w:szCs w:val="22"/>
                <w:lang w:val="en-GB"/>
              </w:rPr>
              <w:t>Restated *</w:t>
            </w:r>
          </w:p>
          <w:p w14:paraId="0D182383" w14:textId="6121E893" w:rsidR="008F013B" w:rsidRPr="000D67C6" w:rsidRDefault="008F013B" w:rsidP="00E32666">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shd w:val="clear" w:color="auto" w:fill="auto"/>
            <w:tcMar>
              <w:top w:w="20" w:type="dxa"/>
              <w:left w:w="20" w:type="dxa"/>
              <w:bottom w:w="20" w:type="dxa"/>
              <w:right w:w="20" w:type="dxa"/>
            </w:tcMar>
            <w:vAlign w:val="center"/>
          </w:tcPr>
          <w:p w14:paraId="72170698"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shd w:val="clear" w:color="auto" w:fill="auto"/>
            <w:tcMar>
              <w:top w:w="20" w:type="dxa"/>
              <w:left w:w="20" w:type="dxa"/>
              <w:bottom w:w="20" w:type="dxa"/>
              <w:right w:w="20" w:type="dxa"/>
            </w:tcMar>
            <w:vAlign w:val="center"/>
          </w:tcPr>
          <w:p w14:paraId="7864E349"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7" w:type="dxa"/>
            <w:shd w:val="clear" w:color="auto" w:fill="auto"/>
            <w:tcMar>
              <w:top w:w="20" w:type="dxa"/>
              <w:left w:w="20" w:type="dxa"/>
              <w:bottom w:w="20" w:type="dxa"/>
              <w:right w:w="20" w:type="dxa"/>
            </w:tcMar>
            <w:vAlign w:val="center"/>
          </w:tcPr>
          <w:p w14:paraId="51706147"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shd w:val="clear" w:color="auto" w:fill="auto"/>
            <w:tcMar>
              <w:top w:w="20" w:type="dxa"/>
              <w:left w:w="20" w:type="dxa"/>
              <w:bottom w:w="20" w:type="dxa"/>
              <w:right w:w="20" w:type="dxa"/>
            </w:tcMar>
            <w:vAlign w:val="center"/>
          </w:tcPr>
          <w:p w14:paraId="5F50C113"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C1615C" w:rsidRPr="000D67C6" w14:paraId="0F6B9216" w14:textId="77777777" w:rsidTr="00C70C4C">
        <w:trPr>
          <w:trHeight w:val="255"/>
        </w:trPr>
        <w:tc>
          <w:tcPr>
            <w:tcW w:w="3969" w:type="dxa"/>
            <w:shd w:val="clear" w:color="auto" w:fill="auto"/>
            <w:tcMar>
              <w:top w:w="20" w:type="dxa"/>
              <w:left w:w="20" w:type="dxa"/>
              <w:bottom w:w="20" w:type="dxa"/>
              <w:right w:w="20" w:type="dxa"/>
            </w:tcMar>
            <w:vAlign w:val="center"/>
          </w:tcPr>
          <w:p w14:paraId="3A8642AB" w14:textId="53F8C4F5" w:rsidR="00C1615C" w:rsidRPr="000D67C6" w:rsidRDefault="00920F41" w:rsidP="000B3351">
            <w:pPr>
              <w:pStyle w:val="T1TableStyle"/>
              <w:rPr>
                <w:rFonts w:ascii="Arial" w:eastAsia="Verdana" w:hAnsi="Arial" w:cs="Arial"/>
                <w:b/>
                <w:sz w:val="22"/>
                <w:szCs w:val="22"/>
                <w:lang w:val="en-GB"/>
              </w:rPr>
            </w:pPr>
            <w:r w:rsidRPr="000D67C6">
              <w:rPr>
                <w:rFonts w:ascii="Arial" w:eastAsia="Verdana" w:hAnsi="Arial" w:cs="Arial"/>
                <w:b/>
                <w:sz w:val="22"/>
                <w:szCs w:val="22"/>
                <w:lang w:val="en-GB"/>
              </w:rPr>
              <w:t>Financial Assets at Amortised Cost:</w:t>
            </w:r>
          </w:p>
        </w:tc>
        <w:tc>
          <w:tcPr>
            <w:tcW w:w="1134" w:type="dxa"/>
            <w:shd w:val="clear" w:color="auto" w:fill="auto"/>
            <w:tcMar>
              <w:top w:w="20" w:type="dxa"/>
              <w:left w:w="20" w:type="dxa"/>
              <w:bottom w:w="20" w:type="dxa"/>
              <w:right w:w="20" w:type="dxa"/>
            </w:tcMar>
            <w:vAlign w:val="center"/>
          </w:tcPr>
          <w:p w14:paraId="4BB86234" w14:textId="77777777" w:rsidR="00C1615C" w:rsidRPr="000D67C6" w:rsidRDefault="00C1615C">
            <w:pPr>
              <w:pStyle w:val="T1TableStyle"/>
              <w:jc w:val="right"/>
              <w:rPr>
                <w:rFonts w:ascii="Arial" w:eastAsia="Verdana" w:hAnsi="Arial" w:cs="Arial"/>
                <w:b/>
                <w:sz w:val="22"/>
                <w:szCs w:val="22"/>
                <w:lang w:val="en-GB"/>
              </w:rPr>
            </w:pPr>
          </w:p>
        </w:tc>
        <w:tc>
          <w:tcPr>
            <w:tcW w:w="1418" w:type="dxa"/>
            <w:shd w:val="clear" w:color="auto" w:fill="auto"/>
            <w:tcMar>
              <w:top w:w="20" w:type="dxa"/>
              <w:left w:w="20" w:type="dxa"/>
              <w:bottom w:w="20" w:type="dxa"/>
              <w:right w:w="20" w:type="dxa"/>
            </w:tcMar>
            <w:vAlign w:val="center"/>
          </w:tcPr>
          <w:p w14:paraId="7B9C34B0" w14:textId="77777777" w:rsidR="00C1615C" w:rsidRPr="000D67C6" w:rsidRDefault="00C1615C">
            <w:pPr>
              <w:pStyle w:val="T1TableStyle"/>
              <w:jc w:val="right"/>
              <w:rPr>
                <w:rFonts w:ascii="Arial" w:eastAsia="Verdana" w:hAnsi="Arial" w:cs="Arial"/>
                <w:b/>
                <w:sz w:val="22"/>
                <w:szCs w:val="22"/>
                <w:lang w:val="en-GB"/>
              </w:rPr>
            </w:pPr>
          </w:p>
        </w:tc>
        <w:tc>
          <w:tcPr>
            <w:tcW w:w="1417" w:type="dxa"/>
            <w:shd w:val="clear" w:color="auto" w:fill="auto"/>
            <w:tcMar>
              <w:top w:w="20" w:type="dxa"/>
              <w:left w:w="20" w:type="dxa"/>
              <w:bottom w:w="20" w:type="dxa"/>
              <w:right w:w="20" w:type="dxa"/>
            </w:tcMar>
            <w:vAlign w:val="center"/>
          </w:tcPr>
          <w:p w14:paraId="329E2EF0" w14:textId="77777777" w:rsidR="00C1615C" w:rsidRPr="000D67C6" w:rsidRDefault="00C1615C">
            <w:pPr>
              <w:pStyle w:val="T1TableStyle"/>
              <w:jc w:val="right"/>
              <w:rPr>
                <w:rFonts w:ascii="Arial" w:eastAsia="Verdana" w:hAnsi="Arial" w:cs="Arial"/>
                <w:b/>
                <w:sz w:val="22"/>
                <w:szCs w:val="22"/>
                <w:lang w:val="en-GB"/>
              </w:rPr>
            </w:pPr>
          </w:p>
        </w:tc>
        <w:tc>
          <w:tcPr>
            <w:tcW w:w="1418" w:type="dxa"/>
            <w:shd w:val="clear" w:color="auto" w:fill="auto"/>
            <w:tcMar>
              <w:top w:w="20" w:type="dxa"/>
              <w:left w:w="20" w:type="dxa"/>
              <w:bottom w:w="20" w:type="dxa"/>
              <w:right w:w="20" w:type="dxa"/>
            </w:tcMar>
            <w:vAlign w:val="center"/>
          </w:tcPr>
          <w:p w14:paraId="797B6F59" w14:textId="77777777" w:rsidR="00C1615C" w:rsidRPr="000D67C6" w:rsidRDefault="00C1615C">
            <w:pPr>
              <w:pStyle w:val="T1TableStyle"/>
              <w:jc w:val="right"/>
              <w:rPr>
                <w:rFonts w:ascii="Arial" w:eastAsia="Verdana" w:hAnsi="Arial" w:cs="Arial"/>
                <w:b/>
                <w:sz w:val="22"/>
                <w:szCs w:val="22"/>
                <w:lang w:val="en-GB"/>
              </w:rPr>
            </w:pPr>
          </w:p>
        </w:tc>
      </w:tr>
      <w:tr w:rsidR="00790DD4" w:rsidRPr="000D67C6" w14:paraId="7BB07C17" w14:textId="77777777" w:rsidTr="00C70C4C">
        <w:trPr>
          <w:trHeight w:val="403"/>
        </w:trPr>
        <w:tc>
          <w:tcPr>
            <w:tcW w:w="3969" w:type="dxa"/>
            <w:shd w:val="clear" w:color="auto" w:fill="auto"/>
            <w:tcMar>
              <w:top w:w="20" w:type="dxa"/>
              <w:left w:w="20" w:type="dxa"/>
              <w:bottom w:w="20" w:type="dxa"/>
              <w:right w:w="20" w:type="dxa"/>
            </w:tcMar>
            <w:vAlign w:val="center"/>
          </w:tcPr>
          <w:p w14:paraId="2CD00712" w14:textId="26C4554C" w:rsidR="00790DD4" w:rsidRPr="000D67C6" w:rsidRDefault="00414BEA"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Cash &amp; Cash Equivalents</w:t>
            </w:r>
            <w:r w:rsidR="00EF0A95" w:rsidRPr="000D67C6">
              <w:rPr>
                <w:rFonts w:ascii="Arial" w:eastAsia="Verdana" w:hAnsi="Arial" w:cs="Arial"/>
                <w:sz w:val="22"/>
                <w:szCs w:val="22"/>
                <w:lang w:val="en-GB"/>
              </w:rPr>
              <w:t xml:space="preserve"> *</w:t>
            </w:r>
          </w:p>
        </w:tc>
        <w:tc>
          <w:tcPr>
            <w:tcW w:w="1134" w:type="dxa"/>
            <w:tcBorders>
              <w:bottom w:val="single" w:sz="12" w:space="0" w:color="auto"/>
            </w:tcBorders>
            <w:shd w:val="clear" w:color="auto" w:fill="auto"/>
            <w:tcMar>
              <w:top w:w="20" w:type="dxa"/>
              <w:left w:w="20" w:type="dxa"/>
              <w:bottom w:w="20" w:type="dxa"/>
              <w:right w:w="20" w:type="dxa"/>
            </w:tcMar>
            <w:vAlign w:val="center"/>
          </w:tcPr>
          <w:p w14:paraId="43AC1667"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8" w:type="dxa"/>
            <w:tcBorders>
              <w:bottom w:val="single" w:sz="12" w:space="0" w:color="auto"/>
            </w:tcBorders>
            <w:shd w:val="clear" w:color="auto" w:fill="auto"/>
            <w:tcMar>
              <w:top w:w="20" w:type="dxa"/>
              <w:left w:w="20" w:type="dxa"/>
              <w:bottom w:w="20" w:type="dxa"/>
              <w:right w:w="20" w:type="dxa"/>
            </w:tcMar>
            <w:vAlign w:val="center"/>
          </w:tcPr>
          <w:p w14:paraId="3BE45798" w14:textId="77777777" w:rsidR="00790DD4" w:rsidRPr="000D67C6" w:rsidRDefault="00883A8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tcBorders>
              <w:bottom w:val="single" w:sz="12" w:space="0" w:color="auto"/>
            </w:tcBorders>
            <w:shd w:val="clear" w:color="auto" w:fill="auto"/>
            <w:tcMar>
              <w:top w:w="20" w:type="dxa"/>
              <w:left w:w="20" w:type="dxa"/>
              <w:bottom w:w="20" w:type="dxa"/>
              <w:right w:w="20" w:type="dxa"/>
            </w:tcMar>
            <w:vAlign w:val="center"/>
          </w:tcPr>
          <w:p w14:paraId="42012475" w14:textId="3D65707F" w:rsidR="00790DD4" w:rsidRPr="000D67C6" w:rsidRDefault="00EB455D"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3,051</w:t>
            </w:r>
          </w:p>
        </w:tc>
        <w:tc>
          <w:tcPr>
            <w:tcW w:w="1418" w:type="dxa"/>
            <w:tcBorders>
              <w:bottom w:val="single" w:sz="12" w:space="0" w:color="auto"/>
            </w:tcBorders>
            <w:shd w:val="clear" w:color="auto" w:fill="auto"/>
            <w:tcMar>
              <w:top w:w="20" w:type="dxa"/>
              <w:left w:w="20" w:type="dxa"/>
              <w:bottom w:w="20" w:type="dxa"/>
              <w:right w:w="20" w:type="dxa"/>
            </w:tcMar>
            <w:vAlign w:val="center"/>
          </w:tcPr>
          <w:p w14:paraId="40E065DC" w14:textId="77997CFE" w:rsidR="00790DD4" w:rsidRPr="000D67C6" w:rsidRDefault="00EB455D"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4,575</w:t>
            </w:r>
          </w:p>
        </w:tc>
      </w:tr>
      <w:tr w:rsidR="00790DD4" w:rsidRPr="000D67C6" w14:paraId="3A0A26C8" w14:textId="77777777" w:rsidTr="00C70C4C">
        <w:trPr>
          <w:trHeight w:hRule="exact" w:val="169"/>
        </w:trPr>
        <w:tc>
          <w:tcPr>
            <w:tcW w:w="3969" w:type="dxa"/>
            <w:shd w:val="clear" w:color="auto" w:fill="auto"/>
            <w:tcMar>
              <w:top w:w="20" w:type="dxa"/>
              <w:left w:w="20" w:type="dxa"/>
              <w:bottom w:w="20" w:type="dxa"/>
              <w:right w:w="20" w:type="dxa"/>
            </w:tcMar>
            <w:vAlign w:val="center"/>
          </w:tcPr>
          <w:p w14:paraId="3C957006"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tcBorders>
              <w:top w:val="single" w:sz="12" w:space="0" w:color="auto"/>
            </w:tcBorders>
            <w:shd w:val="clear" w:color="auto" w:fill="auto"/>
            <w:tcMar>
              <w:top w:w="20" w:type="dxa"/>
              <w:left w:w="20" w:type="dxa"/>
              <w:bottom w:w="20" w:type="dxa"/>
              <w:right w:w="20" w:type="dxa"/>
            </w:tcMar>
            <w:vAlign w:val="center"/>
          </w:tcPr>
          <w:p w14:paraId="4BF75EC9"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418" w:type="dxa"/>
            <w:tcBorders>
              <w:top w:val="single" w:sz="12" w:space="0" w:color="auto"/>
            </w:tcBorders>
            <w:shd w:val="clear" w:color="auto" w:fill="auto"/>
            <w:tcMar>
              <w:top w:w="20" w:type="dxa"/>
              <w:left w:w="20" w:type="dxa"/>
              <w:bottom w:w="20" w:type="dxa"/>
              <w:right w:w="20" w:type="dxa"/>
            </w:tcMar>
            <w:vAlign w:val="center"/>
          </w:tcPr>
          <w:p w14:paraId="6BFC1F3B" w14:textId="77777777" w:rsidR="00790DD4" w:rsidRPr="000D67C6" w:rsidRDefault="00790DD4" w:rsidP="00790DD4">
            <w:pPr>
              <w:pStyle w:val="T1TableStyle"/>
              <w:jc w:val="center"/>
              <w:rPr>
                <w:rFonts w:ascii="Arial" w:eastAsia="Verdana" w:hAnsi="Arial" w:cs="Arial"/>
                <w:sz w:val="22"/>
                <w:szCs w:val="22"/>
                <w:lang w:val="en-GB"/>
              </w:rPr>
            </w:pPr>
          </w:p>
        </w:tc>
        <w:tc>
          <w:tcPr>
            <w:tcW w:w="1417" w:type="dxa"/>
            <w:tcBorders>
              <w:top w:val="single" w:sz="12" w:space="0" w:color="auto"/>
            </w:tcBorders>
            <w:shd w:val="clear" w:color="auto" w:fill="auto"/>
            <w:tcMar>
              <w:top w:w="20" w:type="dxa"/>
              <w:left w:w="20" w:type="dxa"/>
              <w:bottom w:w="20" w:type="dxa"/>
              <w:right w:w="20" w:type="dxa"/>
            </w:tcMar>
            <w:vAlign w:val="center"/>
          </w:tcPr>
          <w:p w14:paraId="42470EF3"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418" w:type="dxa"/>
            <w:tcBorders>
              <w:top w:val="single" w:sz="12" w:space="0" w:color="auto"/>
            </w:tcBorders>
            <w:shd w:val="clear" w:color="auto" w:fill="auto"/>
            <w:tcMar>
              <w:top w:w="20" w:type="dxa"/>
              <w:left w:w="20" w:type="dxa"/>
              <w:bottom w:w="20" w:type="dxa"/>
              <w:right w:w="20" w:type="dxa"/>
            </w:tcMar>
            <w:vAlign w:val="center"/>
          </w:tcPr>
          <w:p w14:paraId="3B154523" w14:textId="77777777" w:rsidR="00790DD4" w:rsidRPr="000D67C6" w:rsidRDefault="00790DD4" w:rsidP="00790DD4">
            <w:pPr>
              <w:pStyle w:val="T1TableStyle"/>
              <w:jc w:val="center"/>
              <w:rPr>
                <w:rFonts w:ascii="Arial" w:eastAsia="Verdana" w:hAnsi="Arial" w:cs="Arial"/>
                <w:sz w:val="22"/>
                <w:szCs w:val="22"/>
                <w:lang w:val="en-GB"/>
              </w:rPr>
            </w:pPr>
          </w:p>
        </w:tc>
      </w:tr>
      <w:tr w:rsidR="00790DD4" w:rsidRPr="000D67C6" w14:paraId="0D5AB17A" w14:textId="77777777" w:rsidTr="00C70C4C">
        <w:trPr>
          <w:trHeight w:val="192"/>
        </w:trPr>
        <w:tc>
          <w:tcPr>
            <w:tcW w:w="3969" w:type="dxa"/>
            <w:shd w:val="clear" w:color="auto" w:fill="auto"/>
            <w:tcMar>
              <w:top w:w="20" w:type="dxa"/>
              <w:left w:w="20" w:type="dxa"/>
              <w:bottom w:w="20" w:type="dxa"/>
              <w:right w:w="20" w:type="dxa"/>
            </w:tcMar>
            <w:vAlign w:val="center"/>
          </w:tcPr>
          <w:p w14:paraId="327EA30B"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Total Debtors</w:t>
            </w:r>
          </w:p>
        </w:tc>
        <w:tc>
          <w:tcPr>
            <w:tcW w:w="1134" w:type="dxa"/>
            <w:tcBorders>
              <w:bottom w:val="single" w:sz="12" w:space="0" w:color="auto"/>
            </w:tcBorders>
            <w:shd w:val="clear" w:color="auto" w:fill="auto"/>
            <w:tcMar>
              <w:top w:w="20" w:type="dxa"/>
              <w:left w:w="20" w:type="dxa"/>
              <w:bottom w:w="20" w:type="dxa"/>
              <w:right w:w="20" w:type="dxa"/>
            </w:tcMar>
            <w:vAlign w:val="center"/>
          </w:tcPr>
          <w:p w14:paraId="3F41B569"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205</w:t>
            </w:r>
          </w:p>
        </w:tc>
        <w:tc>
          <w:tcPr>
            <w:tcW w:w="1418" w:type="dxa"/>
            <w:tcBorders>
              <w:bottom w:val="single" w:sz="12" w:space="0" w:color="auto"/>
            </w:tcBorders>
            <w:shd w:val="clear" w:color="auto" w:fill="auto"/>
            <w:tcMar>
              <w:top w:w="20" w:type="dxa"/>
              <w:left w:w="20" w:type="dxa"/>
              <w:bottom w:w="20" w:type="dxa"/>
              <w:right w:w="20" w:type="dxa"/>
            </w:tcMar>
            <w:vAlign w:val="center"/>
          </w:tcPr>
          <w:p w14:paraId="56D963DF" w14:textId="77777777" w:rsidR="00790DD4" w:rsidRPr="000D67C6" w:rsidRDefault="00BF701E"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165</w:t>
            </w:r>
          </w:p>
        </w:tc>
        <w:tc>
          <w:tcPr>
            <w:tcW w:w="1417" w:type="dxa"/>
            <w:tcBorders>
              <w:bottom w:val="single" w:sz="12" w:space="0" w:color="auto"/>
            </w:tcBorders>
            <w:shd w:val="clear" w:color="auto" w:fill="auto"/>
            <w:tcMar>
              <w:top w:w="20" w:type="dxa"/>
              <w:left w:w="20" w:type="dxa"/>
              <w:bottom w:w="20" w:type="dxa"/>
              <w:right w:w="20" w:type="dxa"/>
            </w:tcMar>
            <w:vAlign w:val="center"/>
          </w:tcPr>
          <w:p w14:paraId="6CD93CF9"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4,926</w:t>
            </w:r>
          </w:p>
        </w:tc>
        <w:tc>
          <w:tcPr>
            <w:tcW w:w="1418" w:type="dxa"/>
            <w:tcBorders>
              <w:bottom w:val="single" w:sz="12" w:space="0" w:color="auto"/>
            </w:tcBorders>
            <w:shd w:val="clear" w:color="auto" w:fill="auto"/>
            <w:tcMar>
              <w:top w:w="20" w:type="dxa"/>
              <w:left w:w="20" w:type="dxa"/>
              <w:bottom w:w="20" w:type="dxa"/>
              <w:right w:w="20" w:type="dxa"/>
            </w:tcMar>
            <w:vAlign w:val="center"/>
          </w:tcPr>
          <w:p w14:paraId="650509ED" w14:textId="77777777" w:rsidR="00790DD4" w:rsidRPr="000D67C6" w:rsidRDefault="005B23C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3,640</w:t>
            </w:r>
          </w:p>
        </w:tc>
      </w:tr>
      <w:tr w:rsidR="00FE16D9" w:rsidRPr="000D67C6" w14:paraId="302DB62A" w14:textId="77777777" w:rsidTr="00C70C4C">
        <w:trPr>
          <w:trHeight w:val="192"/>
        </w:trPr>
        <w:tc>
          <w:tcPr>
            <w:tcW w:w="3969" w:type="dxa"/>
            <w:shd w:val="clear" w:color="auto" w:fill="auto"/>
            <w:tcMar>
              <w:top w:w="20" w:type="dxa"/>
              <w:left w:w="20" w:type="dxa"/>
              <w:bottom w:w="20" w:type="dxa"/>
              <w:right w:w="20" w:type="dxa"/>
            </w:tcMar>
            <w:vAlign w:val="center"/>
          </w:tcPr>
          <w:p w14:paraId="1404FEF0" w14:textId="77777777" w:rsidR="00FE16D9" w:rsidRPr="000D67C6" w:rsidRDefault="00FE16D9" w:rsidP="00790DD4">
            <w:pPr>
              <w:pStyle w:val="T1TableStyle"/>
              <w:rPr>
                <w:rFonts w:ascii="Arial" w:eastAsia="Verdana" w:hAnsi="Arial" w:cs="Arial"/>
                <w:b/>
                <w:sz w:val="22"/>
                <w:szCs w:val="22"/>
                <w:lang w:val="en-GB"/>
              </w:rPr>
            </w:pPr>
          </w:p>
        </w:tc>
        <w:tc>
          <w:tcPr>
            <w:tcW w:w="1134" w:type="dxa"/>
            <w:tcBorders>
              <w:top w:val="single" w:sz="12" w:space="0" w:color="auto"/>
            </w:tcBorders>
            <w:shd w:val="clear" w:color="auto" w:fill="auto"/>
            <w:tcMar>
              <w:top w:w="20" w:type="dxa"/>
              <w:left w:w="20" w:type="dxa"/>
              <w:bottom w:w="20" w:type="dxa"/>
              <w:right w:w="20" w:type="dxa"/>
            </w:tcMar>
            <w:vAlign w:val="center"/>
          </w:tcPr>
          <w:p w14:paraId="1EB4FA55" w14:textId="77777777" w:rsidR="00FE16D9" w:rsidRPr="000D67C6" w:rsidRDefault="00FE16D9" w:rsidP="00790DD4">
            <w:pPr>
              <w:pStyle w:val="T1TableStyle"/>
              <w:jc w:val="right"/>
              <w:rPr>
                <w:rFonts w:ascii="Arial" w:eastAsia="Verdana" w:hAnsi="Arial" w:cs="Arial"/>
                <w:b/>
                <w:sz w:val="22"/>
                <w:szCs w:val="22"/>
                <w:lang w:val="en-GB"/>
              </w:rPr>
            </w:pPr>
          </w:p>
        </w:tc>
        <w:tc>
          <w:tcPr>
            <w:tcW w:w="1418" w:type="dxa"/>
            <w:tcBorders>
              <w:top w:val="single" w:sz="12" w:space="0" w:color="auto"/>
            </w:tcBorders>
            <w:shd w:val="clear" w:color="auto" w:fill="auto"/>
            <w:tcMar>
              <w:top w:w="20" w:type="dxa"/>
              <w:left w:w="20" w:type="dxa"/>
              <w:bottom w:w="20" w:type="dxa"/>
              <w:right w:w="20" w:type="dxa"/>
            </w:tcMar>
            <w:vAlign w:val="center"/>
          </w:tcPr>
          <w:p w14:paraId="1FF44AC0" w14:textId="77777777" w:rsidR="00FE16D9" w:rsidRPr="000D67C6" w:rsidRDefault="00FE16D9" w:rsidP="00790DD4">
            <w:pPr>
              <w:pStyle w:val="T1TableStyle"/>
              <w:jc w:val="right"/>
              <w:rPr>
                <w:rFonts w:ascii="Arial" w:eastAsia="Verdana" w:hAnsi="Arial" w:cs="Arial"/>
                <w:b/>
                <w:sz w:val="22"/>
                <w:szCs w:val="22"/>
                <w:lang w:val="en-GB"/>
              </w:rPr>
            </w:pPr>
          </w:p>
        </w:tc>
        <w:tc>
          <w:tcPr>
            <w:tcW w:w="1417" w:type="dxa"/>
            <w:tcBorders>
              <w:top w:val="single" w:sz="12" w:space="0" w:color="auto"/>
            </w:tcBorders>
            <w:shd w:val="clear" w:color="auto" w:fill="auto"/>
            <w:tcMar>
              <w:top w:w="20" w:type="dxa"/>
              <w:left w:w="20" w:type="dxa"/>
              <w:bottom w:w="20" w:type="dxa"/>
              <w:right w:w="20" w:type="dxa"/>
            </w:tcMar>
            <w:vAlign w:val="center"/>
          </w:tcPr>
          <w:p w14:paraId="79E4603E" w14:textId="77777777" w:rsidR="00FE16D9" w:rsidRPr="000D67C6" w:rsidRDefault="00FE16D9" w:rsidP="00790DD4">
            <w:pPr>
              <w:pStyle w:val="T1TableStyle"/>
              <w:jc w:val="right"/>
              <w:rPr>
                <w:rFonts w:ascii="Arial" w:eastAsia="Verdana" w:hAnsi="Arial" w:cs="Arial"/>
                <w:b/>
                <w:sz w:val="22"/>
                <w:szCs w:val="22"/>
                <w:lang w:val="en-GB"/>
              </w:rPr>
            </w:pPr>
          </w:p>
        </w:tc>
        <w:tc>
          <w:tcPr>
            <w:tcW w:w="1418" w:type="dxa"/>
            <w:tcBorders>
              <w:top w:val="single" w:sz="12" w:space="0" w:color="auto"/>
            </w:tcBorders>
            <w:shd w:val="clear" w:color="auto" w:fill="auto"/>
            <w:tcMar>
              <w:top w:w="20" w:type="dxa"/>
              <w:left w:w="20" w:type="dxa"/>
              <w:bottom w:w="20" w:type="dxa"/>
              <w:right w:w="20" w:type="dxa"/>
            </w:tcMar>
            <w:vAlign w:val="center"/>
          </w:tcPr>
          <w:p w14:paraId="494D2914" w14:textId="77777777" w:rsidR="00FE16D9" w:rsidRPr="000D67C6" w:rsidRDefault="00FE16D9" w:rsidP="00790DD4">
            <w:pPr>
              <w:pStyle w:val="T1TableStyle"/>
              <w:jc w:val="right"/>
              <w:rPr>
                <w:rFonts w:ascii="Arial" w:eastAsia="Verdana" w:hAnsi="Arial" w:cs="Arial"/>
                <w:b/>
                <w:sz w:val="22"/>
                <w:szCs w:val="22"/>
                <w:lang w:val="en-GB"/>
              </w:rPr>
            </w:pPr>
          </w:p>
        </w:tc>
      </w:tr>
      <w:tr w:rsidR="00790DD4" w:rsidRPr="000D67C6" w14:paraId="4DCB9F97" w14:textId="77777777" w:rsidTr="00FE16D9">
        <w:trPr>
          <w:trHeight w:val="474"/>
        </w:trPr>
        <w:tc>
          <w:tcPr>
            <w:tcW w:w="3969" w:type="dxa"/>
            <w:shd w:val="clear" w:color="auto" w:fill="auto"/>
            <w:tcMar>
              <w:top w:w="20" w:type="dxa"/>
              <w:left w:w="20" w:type="dxa"/>
              <w:bottom w:w="20" w:type="dxa"/>
              <w:right w:w="20" w:type="dxa"/>
            </w:tcMar>
            <w:vAlign w:val="center"/>
          </w:tcPr>
          <w:p w14:paraId="6B5749C5" w14:textId="162A00C2" w:rsidR="00790DD4" w:rsidRPr="000D67C6" w:rsidRDefault="00BA34CF"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Financial </w:t>
            </w:r>
            <w:r w:rsidR="00FE16D9" w:rsidRPr="000D67C6">
              <w:rPr>
                <w:rFonts w:ascii="Arial" w:eastAsia="Verdana" w:hAnsi="Arial" w:cs="Arial"/>
                <w:b/>
                <w:sz w:val="22"/>
                <w:szCs w:val="22"/>
                <w:lang w:val="en-GB"/>
              </w:rPr>
              <w:t>L</w:t>
            </w:r>
            <w:r w:rsidRPr="000D67C6">
              <w:rPr>
                <w:rFonts w:ascii="Arial" w:eastAsia="Verdana" w:hAnsi="Arial" w:cs="Arial"/>
                <w:b/>
                <w:sz w:val="22"/>
                <w:szCs w:val="22"/>
                <w:lang w:val="en-GB"/>
              </w:rPr>
              <w:t xml:space="preserve">iabilities at </w:t>
            </w:r>
            <w:r w:rsidR="00FE16D9" w:rsidRPr="000D67C6">
              <w:rPr>
                <w:rFonts w:ascii="Arial" w:eastAsia="Verdana" w:hAnsi="Arial" w:cs="Arial"/>
                <w:b/>
                <w:sz w:val="22"/>
                <w:szCs w:val="22"/>
                <w:lang w:val="en-GB"/>
              </w:rPr>
              <w:t>A</w:t>
            </w:r>
            <w:r w:rsidRPr="000D67C6">
              <w:rPr>
                <w:rFonts w:ascii="Arial" w:eastAsia="Verdana" w:hAnsi="Arial" w:cs="Arial"/>
                <w:b/>
                <w:sz w:val="22"/>
                <w:szCs w:val="22"/>
                <w:lang w:val="en-GB"/>
              </w:rPr>
              <w:t xml:space="preserve">mortised </w:t>
            </w:r>
            <w:r w:rsidR="00FE16D9" w:rsidRPr="000D67C6">
              <w:rPr>
                <w:rFonts w:ascii="Arial" w:eastAsia="Verdana" w:hAnsi="Arial" w:cs="Arial"/>
                <w:b/>
                <w:sz w:val="22"/>
                <w:szCs w:val="22"/>
                <w:lang w:val="en-GB"/>
              </w:rPr>
              <w:t>C</w:t>
            </w:r>
            <w:r w:rsidRPr="000D67C6">
              <w:rPr>
                <w:rFonts w:ascii="Arial" w:eastAsia="Verdana" w:hAnsi="Arial" w:cs="Arial"/>
                <w:b/>
                <w:sz w:val="22"/>
                <w:szCs w:val="22"/>
                <w:lang w:val="en-GB"/>
              </w:rPr>
              <w:t>ost</w:t>
            </w:r>
            <w:r w:rsidR="00E46927" w:rsidRPr="000D67C6">
              <w:rPr>
                <w:rFonts w:ascii="Arial" w:eastAsia="Verdana" w:hAnsi="Arial" w:cs="Arial"/>
                <w:b/>
                <w:sz w:val="22"/>
                <w:szCs w:val="22"/>
                <w:lang w:val="en-GB"/>
              </w:rPr>
              <w:t>:</w:t>
            </w:r>
          </w:p>
        </w:tc>
        <w:tc>
          <w:tcPr>
            <w:tcW w:w="1134" w:type="dxa"/>
            <w:shd w:val="clear" w:color="auto" w:fill="auto"/>
            <w:tcMar>
              <w:top w:w="20" w:type="dxa"/>
              <w:left w:w="20" w:type="dxa"/>
              <w:bottom w:w="20" w:type="dxa"/>
              <w:right w:w="20" w:type="dxa"/>
            </w:tcMar>
            <w:vAlign w:val="center"/>
          </w:tcPr>
          <w:p w14:paraId="0EB5EA1A" w14:textId="77777777" w:rsidR="00790DD4" w:rsidRPr="000D67C6" w:rsidRDefault="00790DD4" w:rsidP="00790DD4">
            <w:pPr>
              <w:pStyle w:val="T1TableStyle"/>
              <w:jc w:val="center"/>
              <w:rPr>
                <w:rFonts w:ascii="Arial" w:eastAsia="Verdana" w:hAnsi="Arial" w:cs="Arial"/>
                <w:sz w:val="22"/>
                <w:szCs w:val="22"/>
                <w:lang w:val="en-GB"/>
              </w:rPr>
            </w:pPr>
          </w:p>
        </w:tc>
        <w:tc>
          <w:tcPr>
            <w:tcW w:w="1418" w:type="dxa"/>
            <w:shd w:val="clear" w:color="auto" w:fill="auto"/>
            <w:tcMar>
              <w:top w:w="20" w:type="dxa"/>
              <w:left w:w="20" w:type="dxa"/>
              <w:bottom w:w="20" w:type="dxa"/>
              <w:right w:w="20" w:type="dxa"/>
            </w:tcMar>
            <w:vAlign w:val="center"/>
          </w:tcPr>
          <w:p w14:paraId="73E2B1B2" w14:textId="77777777" w:rsidR="00790DD4" w:rsidRPr="000D67C6" w:rsidRDefault="00790DD4" w:rsidP="00790DD4">
            <w:pPr>
              <w:pStyle w:val="T1TableStyle"/>
              <w:jc w:val="center"/>
              <w:rPr>
                <w:rFonts w:ascii="Arial" w:eastAsia="Verdana" w:hAnsi="Arial" w:cs="Arial"/>
                <w:sz w:val="22"/>
                <w:szCs w:val="22"/>
                <w:lang w:val="en-GB"/>
              </w:rPr>
            </w:pPr>
          </w:p>
        </w:tc>
        <w:tc>
          <w:tcPr>
            <w:tcW w:w="1417" w:type="dxa"/>
            <w:shd w:val="clear" w:color="auto" w:fill="auto"/>
            <w:tcMar>
              <w:top w:w="20" w:type="dxa"/>
              <w:left w:w="20" w:type="dxa"/>
              <w:bottom w:w="20" w:type="dxa"/>
              <w:right w:w="20" w:type="dxa"/>
            </w:tcMar>
            <w:vAlign w:val="center"/>
          </w:tcPr>
          <w:p w14:paraId="5AC7FA17" w14:textId="77777777" w:rsidR="00790DD4" w:rsidRPr="000D67C6" w:rsidRDefault="00790DD4" w:rsidP="00790DD4">
            <w:pPr>
              <w:pStyle w:val="T1TableStyle"/>
              <w:jc w:val="center"/>
              <w:rPr>
                <w:rFonts w:ascii="Arial" w:eastAsia="Verdana" w:hAnsi="Arial" w:cs="Arial"/>
                <w:sz w:val="22"/>
                <w:szCs w:val="22"/>
                <w:lang w:val="en-GB"/>
              </w:rPr>
            </w:pPr>
          </w:p>
        </w:tc>
        <w:tc>
          <w:tcPr>
            <w:tcW w:w="1418" w:type="dxa"/>
            <w:shd w:val="clear" w:color="auto" w:fill="auto"/>
            <w:tcMar>
              <w:top w:w="20" w:type="dxa"/>
              <w:left w:w="20" w:type="dxa"/>
              <w:bottom w:w="20" w:type="dxa"/>
              <w:right w:w="20" w:type="dxa"/>
            </w:tcMar>
            <w:vAlign w:val="center"/>
          </w:tcPr>
          <w:p w14:paraId="44D22B15" w14:textId="77777777" w:rsidR="00790DD4" w:rsidRPr="000D67C6" w:rsidRDefault="00790DD4" w:rsidP="00790DD4">
            <w:pPr>
              <w:pStyle w:val="T1TableStyle"/>
              <w:jc w:val="center"/>
              <w:rPr>
                <w:rFonts w:ascii="Arial" w:eastAsia="Verdana" w:hAnsi="Arial" w:cs="Arial"/>
                <w:sz w:val="22"/>
                <w:szCs w:val="22"/>
                <w:lang w:val="en-GB"/>
              </w:rPr>
            </w:pPr>
          </w:p>
        </w:tc>
      </w:tr>
      <w:tr w:rsidR="00790DD4" w:rsidRPr="000D67C6" w14:paraId="60064448" w14:textId="77777777" w:rsidTr="00C70C4C">
        <w:trPr>
          <w:trHeight w:val="457"/>
        </w:trPr>
        <w:tc>
          <w:tcPr>
            <w:tcW w:w="3969" w:type="dxa"/>
            <w:shd w:val="clear" w:color="auto" w:fill="auto"/>
            <w:tcMar>
              <w:top w:w="20" w:type="dxa"/>
              <w:left w:w="20" w:type="dxa"/>
              <w:bottom w:w="20" w:type="dxa"/>
              <w:right w:w="20" w:type="dxa"/>
            </w:tcMar>
            <w:vAlign w:val="center"/>
          </w:tcPr>
          <w:p w14:paraId="17B65154" w14:textId="2D9233DE" w:rsidR="00790DD4" w:rsidRPr="000D67C6" w:rsidRDefault="00BA34CF"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Borrowing</w:t>
            </w:r>
          </w:p>
        </w:tc>
        <w:tc>
          <w:tcPr>
            <w:tcW w:w="1134" w:type="dxa"/>
            <w:shd w:val="clear" w:color="auto" w:fill="auto"/>
            <w:tcMar>
              <w:top w:w="20" w:type="dxa"/>
              <w:left w:w="20" w:type="dxa"/>
              <w:bottom w:w="20" w:type="dxa"/>
              <w:right w:w="20" w:type="dxa"/>
            </w:tcMar>
            <w:vAlign w:val="center"/>
          </w:tcPr>
          <w:p w14:paraId="485AC574"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(16,059)</w:t>
            </w:r>
          </w:p>
        </w:tc>
        <w:tc>
          <w:tcPr>
            <w:tcW w:w="1418" w:type="dxa"/>
            <w:shd w:val="clear" w:color="auto" w:fill="auto"/>
            <w:tcMar>
              <w:top w:w="20" w:type="dxa"/>
              <w:left w:w="20" w:type="dxa"/>
              <w:bottom w:w="20" w:type="dxa"/>
              <w:right w:w="20" w:type="dxa"/>
            </w:tcMar>
            <w:vAlign w:val="center"/>
          </w:tcPr>
          <w:p w14:paraId="5D55C6FC" w14:textId="77777777" w:rsidR="00790DD4" w:rsidRPr="000D67C6" w:rsidRDefault="00BF701E"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(15,738)</w:t>
            </w:r>
          </w:p>
        </w:tc>
        <w:tc>
          <w:tcPr>
            <w:tcW w:w="1417" w:type="dxa"/>
            <w:shd w:val="clear" w:color="auto" w:fill="auto"/>
            <w:tcMar>
              <w:top w:w="20" w:type="dxa"/>
              <w:left w:w="20" w:type="dxa"/>
              <w:bottom w:w="20" w:type="dxa"/>
              <w:right w:w="20" w:type="dxa"/>
            </w:tcMar>
            <w:vAlign w:val="center"/>
          </w:tcPr>
          <w:p w14:paraId="3EBF9534"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(470)</w:t>
            </w:r>
          </w:p>
        </w:tc>
        <w:tc>
          <w:tcPr>
            <w:tcW w:w="1418" w:type="dxa"/>
            <w:shd w:val="clear" w:color="auto" w:fill="auto"/>
            <w:tcMar>
              <w:top w:w="20" w:type="dxa"/>
              <w:left w:w="20" w:type="dxa"/>
              <w:bottom w:w="20" w:type="dxa"/>
              <w:right w:w="20" w:type="dxa"/>
            </w:tcMar>
            <w:vAlign w:val="center"/>
          </w:tcPr>
          <w:p w14:paraId="56CBB5B2" w14:textId="77777777" w:rsidR="00790DD4" w:rsidRPr="000D67C6" w:rsidRDefault="0009661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(1,321)</w:t>
            </w:r>
          </w:p>
        </w:tc>
      </w:tr>
      <w:tr w:rsidR="00790DD4" w:rsidRPr="000D67C6" w14:paraId="72AA2D9B" w14:textId="77777777" w:rsidTr="00C70C4C">
        <w:trPr>
          <w:trHeight w:val="251"/>
        </w:trPr>
        <w:tc>
          <w:tcPr>
            <w:tcW w:w="3969" w:type="dxa"/>
            <w:shd w:val="clear" w:color="auto" w:fill="auto"/>
            <w:tcMar>
              <w:top w:w="20" w:type="dxa"/>
              <w:left w:w="20" w:type="dxa"/>
              <w:bottom w:w="20" w:type="dxa"/>
              <w:right w:w="20" w:type="dxa"/>
            </w:tcMar>
            <w:vAlign w:val="center"/>
          </w:tcPr>
          <w:p w14:paraId="6B765718"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Accrued Interest</w:t>
            </w:r>
          </w:p>
        </w:tc>
        <w:tc>
          <w:tcPr>
            <w:tcW w:w="1134" w:type="dxa"/>
            <w:tcBorders>
              <w:bottom w:val="single" w:sz="12" w:space="0" w:color="auto"/>
            </w:tcBorders>
            <w:shd w:val="clear" w:color="auto" w:fill="auto"/>
            <w:tcMar>
              <w:top w:w="20" w:type="dxa"/>
              <w:left w:w="20" w:type="dxa"/>
              <w:bottom w:w="20" w:type="dxa"/>
              <w:right w:w="20" w:type="dxa"/>
            </w:tcMar>
            <w:vAlign w:val="center"/>
          </w:tcPr>
          <w:p w14:paraId="35F824DD"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8" w:type="dxa"/>
            <w:tcBorders>
              <w:bottom w:val="single" w:sz="12" w:space="0" w:color="auto"/>
            </w:tcBorders>
            <w:shd w:val="clear" w:color="auto" w:fill="auto"/>
            <w:tcMar>
              <w:top w:w="20" w:type="dxa"/>
              <w:left w:w="20" w:type="dxa"/>
              <w:bottom w:w="20" w:type="dxa"/>
              <w:right w:w="20" w:type="dxa"/>
            </w:tcMar>
            <w:vAlign w:val="center"/>
          </w:tcPr>
          <w:p w14:paraId="0BAAF08E" w14:textId="77777777" w:rsidR="00790DD4" w:rsidRPr="000D67C6" w:rsidRDefault="00BF701E"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tcBorders>
              <w:bottom w:val="single" w:sz="12" w:space="0" w:color="auto"/>
            </w:tcBorders>
            <w:shd w:val="clear" w:color="auto" w:fill="auto"/>
            <w:tcMar>
              <w:top w:w="20" w:type="dxa"/>
              <w:left w:w="20" w:type="dxa"/>
              <w:bottom w:w="20" w:type="dxa"/>
              <w:right w:w="20" w:type="dxa"/>
            </w:tcMar>
            <w:vAlign w:val="center"/>
          </w:tcPr>
          <w:p w14:paraId="37DB28E4"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(53)</w:t>
            </w:r>
          </w:p>
        </w:tc>
        <w:tc>
          <w:tcPr>
            <w:tcW w:w="1418" w:type="dxa"/>
            <w:tcBorders>
              <w:bottom w:val="single" w:sz="12" w:space="0" w:color="auto"/>
            </w:tcBorders>
            <w:shd w:val="clear" w:color="auto" w:fill="auto"/>
            <w:tcMar>
              <w:top w:w="20" w:type="dxa"/>
              <w:left w:w="20" w:type="dxa"/>
              <w:bottom w:w="20" w:type="dxa"/>
              <w:right w:w="20" w:type="dxa"/>
            </w:tcMar>
            <w:vAlign w:val="center"/>
          </w:tcPr>
          <w:p w14:paraId="6DBC7A3B" w14:textId="77777777" w:rsidR="00790DD4" w:rsidRPr="000D67C6" w:rsidRDefault="0009661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(59)</w:t>
            </w:r>
          </w:p>
        </w:tc>
      </w:tr>
      <w:tr w:rsidR="00790DD4" w:rsidRPr="000D67C6" w14:paraId="27E128B8" w14:textId="77777777" w:rsidTr="00C70C4C">
        <w:trPr>
          <w:trHeight w:val="255"/>
        </w:trPr>
        <w:tc>
          <w:tcPr>
            <w:tcW w:w="3969" w:type="dxa"/>
            <w:shd w:val="clear" w:color="auto" w:fill="auto"/>
            <w:tcMar>
              <w:top w:w="20" w:type="dxa"/>
              <w:left w:w="20" w:type="dxa"/>
              <w:bottom w:w="20" w:type="dxa"/>
              <w:right w:w="20" w:type="dxa"/>
            </w:tcMar>
            <w:vAlign w:val="center"/>
          </w:tcPr>
          <w:p w14:paraId="05A47D09" w14:textId="60B1B10C"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Total Borrowing</w:t>
            </w:r>
          </w:p>
        </w:tc>
        <w:tc>
          <w:tcPr>
            <w:tcW w:w="1134" w:type="dxa"/>
            <w:tcBorders>
              <w:top w:val="single" w:sz="12" w:space="0" w:color="auto"/>
              <w:bottom w:val="single" w:sz="12" w:space="0" w:color="auto"/>
            </w:tcBorders>
            <w:shd w:val="clear" w:color="auto" w:fill="auto"/>
            <w:tcMar>
              <w:top w:w="20" w:type="dxa"/>
              <w:left w:w="20" w:type="dxa"/>
              <w:bottom w:w="20" w:type="dxa"/>
              <w:right w:w="20" w:type="dxa"/>
            </w:tcMar>
            <w:vAlign w:val="center"/>
          </w:tcPr>
          <w:p w14:paraId="125D8123"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(16,059)</w:t>
            </w:r>
          </w:p>
        </w:tc>
        <w:tc>
          <w:tcPr>
            <w:tcW w:w="1418" w:type="dxa"/>
            <w:tcBorders>
              <w:top w:val="single" w:sz="12" w:space="0" w:color="auto"/>
              <w:bottom w:val="single" w:sz="12" w:space="0" w:color="auto"/>
            </w:tcBorders>
            <w:shd w:val="clear" w:color="auto" w:fill="auto"/>
            <w:tcMar>
              <w:top w:w="20" w:type="dxa"/>
              <w:left w:w="20" w:type="dxa"/>
              <w:bottom w:w="20" w:type="dxa"/>
              <w:right w:w="20" w:type="dxa"/>
            </w:tcMar>
            <w:vAlign w:val="center"/>
          </w:tcPr>
          <w:p w14:paraId="282FDE67" w14:textId="77777777" w:rsidR="00790DD4" w:rsidRPr="000D67C6" w:rsidRDefault="00BF701E"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(15,738)</w:t>
            </w:r>
          </w:p>
        </w:tc>
        <w:tc>
          <w:tcPr>
            <w:tcW w:w="1417" w:type="dxa"/>
            <w:tcBorders>
              <w:top w:val="single" w:sz="12" w:space="0" w:color="auto"/>
              <w:bottom w:val="single" w:sz="12" w:space="0" w:color="auto"/>
            </w:tcBorders>
            <w:shd w:val="clear" w:color="auto" w:fill="auto"/>
            <w:tcMar>
              <w:top w:w="20" w:type="dxa"/>
              <w:left w:w="20" w:type="dxa"/>
              <w:bottom w:w="20" w:type="dxa"/>
              <w:right w:w="20" w:type="dxa"/>
            </w:tcMar>
            <w:vAlign w:val="center"/>
          </w:tcPr>
          <w:p w14:paraId="4F73E238"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(523)</w:t>
            </w:r>
          </w:p>
        </w:tc>
        <w:tc>
          <w:tcPr>
            <w:tcW w:w="1418" w:type="dxa"/>
            <w:tcBorders>
              <w:top w:val="single" w:sz="12" w:space="0" w:color="auto"/>
              <w:bottom w:val="single" w:sz="12" w:space="0" w:color="auto"/>
            </w:tcBorders>
            <w:shd w:val="clear" w:color="auto" w:fill="auto"/>
            <w:tcMar>
              <w:top w:w="20" w:type="dxa"/>
              <w:left w:w="20" w:type="dxa"/>
              <w:bottom w:w="20" w:type="dxa"/>
              <w:right w:w="20" w:type="dxa"/>
            </w:tcMar>
            <w:vAlign w:val="center"/>
          </w:tcPr>
          <w:p w14:paraId="2BBA5F27" w14:textId="77777777" w:rsidR="00790DD4" w:rsidRPr="000D67C6" w:rsidRDefault="0009661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(1,380)</w:t>
            </w:r>
          </w:p>
        </w:tc>
      </w:tr>
      <w:tr w:rsidR="00790DD4" w:rsidRPr="000D67C6" w14:paraId="54A1BC1C" w14:textId="77777777" w:rsidTr="00C70C4C">
        <w:trPr>
          <w:trHeight w:hRule="exact" w:val="255"/>
        </w:trPr>
        <w:tc>
          <w:tcPr>
            <w:tcW w:w="3969" w:type="dxa"/>
            <w:shd w:val="clear" w:color="auto" w:fill="auto"/>
            <w:tcMar>
              <w:top w:w="20" w:type="dxa"/>
              <w:left w:w="20" w:type="dxa"/>
              <w:bottom w:w="20" w:type="dxa"/>
              <w:right w:w="20" w:type="dxa"/>
            </w:tcMar>
            <w:vAlign w:val="center"/>
          </w:tcPr>
          <w:p w14:paraId="03E3F49D" w14:textId="77777777" w:rsidR="00790DD4" w:rsidRPr="000D67C6" w:rsidRDefault="00790DD4" w:rsidP="00790DD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tcBorders>
              <w:top w:val="single" w:sz="12" w:space="0" w:color="auto"/>
            </w:tcBorders>
            <w:shd w:val="clear" w:color="auto" w:fill="auto"/>
            <w:tcMar>
              <w:top w:w="20" w:type="dxa"/>
              <w:left w:w="20" w:type="dxa"/>
              <w:bottom w:w="20" w:type="dxa"/>
              <w:right w:w="20" w:type="dxa"/>
            </w:tcMar>
            <w:vAlign w:val="center"/>
          </w:tcPr>
          <w:p w14:paraId="5B2BCF60" w14:textId="77777777" w:rsidR="00790DD4" w:rsidRPr="000D67C6" w:rsidRDefault="00790DD4" w:rsidP="00790DD4">
            <w:pPr>
              <w:pStyle w:val="T1TableStyle"/>
              <w:jc w:val="center"/>
              <w:rPr>
                <w:rFonts w:ascii="Arial" w:eastAsia="Verdana" w:hAnsi="Arial" w:cs="Arial"/>
                <w:b/>
                <w:sz w:val="22"/>
                <w:szCs w:val="22"/>
                <w:lang w:val="en-GB"/>
              </w:rPr>
            </w:pPr>
          </w:p>
        </w:tc>
        <w:tc>
          <w:tcPr>
            <w:tcW w:w="1418" w:type="dxa"/>
            <w:tcBorders>
              <w:top w:val="single" w:sz="12" w:space="0" w:color="auto"/>
            </w:tcBorders>
            <w:shd w:val="clear" w:color="auto" w:fill="auto"/>
            <w:tcMar>
              <w:top w:w="20" w:type="dxa"/>
              <w:left w:w="20" w:type="dxa"/>
              <w:bottom w:w="20" w:type="dxa"/>
              <w:right w:w="20" w:type="dxa"/>
            </w:tcMar>
            <w:vAlign w:val="center"/>
          </w:tcPr>
          <w:p w14:paraId="3ABF7363" w14:textId="77777777" w:rsidR="00790DD4" w:rsidRPr="000D67C6" w:rsidRDefault="00790DD4" w:rsidP="00790DD4">
            <w:pPr>
              <w:pStyle w:val="T1TableStyle"/>
              <w:jc w:val="center"/>
              <w:rPr>
                <w:rFonts w:ascii="Arial" w:eastAsia="Verdana" w:hAnsi="Arial" w:cs="Arial"/>
                <w:b/>
                <w:sz w:val="22"/>
                <w:szCs w:val="22"/>
                <w:lang w:val="en-GB"/>
              </w:rPr>
            </w:pPr>
          </w:p>
        </w:tc>
        <w:tc>
          <w:tcPr>
            <w:tcW w:w="1417" w:type="dxa"/>
            <w:tcBorders>
              <w:top w:val="single" w:sz="12" w:space="0" w:color="auto"/>
            </w:tcBorders>
            <w:shd w:val="clear" w:color="auto" w:fill="auto"/>
            <w:tcMar>
              <w:top w:w="20" w:type="dxa"/>
              <w:left w:w="20" w:type="dxa"/>
              <w:bottom w:w="20" w:type="dxa"/>
              <w:right w:w="20" w:type="dxa"/>
            </w:tcMar>
            <w:vAlign w:val="center"/>
          </w:tcPr>
          <w:p w14:paraId="5DBA6AD0" w14:textId="77777777" w:rsidR="00790DD4" w:rsidRPr="000D67C6" w:rsidRDefault="00790DD4" w:rsidP="00790DD4">
            <w:pPr>
              <w:pStyle w:val="T1TableStyle"/>
              <w:jc w:val="center"/>
              <w:rPr>
                <w:rFonts w:ascii="Arial" w:eastAsia="Verdana" w:hAnsi="Arial" w:cs="Arial"/>
                <w:b/>
                <w:sz w:val="22"/>
                <w:szCs w:val="22"/>
                <w:lang w:val="en-GB"/>
              </w:rPr>
            </w:pPr>
          </w:p>
        </w:tc>
        <w:tc>
          <w:tcPr>
            <w:tcW w:w="1418" w:type="dxa"/>
            <w:tcBorders>
              <w:top w:val="single" w:sz="12" w:space="0" w:color="auto"/>
            </w:tcBorders>
            <w:shd w:val="clear" w:color="auto" w:fill="auto"/>
            <w:tcMar>
              <w:top w:w="20" w:type="dxa"/>
              <w:left w:w="20" w:type="dxa"/>
              <w:bottom w:w="20" w:type="dxa"/>
              <w:right w:w="20" w:type="dxa"/>
            </w:tcMar>
            <w:vAlign w:val="center"/>
          </w:tcPr>
          <w:p w14:paraId="53A0A333" w14:textId="77777777" w:rsidR="00790DD4" w:rsidRPr="000D67C6" w:rsidRDefault="00790DD4" w:rsidP="00790DD4">
            <w:pPr>
              <w:pStyle w:val="T1TableStyle"/>
              <w:jc w:val="center"/>
              <w:rPr>
                <w:rFonts w:ascii="Arial" w:eastAsia="Verdana" w:hAnsi="Arial" w:cs="Arial"/>
                <w:b/>
                <w:sz w:val="22"/>
                <w:szCs w:val="22"/>
                <w:lang w:val="en-GB"/>
              </w:rPr>
            </w:pPr>
          </w:p>
        </w:tc>
      </w:tr>
      <w:tr w:rsidR="00790DD4" w:rsidRPr="000D67C6" w14:paraId="3A1BAC54" w14:textId="77777777" w:rsidTr="00C70C4C">
        <w:trPr>
          <w:trHeight w:val="255"/>
        </w:trPr>
        <w:tc>
          <w:tcPr>
            <w:tcW w:w="3969" w:type="dxa"/>
            <w:shd w:val="clear" w:color="auto" w:fill="auto"/>
            <w:tcMar>
              <w:top w:w="20" w:type="dxa"/>
              <w:left w:w="20" w:type="dxa"/>
              <w:bottom w:w="20" w:type="dxa"/>
              <w:right w:w="20" w:type="dxa"/>
            </w:tcMar>
            <w:vAlign w:val="center"/>
          </w:tcPr>
          <w:p w14:paraId="5BBA5D2E" w14:textId="1BE1F16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Finance Lease liabilities</w:t>
            </w:r>
          </w:p>
        </w:tc>
        <w:tc>
          <w:tcPr>
            <w:tcW w:w="1134" w:type="dxa"/>
            <w:tcBorders>
              <w:bottom w:val="single" w:sz="12" w:space="0" w:color="auto"/>
            </w:tcBorders>
            <w:shd w:val="clear" w:color="auto" w:fill="auto"/>
            <w:tcMar>
              <w:top w:w="20" w:type="dxa"/>
              <w:left w:w="20" w:type="dxa"/>
              <w:bottom w:w="20" w:type="dxa"/>
              <w:right w:w="20" w:type="dxa"/>
            </w:tcMar>
            <w:vAlign w:val="center"/>
          </w:tcPr>
          <w:p w14:paraId="179593D7"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(4,090)</w:t>
            </w:r>
          </w:p>
        </w:tc>
        <w:tc>
          <w:tcPr>
            <w:tcW w:w="1418" w:type="dxa"/>
            <w:tcBorders>
              <w:bottom w:val="single" w:sz="12" w:space="0" w:color="auto"/>
            </w:tcBorders>
            <w:shd w:val="clear" w:color="auto" w:fill="auto"/>
            <w:tcMar>
              <w:top w:w="20" w:type="dxa"/>
              <w:left w:w="20" w:type="dxa"/>
              <w:bottom w:w="20" w:type="dxa"/>
              <w:right w:w="20" w:type="dxa"/>
            </w:tcMar>
            <w:vAlign w:val="center"/>
          </w:tcPr>
          <w:p w14:paraId="605568AF" w14:textId="77777777" w:rsidR="00790DD4" w:rsidRPr="000D67C6" w:rsidRDefault="00BF701E"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(3,452)</w:t>
            </w:r>
          </w:p>
        </w:tc>
        <w:tc>
          <w:tcPr>
            <w:tcW w:w="1417" w:type="dxa"/>
            <w:tcBorders>
              <w:bottom w:val="single" w:sz="12" w:space="0" w:color="auto"/>
            </w:tcBorders>
            <w:shd w:val="clear" w:color="auto" w:fill="auto"/>
            <w:tcMar>
              <w:top w:w="20" w:type="dxa"/>
              <w:left w:w="20" w:type="dxa"/>
              <w:bottom w:w="20" w:type="dxa"/>
              <w:right w:w="20" w:type="dxa"/>
            </w:tcMar>
            <w:vAlign w:val="center"/>
          </w:tcPr>
          <w:p w14:paraId="479DE9A6"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(729)</w:t>
            </w:r>
          </w:p>
        </w:tc>
        <w:tc>
          <w:tcPr>
            <w:tcW w:w="1418" w:type="dxa"/>
            <w:tcBorders>
              <w:bottom w:val="single" w:sz="12" w:space="0" w:color="auto"/>
            </w:tcBorders>
            <w:shd w:val="clear" w:color="auto" w:fill="auto"/>
            <w:tcMar>
              <w:top w:w="20" w:type="dxa"/>
              <w:left w:w="20" w:type="dxa"/>
              <w:bottom w:w="20" w:type="dxa"/>
              <w:right w:w="20" w:type="dxa"/>
            </w:tcMar>
            <w:vAlign w:val="center"/>
          </w:tcPr>
          <w:p w14:paraId="10196A9C" w14:textId="77777777" w:rsidR="00790DD4" w:rsidRPr="000D67C6" w:rsidRDefault="0009661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(638)</w:t>
            </w:r>
          </w:p>
        </w:tc>
      </w:tr>
      <w:tr w:rsidR="00790DD4" w:rsidRPr="000D67C6" w14:paraId="069DEFB9" w14:textId="77777777" w:rsidTr="00C70C4C">
        <w:trPr>
          <w:trHeight w:val="99"/>
        </w:trPr>
        <w:tc>
          <w:tcPr>
            <w:tcW w:w="3969" w:type="dxa"/>
            <w:shd w:val="clear" w:color="auto" w:fill="auto"/>
            <w:tcMar>
              <w:top w:w="20" w:type="dxa"/>
              <w:left w:w="20" w:type="dxa"/>
              <w:bottom w:w="20" w:type="dxa"/>
              <w:right w:w="20" w:type="dxa"/>
            </w:tcMar>
            <w:vAlign w:val="center"/>
          </w:tcPr>
          <w:p w14:paraId="14A929C4" w14:textId="754C59D2" w:rsidR="00790DD4" w:rsidRPr="000D67C6" w:rsidRDefault="00790DD4" w:rsidP="00790DD4">
            <w:pPr>
              <w:pStyle w:val="T1TableStyle"/>
              <w:rPr>
                <w:rFonts w:ascii="Arial" w:eastAsia="Verdana" w:hAnsi="Arial" w:cs="Arial"/>
                <w:sz w:val="22"/>
                <w:szCs w:val="22"/>
                <w:lang w:val="en-GB"/>
              </w:rPr>
            </w:pPr>
          </w:p>
        </w:tc>
        <w:tc>
          <w:tcPr>
            <w:tcW w:w="1134" w:type="dxa"/>
            <w:tcBorders>
              <w:top w:val="single" w:sz="12" w:space="0" w:color="auto"/>
            </w:tcBorders>
            <w:shd w:val="clear" w:color="auto" w:fill="auto"/>
            <w:tcMar>
              <w:top w:w="20" w:type="dxa"/>
              <w:left w:w="20" w:type="dxa"/>
              <w:bottom w:w="20" w:type="dxa"/>
              <w:right w:w="20" w:type="dxa"/>
            </w:tcMar>
            <w:vAlign w:val="center"/>
          </w:tcPr>
          <w:p w14:paraId="38B3F67B"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418" w:type="dxa"/>
            <w:tcBorders>
              <w:top w:val="single" w:sz="12" w:space="0" w:color="auto"/>
            </w:tcBorders>
            <w:shd w:val="clear" w:color="auto" w:fill="auto"/>
            <w:tcMar>
              <w:top w:w="20" w:type="dxa"/>
              <w:left w:w="20" w:type="dxa"/>
              <w:bottom w:w="20" w:type="dxa"/>
              <w:right w:w="20" w:type="dxa"/>
            </w:tcMar>
            <w:vAlign w:val="center"/>
          </w:tcPr>
          <w:p w14:paraId="6B03A1F3"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417" w:type="dxa"/>
            <w:tcBorders>
              <w:top w:val="single" w:sz="12" w:space="0" w:color="auto"/>
            </w:tcBorders>
            <w:shd w:val="clear" w:color="auto" w:fill="auto"/>
            <w:tcMar>
              <w:top w:w="20" w:type="dxa"/>
              <w:left w:w="20" w:type="dxa"/>
              <w:bottom w:w="20" w:type="dxa"/>
              <w:right w:w="20" w:type="dxa"/>
            </w:tcMar>
            <w:vAlign w:val="center"/>
          </w:tcPr>
          <w:p w14:paraId="0568DC3F" w14:textId="77777777" w:rsidR="00790DD4" w:rsidRPr="000D67C6" w:rsidRDefault="00790DD4" w:rsidP="00790DD4">
            <w:pPr>
              <w:pStyle w:val="T1TableStyle"/>
              <w:jc w:val="center"/>
              <w:rPr>
                <w:rFonts w:ascii="Arial" w:eastAsia="Verdana" w:hAnsi="Arial" w:cs="Arial"/>
                <w:sz w:val="22"/>
                <w:szCs w:val="22"/>
                <w:lang w:val="en-GB"/>
              </w:rPr>
            </w:pPr>
          </w:p>
        </w:tc>
        <w:tc>
          <w:tcPr>
            <w:tcW w:w="1418" w:type="dxa"/>
            <w:tcBorders>
              <w:top w:val="single" w:sz="12" w:space="0" w:color="auto"/>
            </w:tcBorders>
            <w:shd w:val="clear" w:color="auto" w:fill="auto"/>
            <w:tcMar>
              <w:top w:w="20" w:type="dxa"/>
              <w:left w:w="20" w:type="dxa"/>
              <w:bottom w:w="20" w:type="dxa"/>
              <w:right w:w="20" w:type="dxa"/>
            </w:tcMar>
            <w:vAlign w:val="center"/>
          </w:tcPr>
          <w:p w14:paraId="22D5FED5" w14:textId="77777777" w:rsidR="00790DD4" w:rsidRPr="000D67C6" w:rsidRDefault="00790DD4" w:rsidP="00790DD4">
            <w:pPr>
              <w:pStyle w:val="T1TableStyle"/>
              <w:jc w:val="center"/>
              <w:rPr>
                <w:rFonts w:ascii="Arial" w:eastAsia="Verdana" w:hAnsi="Arial" w:cs="Arial"/>
                <w:sz w:val="22"/>
                <w:szCs w:val="22"/>
                <w:lang w:val="en-GB"/>
              </w:rPr>
            </w:pPr>
          </w:p>
        </w:tc>
      </w:tr>
      <w:tr w:rsidR="00B975E1" w:rsidRPr="000D67C6" w14:paraId="4250C86F" w14:textId="77777777" w:rsidTr="00447D17">
        <w:trPr>
          <w:trHeight w:val="48"/>
        </w:trPr>
        <w:tc>
          <w:tcPr>
            <w:tcW w:w="3969" w:type="dxa"/>
            <w:shd w:val="clear" w:color="auto" w:fill="auto"/>
            <w:tcMar>
              <w:top w:w="20" w:type="dxa"/>
              <w:left w:w="20" w:type="dxa"/>
              <w:bottom w:w="20" w:type="dxa"/>
              <w:right w:w="20" w:type="dxa"/>
            </w:tcMar>
            <w:vAlign w:val="center"/>
          </w:tcPr>
          <w:p w14:paraId="7402447A" w14:textId="022E5C14" w:rsidR="00B975E1" w:rsidRPr="000D67C6" w:rsidRDefault="00B975E1" w:rsidP="00B975E1">
            <w:pPr>
              <w:pStyle w:val="T1TableStyle"/>
              <w:rPr>
                <w:rFonts w:ascii="Arial" w:eastAsia="Verdana" w:hAnsi="Arial" w:cs="Arial"/>
                <w:sz w:val="22"/>
                <w:szCs w:val="22"/>
                <w:lang w:val="en-GB"/>
              </w:rPr>
            </w:pPr>
            <w:r w:rsidRPr="000D67C6">
              <w:rPr>
                <w:rFonts w:ascii="Arial" w:eastAsia="Verdana" w:hAnsi="Arial" w:cs="Arial"/>
                <w:sz w:val="22"/>
                <w:szCs w:val="22"/>
                <w:lang w:val="en-GB"/>
              </w:rPr>
              <w:t>Creditors</w:t>
            </w:r>
          </w:p>
        </w:tc>
        <w:tc>
          <w:tcPr>
            <w:tcW w:w="1134" w:type="dxa"/>
            <w:tcBorders>
              <w:bottom w:val="single" w:sz="12" w:space="0" w:color="auto"/>
            </w:tcBorders>
            <w:shd w:val="clear" w:color="auto" w:fill="auto"/>
            <w:tcMar>
              <w:top w:w="20" w:type="dxa"/>
              <w:left w:w="20" w:type="dxa"/>
              <w:bottom w:w="20" w:type="dxa"/>
              <w:right w:w="20" w:type="dxa"/>
            </w:tcMar>
            <w:vAlign w:val="center"/>
          </w:tcPr>
          <w:p w14:paraId="1609E5F9" w14:textId="77777777" w:rsidR="00B975E1" w:rsidRPr="000D67C6" w:rsidRDefault="00B975E1" w:rsidP="00B975E1">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8" w:type="dxa"/>
            <w:tcBorders>
              <w:bottom w:val="single" w:sz="12" w:space="0" w:color="auto"/>
            </w:tcBorders>
            <w:shd w:val="clear" w:color="auto" w:fill="auto"/>
            <w:tcMar>
              <w:top w:w="20" w:type="dxa"/>
              <w:left w:w="20" w:type="dxa"/>
              <w:bottom w:w="20" w:type="dxa"/>
              <w:right w:w="20" w:type="dxa"/>
            </w:tcMar>
            <w:vAlign w:val="center"/>
          </w:tcPr>
          <w:p w14:paraId="14C8396E" w14:textId="77777777" w:rsidR="00B975E1" w:rsidRPr="000D67C6" w:rsidRDefault="00B975E1" w:rsidP="00B975E1">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tcBorders>
              <w:bottom w:val="single" w:sz="12" w:space="0" w:color="auto"/>
            </w:tcBorders>
            <w:shd w:val="clear" w:color="auto" w:fill="auto"/>
            <w:tcMar>
              <w:top w:w="20" w:type="dxa"/>
              <w:left w:w="20" w:type="dxa"/>
              <w:bottom w:w="20" w:type="dxa"/>
              <w:right w:w="20" w:type="dxa"/>
            </w:tcMar>
            <w:vAlign w:val="center"/>
          </w:tcPr>
          <w:p w14:paraId="604FFEBC" w14:textId="77777777" w:rsidR="00B975E1" w:rsidRPr="000D67C6" w:rsidRDefault="00B975E1" w:rsidP="00B975E1">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(5,956)</w:t>
            </w:r>
          </w:p>
        </w:tc>
        <w:tc>
          <w:tcPr>
            <w:tcW w:w="1418" w:type="dxa"/>
            <w:tcBorders>
              <w:bottom w:val="single" w:sz="12" w:space="0" w:color="auto"/>
            </w:tcBorders>
            <w:shd w:val="clear" w:color="auto" w:fill="auto"/>
            <w:tcMar>
              <w:top w:w="20" w:type="dxa"/>
              <w:left w:w="20" w:type="dxa"/>
              <w:bottom w:w="20" w:type="dxa"/>
              <w:right w:w="20" w:type="dxa"/>
            </w:tcMar>
            <w:vAlign w:val="center"/>
          </w:tcPr>
          <w:p w14:paraId="77EC60F6" w14:textId="1E9269E9" w:rsidR="00B975E1" w:rsidRPr="000D67C6" w:rsidRDefault="00B975E1" w:rsidP="00B975E1">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(4,876)</w:t>
            </w:r>
          </w:p>
        </w:tc>
      </w:tr>
    </w:tbl>
    <w:p w14:paraId="302628F6" w14:textId="77777777" w:rsidR="00FF4FD2" w:rsidRPr="000D67C6" w:rsidRDefault="00FF4FD2">
      <w:pPr>
        <w:pStyle w:val="T1TableStyle"/>
        <w:rPr>
          <w:rFonts w:ascii="Arial" w:eastAsia="Calibri" w:hAnsi="Arial" w:cs="Arial"/>
          <w:szCs w:val="22"/>
          <w:lang w:val="en-GB"/>
        </w:rPr>
      </w:pPr>
    </w:p>
    <w:p w14:paraId="2779C393" w14:textId="7FB36FF1" w:rsidR="000C3B81" w:rsidRPr="000D67C6" w:rsidRDefault="00A17DE8" w:rsidP="00EF0A95">
      <w:pPr>
        <w:rPr>
          <w:rFonts w:ascii="Arial" w:hAnsi="Arial" w:cs="Arial"/>
          <w:sz w:val="22"/>
          <w:szCs w:val="22"/>
          <w:lang w:val="pt-BR"/>
        </w:rPr>
      </w:pPr>
      <w:r w:rsidRPr="000D67C6">
        <w:rPr>
          <w:rFonts w:ascii="Arial" w:hAnsi="Arial" w:cs="Arial"/>
          <w:sz w:val="22"/>
          <w:szCs w:val="22"/>
          <w:lang w:val="pt-BR"/>
        </w:rPr>
        <w:t xml:space="preserve">* The Authority adopted IFRS 9 with effect from 1st April 2018. </w:t>
      </w:r>
      <w:r w:rsidR="00241E54" w:rsidRPr="000D67C6">
        <w:rPr>
          <w:rFonts w:ascii="Arial" w:hAnsi="Arial" w:cs="Arial"/>
          <w:sz w:val="22"/>
          <w:szCs w:val="22"/>
          <w:lang w:val="pt-BR"/>
        </w:rPr>
        <w:t>Financial Instruments</w:t>
      </w:r>
      <w:r w:rsidR="00E16E56" w:rsidRPr="000D67C6">
        <w:rPr>
          <w:rFonts w:ascii="Arial" w:hAnsi="Arial" w:cs="Arial"/>
          <w:sz w:val="22"/>
          <w:szCs w:val="22"/>
          <w:lang w:val="pt-BR"/>
        </w:rPr>
        <w:t xml:space="preserve">’ </w:t>
      </w:r>
      <w:r w:rsidR="00241E54" w:rsidRPr="000D67C6">
        <w:rPr>
          <w:rFonts w:ascii="Arial" w:hAnsi="Arial" w:cs="Arial"/>
          <w:sz w:val="22"/>
          <w:szCs w:val="22"/>
          <w:lang w:val="pt-BR"/>
        </w:rPr>
        <w:t>classsification</w:t>
      </w:r>
      <w:r w:rsidR="00840B9B" w:rsidRPr="000D67C6">
        <w:rPr>
          <w:rFonts w:ascii="Arial" w:hAnsi="Arial" w:cs="Arial"/>
          <w:sz w:val="22"/>
          <w:szCs w:val="22"/>
          <w:lang w:val="pt-BR"/>
        </w:rPr>
        <w:t xml:space="preserve"> and presentation ha</w:t>
      </w:r>
      <w:r w:rsidR="00E16E56" w:rsidRPr="000D67C6">
        <w:rPr>
          <w:rFonts w:ascii="Arial" w:hAnsi="Arial" w:cs="Arial"/>
          <w:sz w:val="22"/>
          <w:szCs w:val="22"/>
          <w:lang w:val="pt-BR"/>
        </w:rPr>
        <w:t>ve</w:t>
      </w:r>
      <w:r w:rsidR="00840B9B" w:rsidRPr="000D67C6">
        <w:rPr>
          <w:rFonts w:ascii="Arial" w:hAnsi="Arial" w:cs="Arial"/>
          <w:sz w:val="22"/>
          <w:szCs w:val="22"/>
          <w:lang w:val="pt-BR"/>
        </w:rPr>
        <w:t xml:space="preserve"> been amended accordingly.</w:t>
      </w:r>
    </w:p>
    <w:p w14:paraId="42FE28A7" w14:textId="77777777" w:rsidR="00B320F2" w:rsidRPr="000D67C6" w:rsidRDefault="00B320F2">
      <w:pPr>
        <w:pStyle w:val="T1TableStyle"/>
        <w:rPr>
          <w:rFonts w:ascii="Arial" w:eastAsia="Calibri" w:hAnsi="Arial" w:cs="Arial"/>
          <w:szCs w:val="22"/>
          <w:lang w:val="en-GB"/>
        </w:rPr>
      </w:pPr>
    </w:p>
    <w:tbl>
      <w:tblPr>
        <w:tblW w:w="9274" w:type="dxa"/>
        <w:tblLayout w:type="fixed"/>
        <w:tblLook w:val="04A0" w:firstRow="1" w:lastRow="0" w:firstColumn="1" w:lastColumn="0" w:noHBand="0" w:noVBand="1"/>
      </w:tblPr>
      <w:tblGrid>
        <w:gridCol w:w="3261"/>
        <w:gridCol w:w="1559"/>
        <w:gridCol w:w="1417"/>
        <w:gridCol w:w="1560"/>
        <w:gridCol w:w="1417"/>
        <w:gridCol w:w="60"/>
      </w:tblGrid>
      <w:tr w:rsidR="00154F99" w:rsidRPr="000D67C6" w14:paraId="4B5701E6" w14:textId="77777777" w:rsidTr="00154F99">
        <w:trPr>
          <w:trHeight w:val="315"/>
        </w:trPr>
        <w:tc>
          <w:tcPr>
            <w:tcW w:w="9214" w:type="dxa"/>
            <w:gridSpan w:val="5"/>
            <w:shd w:val="clear" w:color="auto" w:fill="auto"/>
            <w:tcMar>
              <w:top w:w="20" w:type="dxa"/>
              <w:left w:w="20" w:type="dxa"/>
              <w:bottom w:w="20" w:type="dxa"/>
              <w:right w:w="20" w:type="dxa"/>
            </w:tcMar>
          </w:tcPr>
          <w:p w14:paraId="2B6A6CDB" w14:textId="77777777" w:rsidR="00154F99" w:rsidRPr="000D67C6" w:rsidRDefault="00154F99" w:rsidP="007A68D3">
            <w:pPr>
              <w:pStyle w:val="T1TableStyle"/>
              <w:rPr>
                <w:rFonts w:ascii="Arial" w:eastAsia="Verdana" w:hAnsi="Arial" w:cs="Arial"/>
                <w:b/>
                <w:sz w:val="22"/>
                <w:szCs w:val="22"/>
                <w:lang w:val="en-GB"/>
              </w:rPr>
            </w:pPr>
          </w:p>
          <w:p w14:paraId="2CDECD66" w14:textId="77777777" w:rsidR="00154F99" w:rsidRPr="000D67C6" w:rsidRDefault="00154F99" w:rsidP="007A68D3">
            <w:pPr>
              <w:pStyle w:val="T1TableStyle"/>
              <w:rPr>
                <w:rFonts w:ascii="Arial" w:eastAsia="Verdana" w:hAnsi="Arial" w:cs="Arial"/>
                <w:b/>
                <w:sz w:val="22"/>
                <w:szCs w:val="22"/>
                <w:lang w:val="en-GB"/>
              </w:rPr>
            </w:pPr>
            <w:r w:rsidRPr="000D67C6">
              <w:rPr>
                <w:rFonts w:ascii="Arial" w:eastAsia="Verdana" w:hAnsi="Arial" w:cs="Arial"/>
                <w:b/>
                <w:sz w:val="22"/>
                <w:szCs w:val="22"/>
                <w:lang w:val="en-GB"/>
              </w:rPr>
              <w:t>Income, Expense, Gains and Losses</w:t>
            </w:r>
          </w:p>
        </w:tc>
        <w:tc>
          <w:tcPr>
            <w:tcW w:w="60" w:type="dxa"/>
            <w:shd w:val="clear" w:color="auto" w:fill="auto"/>
            <w:tcMar>
              <w:top w:w="20" w:type="dxa"/>
              <w:left w:w="20" w:type="dxa"/>
              <w:bottom w:w="20" w:type="dxa"/>
              <w:right w:w="20" w:type="dxa"/>
            </w:tcMar>
          </w:tcPr>
          <w:p w14:paraId="7A7A9299" w14:textId="77777777" w:rsidR="00154F99" w:rsidRPr="000D67C6" w:rsidRDefault="00154F99" w:rsidP="007A68D3">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r>
      <w:tr w:rsidR="00154F99" w:rsidRPr="000D67C6" w14:paraId="29A3ED32" w14:textId="77777777" w:rsidTr="00C52060">
        <w:trPr>
          <w:trHeight w:val="393"/>
        </w:trPr>
        <w:tc>
          <w:tcPr>
            <w:tcW w:w="3261" w:type="dxa"/>
            <w:shd w:val="clear" w:color="auto" w:fill="auto"/>
            <w:tcMar>
              <w:top w:w="20" w:type="dxa"/>
              <w:left w:w="20" w:type="dxa"/>
              <w:bottom w:w="20" w:type="dxa"/>
              <w:right w:w="20" w:type="dxa"/>
            </w:tcMar>
          </w:tcPr>
          <w:p w14:paraId="63F0BA61" w14:textId="77777777" w:rsidR="00154F99" w:rsidRPr="000D67C6" w:rsidRDefault="00154F99" w:rsidP="00154F99">
            <w:pPr>
              <w:pStyle w:val="T1TableStyle"/>
              <w:jc w:val="right"/>
              <w:rPr>
                <w:rFonts w:ascii="Arial" w:eastAsia="Verdana" w:hAnsi="Arial" w:cs="Arial"/>
                <w:sz w:val="22"/>
                <w:szCs w:val="22"/>
                <w:lang w:val="en-GB"/>
              </w:rPr>
            </w:pPr>
          </w:p>
        </w:tc>
        <w:tc>
          <w:tcPr>
            <w:tcW w:w="2976" w:type="dxa"/>
            <w:gridSpan w:val="2"/>
            <w:shd w:val="clear" w:color="auto" w:fill="auto"/>
            <w:tcMar>
              <w:top w:w="20" w:type="dxa"/>
              <w:left w:w="20" w:type="dxa"/>
              <w:bottom w:w="20" w:type="dxa"/>
              <w:right w:w="20" w:type="dxa"/>
            </w:tcMar>
            <w:vAlign w:val="bottom"/>
          </w:tcPr>
          <w:p w14:paraId="252B15AC" w14:textId="77777777" w:rsidR="00154F99" w:rsidRPr="000D67C6" w:rsidRDefault="009D6E5A" w:rsidP="00154F99">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790DD4"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790DD4" w:rsidRPr="000D67C6">
              <w:rPr>
                <w:rFonts w:ascii="Arial" w:eastAsia="Verdana" w:hAnsi="Arial" w:cs="Arial"/>
                <w:b/>
                <w:sz w:val="22"/>
                <w:szCs w:val="22"/>
                <w:lang w:val="en-GB"/>
              </w:rPr>
              <w:t>8</w:t>
            </w:r>
          </w:p>
        </w:tc>
        <w:tc>
          <w:tcPr>
            <w:tcW w:w="2977" w:type="dxa"/>
            <w:gridSpan w:val="2"/>
            <w:shd w:val="clear" w:color="auto" w:fill="auto"/>
            <w:tcMar>
              <w:top w:w="20" w:type="dxa"/>
              <w:left w:w="20" w:type="dxa"/>
              <w:bottom w:w="20" w:type="dxa"/>
              <w:right w:w="20" w:type="dxa"/>
            </w:tcMar>
            <w:vAlign w:val="bottom"/>
          </w:tcPr>
          <w:p w14:paraId="00EB39AF" w14:textId="77777777" w:rsidR="00154F99" w:rsidRPr="000D67C6" w:rsidRDefault="009D6E5A" w:rsidP="00154F99">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790DD4"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790DD4" w:rsidRPr="000D67C6">
              <w:rPr>
                <w:rFonts w:ascii="Arial" w:eastAsia="Verdana" w:hAnsi="Arial" w:cs="Arial"/>
                <w:b/>
                <w:sz w:val="22"/>
                <w:szCs w:val="22"/>
                <w:lang w:val="en-GB"/>
              </w:rPr>
              <w:t>9</w:t>
            </w:r>
          </w:p>
        </w:tc>
        <w:tc>
          <w:tcPr>
            <w:tcW w:w="60" w:type="dxa"/>
            <w:shd w:val="clear" w:color="auto" w:fill="auto"/>
            <w:tcMar>
              <w:top w:w="20" w:type="dxa"/>
              <w:left w:w="20" w:type="dxa"/>
              <w:bottom w:w="20" w:type="dxa"/>
              <w:right w:w="20" w:type="dxa"/>
            </w:tcMar>
            <w:vAlign w:val="bottom"/>
          </w:tcPr>
          <w:p w14:paraId="5B10AC04" w14:textId="77777777" w:rsidR="00154F99" w:rsidRPr="000D67C6" w:rsidRDefault="00154F99" w:rsidP="00154F99">
            <w:pPr>
              <w:pStyle w:val="T1TableStyle"/>
              <w:jc w:val="right"/>
              <w:rPr>
                <w:rFonts w:ascii="Arial" w:eastAsia="Verdana" w:hAnsi="Arial" w:cs="Arial"/>
                <w:b/>
                <w:sz w:val="22"/>
                <w:szCs w:val="22"/>
                <w:lang w:val="en-GB"/>
              </w:rPr>
            </w:pPr>
          </w:p>
        </w:tc>
      </w:tr>
      <w:tr w:rsidR="00154F99" w:rsidRPr="000D67C6" w14:paraId="5CD714B0" w14:textId="77777777" w:rsidTr="00C52060">
        <w:trPr>
          <w:gridAfter w:val="1"/>
          <w:wAfter w:w="60" w:type="dxa"/>
          <w:trHeight w:val="983"/>
        </w:trPr>
        <w:tc>
          <w:tcPr>
            <w:tcW w:w="3261" w:type="dxa"/>
            <w:shd w:val="clear" w:color="auto" w:fill="auto"/>
            <w:tcMar>
              <w:top w:w="20" w:type="dxa"/>
              <w:left w:w="20" w:type="dxa"/>
              <w:bottom w:w="20" w:type="dxa"/>
              <w:right w:w="20" w:type="dxa"/>
            </w:tcMar>
          </w:tcPr>
          <w:p w14:paraId="10CF7102" w14:textId="77777777" w:rsidR="00154F99" w:rsidRPr="000D67C6" w:rsidRDefault="00154F99" w:rsidP="00154F9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559" w:type="dxa"/>
            <w:shd w:val="clear" w:color="auto" w:fill="auto"/>
            <w:tcMar>
              <w:top w:w="20" w:type="dxa"/>
              <w:left w:w="20" w:type="dxa"/>
              <w:bottom w:w="20" w:type="dxa"/>
              <w:right w:w="20" w:type="dxa"/>
            </w:tcMar>
            <w:vAlign w:val="bottom"/>
          </w:tcPr>
          <w:p w14:paraId="012F050A" w14:textId="77777777" w:rsidR="00154F99" w:rsidRPr="000D67C6" w:rsidRDefault="00154F99" w:rsidP="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Financial Liabilities measured at amortised cost</w:t>
            </w:r>
          </w:p>
        </w:tc>
        <w:tc>
          <w:tcPr>
            <w:tcW w:w="1417" w:type="dxa"/>
            <w:shd w:val="clear" w:color="auto" w:fill="auto"/>
            <w:tcMar>
              <w:top w:w="20" w:type="dxa"/>
              <w:left w:w="20" w:type="dxa"/>
              <w:bottom w:w="20" w:type="dxa"/>
              <w:right w:w="20" w:type="dxa"/>
            </w:tcMar>
            <w:vAlign w:val="bottom"/>
          </w:tcPr>
          <w:p w14:paraId="6A56389E" w14:textId="638813BD" w:rsidR="00154F99" w:rsidRPr="000D67C6" w:rsidRDefault="00154F99" w:rsidP="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Financial Assets</w:t>
            </w:r>
            <w:r w:rsidR="005C08C5" w:rsidRPr="000D67C6">
              <w:rPr>
                <w:rFonts w:ascii="Arial" w:eastAsia="Verdana" w:hAnsi="Arial" w:cs="Arial"/>
                <w:b/>
                <w:sz w:val="22"/>
                <w:szCs w:val="22"/>
                <w:lang w:val="en-GB"/>
              </w:rPr>
              <w:t xml:space="preserve"> measured at amortised cost</w:t>
            </w:r>
          </w:p>
        </w:tc>
        <w:tc>
          <w:tcPr>
            <w:tcW w:w="1560" w:type="dxa"/>
            <w:shd w:val="clear" w:color="auto" w:fill="auto"/>
            <w:tcMar>
              <w:top w:w="20" w:type="dxa"/>
              <w:left w:w="20" w:type="dxa"/>
              <w:bottom w:w="20" w:type="dxa"/>
              <w:right w:w="20" w:type="dxa"/>
            </w:tcMar>
            <w:vAlign w:val="bottom"/>
          </w:tcPr>
          <w:p w14:paraId="08C70304" w14:textId="77777777" w:rsidR="00154F99" w:rsidRPr="000D67C6" w:rsidRDefault="00154F99" w:rsidP="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Financial Liabilities measured at amortised cost</w:t>
            </w:r>
          </w:p>
        </w:tc>
        <w:tc>
          <w:tcPr>
            <w:tcW w:w="1417" w:type="dxa"/>
            <w:shd w:val="clear" w:color="auto" w:fill="auto"/>
            <w:tcMar>
              <w:top w:w="20" w:type="dxa"/>
              <w:left w:w="20" w:type="dxa"/>
              <w:bottom w:w="20" w:type="dxa"/>
              <w:right w:w="20" w:type="dxa"/>
            </w:tcMar>
            <w:vAlign w:val="bottom"/>
          </w:tcPr>
          <w:p w14:paraId="75BFDEE6" w14:textId="248642E4" w:rsidR="00154F99" w:rsidRPr="000D67C6" w:rsidRDefault="00154F99" w:rsidP="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Financial Assets</w:t>
            </w:r>
            <w:r w:rsidR="005C08C5" w:rsidRPr="000D67C6">
              <w:rPr>
                <w:rFonts w:ascii="Arial" w:eastAsia="Verdana" w:hAnsi="Arial" w:cs="Arial"/>
                <w:b/>
                <w:sz w:val="22"/>
                <w:szCs w:val="22"/>
                <w:lang w:val="en-GB"/>
              </w:rPr>
              <w:t xml:space="preserve"> measured at amortised cost</w:t>
            </w:r>
          </w:p>
        </w:tc>
      </w:tr>
      <w:tr w:rsidR="00154F99" w:rsidRPr="000D67C6" w14:paraId="76CA4350" w14:textId="77777777" w:rsidTr="00C52060">
        <w:trPr>
          <w:gridAfter w:val="1"/>
          <w:wAfter w:w="60" w:type="dxa"/>
          <w:trHeight w:val="255"/>
        </w:trPr>
        <w:tc>
          <w:tcPr>
            <w:tcW w:w="3261" w:type="dxa"/>
            <w:shd w:val="clear" w:color="auto" w:fill="auto"/>
            <w:tcMar>
              <w:top w:w="20" w:type="dxa"/>
              <w:left w:w="20" w:type="dxa"/>
              <w:bottom w:w="20" w:type="dxa"/>
              <w:right w:w="20" w:type="dxa"/>
            </w:tcMar>
          </w:tcPr>
          <w:p w14:paraId="42419CF2" w14:textId="77777777" w:rsidR="00154F99" w:rsidRPr="000D67C6" w:rsidRDefault="00154F9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6A2ED72A" w14:textId="77777777" w:rsidR="00154F99" w:rsidRPr="000D67C6" w:rsidRDefault="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7" w:type="dxa"/>
            <w:tcBorders>
              <w:bottom w:val="single" w:sz="2" w:space="0" w:color="000000"/>
            </w:tcBorders>
            <w:shd w:val="clear" w:color="auto" w:fill="auto"/>
            <w:tcMar>
              <w:top w:w="20" w:type="dxa"/>
              <w:left w:w="20" w:type="dxa"/>
              <w:bottom w:w="20" w:type="dxa"/>
              <w:right w:w="20" w:type="dxa"/>
            </w:tcMar>
          </w:tcPr>
          <w:p w14:paraId="22014BA3" w14:textId="77777777" w:rsidR="00154F99" w:rsidRPr="000D67C6" w:rsidRDefault="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560" w:type="dxa"/>
            <w:tcBorders>
              <w:bottom w:val="single" w:sz="2" w:space="0" w:color="000000"/>
            </w:tcBorders>
            <w:shd w:val="clear" w:color="auto" w:fill="auto"/>
            <w:tcMar>
              <w:top w:w="20" w:type="dxa"/>
              <w:left w:w="20" w:type="dxa"/>
              <w:bottom w:w="20" w:type="dxa"/>
              <w:right w:w="20" w:type="dxa"/>
            </w:tcMar>
          </w:tcPr>
          <w:p w14:paraId="26BF7CD7" w14:textId="77777777" w:rsidR="00154F99" w:rsidRPr="000D67C6" w:rsidRDefault="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7" w:type="dxa"/>
            <w:tcBorders>
              <w:bottom w:val="single" w:sz="2" w:space="0" w:color="000000"/>
            </w:tcBorders>
            <w:shd w:val="clear" w:color="auto" w:fill="auto"/>
            <w:tcMar>
              <w:top w:w="20" w:type="dxa"/>
              <w:left w:w="20" w:type="dxa"/>
              <w:bottom w:w="20" w:type="dxa"/>
              <w:right w:w="20" w:type="dxa"/>
            </w:tcMar>
          </w:tcPr>
          <w:p w14:paraId="1B2508AB" w14:textId="77777777" w:rsidR="00154F99" w:rsidRPr="000D67C6" w:rsidRDefault="00154F9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154F99" w:rsidRPr="000D67C6" w14:paraId="04765178" w14:textId="77777777" w:rsidTr="00C52060">
        <w:trPr>
          <w:gridAfter w:val="1"/>
          <w:wAfter w:w="60" w:type="dxa"/>
          <w:trHeight w:val="255"/>
        </w:trPr>
        <w:tc>
          <w:tcPr>
            <w:tcW w:w="3261" w:type="dxa"/>
            <w:shd w:val="clear" w:color="auto" w:fill="auto"/>
            <w:tcMar>
              <w:top w:w="20" w:type="dxa"/>
              <w:left w:w="20" w:type="dxa"/>
              <w:bottom w:w="20" w:type="dxa"/>
              <w:right w:w="20" w:type="dxa"/>
            </w:tcMar>
          </w:tcPr>
          <w:p w14:paraId="488540EF" w14:textId="77777777" w:rsidR="00154F99" w:rsidRPr="000D67C6" w:rsidRDefault="00154F99">
            <w:pPr>
              <w:pStyle w:val="T1TableStyle"/>
              <w:jc w:val="center"/>
              <w:rPr>
                <w:rFonts w:ascii="Arial" w:eastAsia="Verdana" w:hAnsi="Arial" w:cs="Arial"/>
                <w:sz w:val="22"/>
                <w:szCs w:val="22"/>
                <w:lang w:val="en-GB"/>
              </w:rPr>
            </w:pPr>
          </w:p>
        </w:tc>
        <w:tc>
          <w:tcPr>
            <w:tcW w:w="1559" w:type="dxa"/>
            <w:tcBorders>
              <w:bottom w:val="single" w:sz="2" w:space="0" w:color="000000"/>
            </w:tcBorders>
            <w:shd w:val="clear" w:color="auto" w:fill="auto"/>
            <w:tcMar>
              <w:top w:w="20" w:type="dxa"/>
              <w:left w:w="20" w:type="dxa"/>
              <w:bottom w:w="20" w:type="dxa"/>
              <w:right w:w="20" w:type="dxa"/>
            </w:tcMar>
          </w:tcPr>
          <w:p w14:paraId="3B18E7D1" w14:textId="77777777" w:rsidR="00154F99" w:rsidRPr="000D67C6" w:rsidRDefault="00154F99">
            <w:pPr>
              <w:pStyle w:val="T1TableStyle"/>
              <w:jc w:val="right"/>
              <w:rPr>
                <w:rFonts w:ascii="Arial" w:eastAsia="Verdana" w:hAnsi="Arial" w:cs="Arial"/>
                <w:b/>
                <w:sz w:val="22"/>
                <w:szCs w:val="22"/>
                <w:lang w:val="en-GB"/>
              </w:rPr>
            </w:pPr>
          </w:p>
        </w:tc>
        <w:tc>
          <w:tcPr>
            <w:tcW w:w="1417" w:type="dxa"/>
            <w:tcBorders>
              <w:bottom w:val="single" w:sz="2" w:space="0" w:color="000000"/>
            </w:tcBorders>
            <w:shd w:val="clear" w:color="auto" w:fill="auto"/>
            <w:tcMar>
              <w:top w:w="20" w:type="dxa"/>
              <w:left w:w="20" w:type="dxa"/>
              <w:bottom w:w="20" w:type="dxa"/>
              <w:right w:w="20" w:type="dxa"/>
            </w:tcMar>
          </w:tcPr>
          <w:p w14:paraId="45821258" w14:textId="77777777" w:rsidR="00154F99" w:rsidRPr="000D67C6" w:rsidRDefault="00154F99">
            <w:pPr>
              <w:pStyle w:val="T1TableStyle"/>
              <w:jc w:val="right"/>
              <w:rPr>
                <w:rFonts w:ascii="Arial" w:eastAsia="Verdana" w:hAnsi="Arial" w:cs="Arial"/>
                <w:b/>
                <w:sz w:val="22"/>
                <w:szCs w:val="22"/>
                <w:lang w:val="en-GB"/>
              </w:rPr>
            </w:pPr>
          </w:p>
        </w:tc>
        <w:tc>
          <w:tcPr>
            <w:tcW w:w="1560" w:type="dxa"/>
            <w:tcBorders>
              <w:bottom w:val="single" w:sz="2" w:space="0" w:color="000000"/>
            </w:tcBorders>
            <w:shd w:val="clear" w:color="auto" w:fill="auto"/>
            <w:tcMar>
              <w:top w:w="20" w:type="dxa"/>
              <w:left w:w="20" w:type="dxa"/>
              <w:bottom w:w="20" w:type="dxa"/>
              <w:right w:w="20" w:type="dxa"/>
            </w:tcMar>
          </w:tcPr>
          <w:p w14:paraId="2A069682" w14:textId="77777777" w:rsidR="00154F99" w:rsidRPr="000D67C6" w:rsidRDefault="00154F99">
            <w:pPr>
              <w:pStyle w:val="T1TableStyle"/>
              <w:jc w:val="right"/>
              <w:rPr>
                <w:rFonts w:ascii="Arial" w:eastAsia="Verdana" w:hAnsi="Arial" w:cs="Arial"/>
                <w:b/>
                <w:sz w:val="22"/>
                <w:szCs w:val="22"/>
                <w:lang w:val="en-GB"/>
              </w:rPr>
            </w:pPr>
          </w:p>
        </w:tc>
        <w:tc>
          <w:tcPr>
            <w:tcW w:w="1417" w:type="dxa"/>
            <w:tcBorders>
              <w:bottom w:val="single" w:sz="2" w:space="0" w:color="000000"/>
            </w:tcBorders>
            <w:shd w:val="clear" w:color="auto" w:fill="auto"/>
            <w:tcMar>
              <w:top w:w="20" w:type="dxa"/>
              <w:left w:w="20" w:type="dxa"/>
              <w:bottom w:w="20" w:type="dxa"/>
              <w:right w:w="20" w:type="dxa"/>
            </w:tcMar>
          </w:tcPr>
          <w:p w14:paraId="59C8B937" w14:textId="77777777" w:rsidR="00154F99" w:rsidRPr="000D67C6" w:rsidRDefault="00154F99">
            <w:pPr>
              <w:pStyle w:val="T1TableStyle"/>
              <w:jc w:val="right"/>
              <w:rPr>
                <w:rFonts w:ascii="Arial" w:eastAsia="Verdana" w:hAnsi="Arial" w:cs="Arial"/>
                <w:b/>
                <w:sz w:val="22"/>
                <w:szCs w:val="22"/>
                <w:lang w:val="en-GB"/>
              </w:rPr>
            </w:pPr>
          </w:p>
        </w:tc>
      </w:tr>
      <w:tr w:rsidR="00790DD4" w:rsidRPr="000D67C6" w14:paraId="49EBB254" w14:textId="77777777" w:rsidTr="00447D17">
        <w:trPr>
          <w:gridAfter w:val="1"/>
          <w:wAfter w:w="60" w:type="dxa"/>
          <w:trHeight w:val="339"/>
        </w:trPr>
        <w:tc>
          <w:tcPr>
            <w:tcW w:w="3261" w:type="dxa"/>
            <w:shd w:val="clear" w:color="auto" w:fill="auto"/>
            <w:tcMar>
              <w:top w:w="20" w:type="dxa"/>
              <w:left w:w="20" w:type="dxa"/>
              <w:bottom w:w="20" w:type="dxa"/>
              <w:right w:w="20" w:type="dxa"/>
            </w:tcMar>
          </w:tcPr>
          <w:p w14:paraId="4A201DF1"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Interest expense</w:t>
            </w:r>
          </w:p>
        </w:tc>
        <w:tc>
          <w:tcPr>
            <w:tcW w:w="1559" w:type="dxa"/>
            <w:shd w:val="clear" w:color="auto" w:fill="auto"/>
            <w:tcMar>
              <w:top w:w="20" w:type="dxa"/>
              <w:left w:w="20" w:type="dxa"/>
              <w:bottom w:w="20" w:type="dxa"/>
              <w:right w:w="20" w:type="dxa"/>
            </w:tcMar>
          </w:tcPr>
          <w:p w14:paraId="4D298CFA"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774</w:t>
            </w:r>
          </w:p>
        </w:tc>
        <w:tc>
          <w:tcPr>
            <w:tcW w:w="1417" w:type="dxa"/>
            <w:shd w:val="clear" w:color="auto" w:fill="auto"/>
            <w:tcMar>
              <w:top w:w="20" w:type="dxa"/>
              <w:left w:w="20" w:type="dxa"/>
              <w:bottom w:w="20" w:type="dxa"/>
              <w:right w:w="20" w:type="dxa"/>
            </w:tcMar>
          </w:tcPr>
          <w:p w14:paraId="4E123846"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560" w:type="dxa"/>
            <w:shd w:val="clear" w:color="auto" w:fill="auto"/>
            <w:tcMar>
              <w:top w:w="20" w:type="dxa"/>
              <w:left w:w="20" w:type="dxa"/>
              <w:bottom w:w="20" w:type="dxa"/>
              <w:right w:w="20" w:type="dxa"/>
            </w:tcMar>
          </w:tcPr>
          <w:p w14:paraId="2C05AD06" w14:textId="77777777" w:rsidR="00790DD4" w:rsidRPr="000D67C6" w:rsidRDefault="00997DB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746</w:t>
            </w:r>
          </w:p>
        </w:tc>
        <w:tc>
          <w:tcPr>
            <w:tcW w:w="1417" w:type="dxa"/>
            <w:shd w:val="clear" w:color="auto" w:fill="auto"/>
            <w:tcMar>
              <w:top w:w="20" w:type="dxa"/>
              <w:left w:w="20" w:type="dxa"/>
              <w:bottom w:w="20" w:type="dxa"/>
              <w:right w:w="20" w:type="dxa"/>
            </w:tcMar>
          </w:tcPr>
          <w:p w14:paraId="70CB7F9E" w14:textId="77777777" w:rsidR="00790DD4" w:rsidRPr="000D67C6" w:rsidRDefault="00997DB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790DD4" w:rsidRPr="000D67C6" w14:paraId="27992C33" w14:textId="77777777" w:rsidTr="00C52060">
        <w:trPr>
          <w:gridAfter w:val="1"/>
          <w:wAfter w:w="60" w:type="dxa"/>
          <w:trHeight w:val="673"/>
        </w:trPr>
        <w:tc>
          <w:tcPr>
            <w:tcW w:w="3261" w:type="dxa"/>
            <w:shd w:val="clear" w:color="auto" w:fill="auto"/>
            <w:tcMar>
              <w:top w:w="20" w:type="dxa"/>
              <w:left w:w="20" w:type="dxa"/>
              <w:bottom w:w="20" w:type="dxa"/>
              <w:right w:w="20" w:type="dxa"/>
            </w:tcMar>
          </w:tcPr>
          <w:p w14:paraId="722529F0"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expense in Surplus or Deficit on the Provision of Services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30DE13D3" w14:textId="77777777" w:rsidR="0098151A" w:rsidRPr="000D67C6" w:rsidRDefault="0098151A" w:rsidP="00790DD4">
            <w:pPr>
              <w:pStyle w:val="T1TableStyle"/>
              <w:jc w:val="right"/>
              <w:rPr>
                <w:rFonts w:ascii="Arial" w:eastAsia="Verdana" w:hAnsi="Arial" w:cs="Arial"/>
                <w:b/>
                <w:sz w:val="22"/>
                <w:szCs w:val="22"/>
                <w:lang w:val="en-GB"/>
              </w:rPr>
            </w:pPr>
          </w:p>
          <w:p w14:paraId="16C6CBD5" w14:textId="68CA3848"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774</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10E33453" w14:textId="77777777" w:rsidR="0098151A" w:rsidRPr="000D67C6" w:rsidRDefault="0098151A" w:rsidP="00790DD4">
            <w:pPr>
              <w:pStyle w:val="T1TableStyle"/>
              <w:jc w:val="right"/>
              <w:rPr>
                <w:rFonts w:ascii="Arial" w:eastAsia="Verdana" w:hAnsi="Arial" w:cs="Arial"/>
                <w:b/>
                <w:sz w:val="22"/>
                <w:szCs w:val="22"/>
                <w:lang w:val="en-GB"/>
              </w:rPr>
            </w:pPr>
          </w:p>
          <w:p w14:paraId="638676BB" w14:textId="52AB4E2F"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14:paraId="791E2A38" w14:textId="77777777" w:rsidR="0098151A" w:rsidRPr="000D67C6" w:rsidRDefault="0098151A" w:rsidP="00790DD4">
            <w:pPr>
              <w:pStyle w:val="T1TableStyle"/>
              <w:jc w:val="right"/>
              <w:rPr>
                <w:rFonts w:ascii="Arial" w:eastAsia="Verdana" w:hAnsi="Arial" w:cs="Arial"/>
                <w:b/>
                <w:sz w:val="22"/>
                <w:szCs w:val="22"/>
                <w:lang w:val="en-GB"/>
              </w:rPr>
            </w:pPr>
          </w:p>
          <w:p w14:paraId="3885C14C" w14:textId="775B000F" w:rsidR="00790DD4" w:rsidRPr="000D67C6" w:rsidRDefault="00997DBF"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746</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51846536" w14:textId="77777777" w:rsidR="0098151A" w:rsidRPr="000D67C6" w:rsidRDefault="0098151A" w:rsidP="00790DD4">
            <w:pPr>
              <w:pStyle w:val="T1TableStyle"/>
              <w:jc w:val="right"/>
              <w:rPr>
                <w:rFonts w:ascii="Arial" w:eastAsia="Verdana" w:hAnsi="Arial" w:cs="Arial"/>
                <w:b/>
                <w:sz w:val="22"/>
                <w:szCs w:val="22"/>
                <w:lang w:val="en-GB"/>
              </w:rPr>
            </w:pPr>
          </w:p>
          <w:p w14:paraId="7E554085" w14:textId="1546A068" w:rsidR="00790DD4" w:rsidRPr="000D67C6" w:rsidRDefault="00997DBF"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r>
      <w:tr w:rsidR="00790DD4" w:rsidRPr="000D67C6" w14:paraId="2D73A835" w14:textId="77777777" w:rsidTr="00C52060">
        <w:trPr>
          <w:gridAfter w:val="1"/>
          <w:wAfter w:w="60" w:type="dxa"/>
          <w:trHeight w:val="349"/>
        </w:trPr>
        <w:tc>
          <w:tcPr>
            <w:tcW w:w="3261" w:type="dxa"/>
            <w:shd w:val="clear" w:color="auto" w:fill="auto"/>
            <w:tcMar>
              <w:top w:w="20" w:type="dxa"/>
              <w:left w:w="20" w:type="dxa"/>
              <w:bottom w:w="20" w:type="dxa"/>
              <w:right w:w="20" w:type="dxa"/>
            </w:tcMar>
          </w:tcPr>
          <w:p w14:paraId="3A4159FF"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Interest income</w:t>
            </w:r>
          </w:p>
        </w:tc>
        <w:tc>
          <w:tcPr>
            <w:tcW w:w="1559" w:type="dxa"/>
            <w:shd w:val="clear" w:color="auto" w:fill="auto"/>
            <w:tcMar>
              <w:top w:w="20" w:type="dxa"/>
              <w:left w:w="20" w:type="dxa"/>
              <w:bottom w:w="20" w:type="dxa"/>
              <w:right w:w="20" w:type="dxa"/>
            </w:tcMar>
          </w:tcPr>
          <w:p w14:paraId="782671B0"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shd w:val="clear" w:color="auto" w:fill="auto"/>
            <w:tcMar>
              <w:top w:w="20" w:type="dxa"/>
              <w:left w:w="20" w:type="dxa"/>
              <w:bottom w:w="20" w:type="dxa"/>
              <w:right w:w="20" w:type="dxa"/>
            </w:tcMar>
          </w:tcPr>
          <w:p w14:paraId="75E455E9"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(35)</w:t>
            </w:r>
          </w:p>
        </w:tc>
        <w:tc>
          <w:tcPr>
            <w:tcW w:w="1560" w:type="dxa"/>
            <w:shd w:val="clear" w:color="auto" w:fill="auto"/>
            <w:tcMar>
              <w:top w:w="20" w:type="dxa"/>
              <w:left w:w="20" w:type="dxa"/>
              <w:bottom w:w="20" w:type="dxa"/>
              <w:right w:w="20" w:type="dxa"/>
            </w:tcMar>
          </w:tcPr>
          <w:p w14:paraId="53C0B7EA" w14:textId="77777777" w:rsidR="00790DD4" w:rsidRPr="000D67C6" w:rsidRDefault="00997DB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shd w:val="clear" w:color="auto" w:fill="auto"/>
            <w:tcMar>
              <w:top w:w="20" w:type="dxa"/>
              <w:left w:w="20" w:type="dxa"/>
              <w:bottom w:w="20" w:type="dxa"/>
              <w:right w:w="20" w:type="dxa"/>
            </w:tcMar>
          </w:tcPr>
          <w:p w14:paraId="235C77FB" w14:textId="77777777" w:rsidR="00790DD4" w:rsidRPr="000D67C6" w:rsidRDefault="00997DBF"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(42)</w:t>
            </w:r>
          </w:p>
        </w:tc>
      </w:tr>
      <w:tr w:rsidR="00790DD4" w:rsidRPr="000D67C6" w14:paraId="548D405C" w14:textId="77777777" w:rsidTr="00C52060">
        <w:trPr>
          <w:gridAfter w:val="1"/>
          <w:wAfter w:w="60" w:type="dxa"/>
          <w:trHeight w:val="650"/>
        </w:trPr>
        <w:tc>
          <w:tcPr>
            <w:tcW w:w="3261" w:type="dxa"/>
            <w:shd w:val="clear" w:color="auto" w:fill="auto"/>
            <w:tcMar>
              <w:top w:w="20" w:type="dxa"/>
              <w:left w:w="20" w:type="dxa"/>
              <w:bottom w:w="20" w:type="dxa"/>
              <w:right w:w="20" w:type="dxa"/>
            </w:tcMar>
          </w:tcPr>
          <w:p w14:paraId="4908D2CB"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income in Surplus or Deficit on the Provision of Services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27E4959A" w14:textId="77777777" w:rsidR="0098151A" w:rsidRPr="000D67C6" w:rsidRDefault="0098151A" w:rsidP="00C70C4C">
            <w:pPr>
              <w:pStyle w:val="T1TableStyle"/>
              <w:spacing w:line="360" w:lineRule="auto"/>
              <w:jc w:val="right"/>
              <w:rPr>
                <w:rFonts w:ascii="Arial" w:eastAsia="Verdana" w:hAnsi="Arial" w:cs="Arial"/>
                <w:b/>
                <w:sz w:val="22"/>
                <w:szCs w:val="22"/>
                <w:lang w:val="en-GB"/>
              </w:rPr>
            </w:pPr>
          </w:p>
          <w:p w14:paraId="728B91E8" w14:textId="5F2BA1A1" w:rsidR="00790DD4" w:rsidRPr="000D67C6" w:rsidRDefault="00790DD4" w:rsidP="00C70C4C">
            <w:pPr>
              <w:pStyle w:val="T1TableStyle"/>
              <w:spacing w:line="360" w:lineRule="auto"/>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071A5DA9" w14:textId="77777777" w:rsidR="0098151A" w:rsidRPr="000D67C6" w:rsidRDefault="0098151A" w:rsidP="00C70C4C">
            <w:pPr>
              <w:pStyle w:val="T1TableStyle"/>
              <w:spacing w:line="360" w:lineRule="auto"/>
              <w:jc w:val="right"/>
              <w:rPr>
                <w:rFonts w:ascii="Arial" w:eastAsia="Verdana" w:hAnsi="Arial" w:cs="Arial"/>
                <w:b/>
                <w:sz w:val="22"/>
                <w:szCs w:val="22"/>
                <w:lang w:val="en-GB"/>
              </w:rPr>
            </w:pPr>
          </w:p>
          <w:p w14:paraId="6F695B27" w14:textId="074BEEF2" w:rsidR="00790DD4" w:rsidRPr="000D67C6" w:rsidRDefault="00790DD4" w:rsidP="00C70C4C">
            <w:pPr>
              <w:pStyle w:val="T1TableStyle"/>
              <w:spacing w:line="360" w:lineRule="auto"/>
              <w:jc w:val="right"/>
              <w:rPr>
                <w:rFonts w:ascii="Arial" w:eastAsia="Verdana" w:hAnsi="Arial" w:cs="Arial"/>
                <w:b/>
                <w:sz w:val="22"/>
                <w:szCs w:val="22"/>
                <w:lang w:val="en-GB"/>
              </w:rPr>
            </w:pPr>
            <w:r w:rsidRPr="000D67C6">
              <w:rPr>
                <w:rFonts w:ascii="Arial" w:eastAsia="Verdana" w:hAnsi="Arial" w:cs="Arial"/>
                <w:b/>
                <w:sz w:val="22"/>
                <w:szCs w:val="22"/>
                <w:lang w:val="en-GB"/>
              </w:rPr>
              <w:t>(35)</w:t>
            </w:r>
          </w:p>
        </w:tc>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14:paraId="0830675B" w14:textId="77777777" w:rsidR="0098151A" w:rsidRPr="000D67C6" w:rsidRDefault="0098151A" w:rsidP="00C70C4C">
            <w:pPr>
              <w:pStyle w:val="T1TableStyle"/>
              <w:spacing w:line="360" w:lineRule="auto"/>
              <w:jc w:val="right"/>
              <w:rPr>
                <w:rFonts w:ascii="Arial" w:eastAsia="Verdana" w:hAnsi="Arial" w:cs="Arial"/>
                <w:b/>
                <w:sz w:val="22"/>
                <w:szCs w:val="22"/>
                <w:lang w:val="en-GB"/>
              </w:rPr>
            </w:pPr>
          </w:p>
          <w:p w14:paraId="37DADA55" w14:textId="1987C229" w:rsidR="00790DD4" w:rsidRPr="000D67C6" w:rsidRDefault="00997DBF" w:rsidP="00C70C4C">
            <w:pPr>
              <w:pStyle w:val="T1TableStyle"/>
              <w:spacing w:line="360" w:lineRule="auto"/>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5D7A2DD9" w14:textId="77777777" w:rsidR="0098151A" w:rsidRPr="000D67C6" w:rsidRDefault="0098151A" w:rsidP="00C70C4C">
            <w:pPr>
              <w:pStyle w:val="T1TableStyle"/>
              <w:spacing w:line="360" w:lineRule="auto"/>
              <w:jc w:val="right"/>
              <w:rPr>
                <w:rFonts w:ascii="Arial" w:eastAsia="Verdana" w:hAnsi="Arial" w:cs="Arial"/>
                <w:b/>
                <w:sz w:val="22"/>
                <w:szCs w:val="22"/>
                <w:lang w:val="en-GB"/>
              </w:rPr>
            </w:pPr>
          </w:p>
          <w:p w14:paraId="61F6CFC2" w14:textId="43F9B3F9" w:rsidR="00790DD4" w:rsidRPr="000D67C6" w:rsidRDefault="00997DBF" w:rsidP="00C70C4C">
            <w:pPr>
              <w:pStyle w:val="T1TableStyle"/>
              <w:spacing w:line="360" w:lineRule="auto"/>
              <w:jc w:val="right"/>
              <w:rPr>
                <w:rFonts w:ascii="Arial" w:eastAsia="Verdana" w:hAnsi="Arial" w:cs="Arial"/>
                <w:b/>
                <w:sz w:val="22"/>
                <w:szCs w:val="22"/>
                <w:lang w:val="en-GB"/>
              </w:rPr>
            </w:pPr>
            <w:r w:rsidRPr="000D67C6">
              <w:rPr>
                <w:rFonts w:ascii="Arial" w:eastAsia="Verdana" w:hAnsi="Arial" w:cs="Arial"/>
                <w:b/>
                <w:sz w:val="22"/>
                <w:szCs w:val="22"/>
                <w:lang w:val="en-GB"/>
              </w:rPr>
              <w:t>(42)</w:t>
            </w:r>
          </w:p>
        </w:tc>
      </w:tr>
      <w:tr w:rsidR="00790DD4" w:rsidRPr="000D67C6" w14:paraId="6EE0EB45" w14:textId="77777777" w:rsidTr="00C52060">
        <w:trPr>
          <w:gridAfter w:val="1"/>
          <w:wAfter w:w="60" w:type="dxa"/>
          <w:trHeight w:val="322"/>
        </w:trPr>
        <w:tc>
          <w:tcPr>
            <w:tcW w:w="3261" w:type="dxa"/>
            <w:shd w:val="clear" w:color="auto" w:fill="auto"/>
            <w:tcMar>
              <w:top w:w="20" w:type="dxa"/>
              <w:left w:w="20" w:type="dxa"/>
              <w:bottom w:w="20" w:type="dxa"/>
              <w:right w:w="20" w:type="dxa"/>
            </w:tcMar>
          </w:tcPr>
          <w:p w14:paraId="49EADF11"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Net (gain)/loss for the year</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527C5A41"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774</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079F499B"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(35)</w:t>
            </w:r>
          </w:p>
        </w:tc>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14:paraId="04D7788F" w14:textId="77777777" w:rsidR="00790DD4" w:rsidRPr="000D67C6" w:rsidRDefault="00997DBF"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746</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14:paraId="5938B0BB" w14:textId="77777777" w:rsidR="00790DD4" w:rsidRPr="000D67C6" w:rsidRDefault="00997DBF"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(42)</w:t>
            </w:r>
          </w:p>
        </w:tc>
      </w:tr>
    </w:tbl>
    <w:p w14:paraId="5768AB48" w14:textId="77777777" w:rsidR="001A271B" w:rsidRPr="000D67C6" w:rsidRDefault="001A271B" w:rsidP="00B320F2">
      <w:pPr>
        <w:rPr>
          <w:rFonts w:ascii="Arial" w:hAnsi="Arial" w:cs="Arial"/>
          <w:sz w:val="28"/>
          <w:lang w:val="pt-BR"/>
        </w:rPr>
      </w:pPr>
      <w:r w:rsidRPr="000D67C6">
        <w:rPr>
          <w:rFonts w:ascii="Arial" w:eastAsia="Calibri" w:hAnsi="Arial" w:cs="Arial"/>
          <w:color w:val="FF0000"/>
          <w:sz w:val="22"/>
          <w:szCs w:val="22"/>
          <w:lang w:val="en-GB"/>
        </w:rPr>
        <w:br w:type="page"/>
      </w:r>
      <w:bookmarkStart w:id="3" w:name="_Hlk521667015"/>
      <w:r w:rsidRPr="000D67C6">
        <w:rPr>
          <w:rFonts w:ascii="Arial" w:hAnsi="Arial" w:cs="Arial"/>
          <w:sz w:val="28"/>
          <w:lang w:val="pt-BR"/>
        </w:rPr>
        <w:t>Financial Instruments - Fair Value</w:t>
      </w:r>
    </w:p>
    <w:p w14:paraId="657FD4C0" w14:textId="77777777" w:rsidR="00EB486D" w:rsidRPr="000D67C6" w:rsidRDefault="00EB486D" w:rsidP="00EB486D">
      <w:pPr>
        <w:rPr>
          <w:lang w:val="pt-BR"/>
        </w:rPr>
      </w:pPr>
    </w:p>
    <w:p w14:paraId="7411C3A8" w14:textId="77777777" w:rsidR="00FF7696" w:rsidRPr="000D67C6" w:rsidRDefault="00FF7696" w:rsidP="00FF7696">
      <w:pPr>
        <w:jc w:val="both"/>
        <w:rPr>
          <w:rFonts w:ascii="Arial" w:hAnsi="Arial" w:cs="Arial"/>
          <w:sz w:val="22"/>
          <w:szCs w:val="22"/>
        </w:rPr>
      </w:pPr>
      <w:r w:rsidRPr="000D67C6">
        <w:rPr>
          <w:rFonts w:ascii="Arial" w:hAnsi="Arial" w:cs="Arial"/>
          <w:sz w:val="22"/>
          <w:szCs w:val="22"/>
        </w:rPr>
        <w:t>Financial liabilities and financial assets represented by loans and receivables are carried on the Balance Sheet at amortised cost (in long-term assets/liabilities with accrued interest in current assets/liabilities).  Their fair value can be assessed by calculating the present value of the cash flows that take place over the remaining life of the instruments, using the following assumptions:</w:t>
      </w:r>
    </w:p>
    <w:p w14:paraId="688BF22C" w14:textId="77777777" w:rsidR="00FF7696" w:rsidRPr="000D67C6" w:rsidRDefault="00FF7696" w:rsidP="00FF7696">
      <w:pPr>
        <w:pStyle w:val="NormalIndent"/>
        <w:jc w:val="both"/>
        <w:rPr>
          <w:rFonts w:ascii="Arial" w:hAnsi="Arial" w:cs="Arial"/>
          <w:sz w:val="22"/>
          <w:szCs w:val="22"/>
        </w:rPr>
      </w:pPr>
    </w:p>
    <w:p w14:paraId="5BD682C9" w14:textId="17344964" w:rsidR="00FF7696" w:rsidRPr="000D67C6" w:rsidRDefault="00FF7696" w:rsidP="00C4608B">
      <w:pPr>
        <w:pStyle w:val="NormalIndent"/>
        <w:numPr>
          <w:ilvl w:val="0"/>
          <w:numId w:val="30"/>
        </w:numPr>
        <w:jc w:val="both"/>
        <w:rPr>
          <w:rFonts w:ascii="Arial" w:hAnsi="Arial" w:cs="Arial"/>
          <w:sz w:val="22"/>
          <w:szCs w:val="22"/>
        </w:rPr>
      </w:pPr>
      <w:r w:rsidRPr="000D67C6">
        <w:rPr>
          <w:rFonts w:ascii="Arial" w:hAnsi="Arial" w:cs="Arial"/>
          <w:sz w:val="22"/>
          <w:szCs w:val="22"/>
        </w:rPr>
        <w:t>For loans from the Public Works Loan Board (PWLB) and other loans payable, borrowing from the PWLB have been applied to provide the fair value under PWLB debt redemption procedures;</w:t>
      </w:r>
    </w:p>
    <w:p w14:paraId="4F643C13" w14:textId="77777777" w:rsidR="00FF7696" w:rsidRPr="000D67C6" w:rsidRDefault="00FF7696" w:rsidP="00C4608B">
      <w:pPr>
        <w:pStyle w:val="NormalIndent"/>
        <w:numPr>
          <w:ilvl w:val="0"/>
          <w:numId w:val="30"/>
        </w:numPr>
        <w:jc w:val="both"/>
        <w:rPr>
          <w:rFonts w:ascii="Arial" w:hAnsi="Arial" w:cs="Arial"/>
          <w:sz w:val="22"/>
          <w:szCs w:val="22"/>
        </w:rPr>
      </w:pPr>
      <w:r w:rsidRPr="000D67C6">
        <w:rPr>
          <w:rFonts w:ascii="Arial" w:hAnsi="Arial" w:cs="Arial"/>
          <w:sz w:val="22"/>
          <w:szCs w:val="22"/>
        </w:rPr>
        <w:t>No early repayment or impairment is recognised;</w:t>
      </w:r>
    </w:p>
    <w:p w14:paraId="536183B0" w14:textId="77777777" w:rsidR="00FF7696" w:rsidRPr="000D67C6" w:rsidRDefault="00FF7696" w:rsidP="00C4608B">
      <w:pPr>
        <w:pStyle w:val="NormalIndent"/>
        <w:numPr>
          <w:ilvl w:val="0"/>
          <w:numId w:val="30"/>
        </w:numPr>
        <w:jc w:val="both"/>
        <w:rPr>
          <w:rFonts w:ascii="Arial" w:hAnsi="Arial" w:cs="Arial"/>
          <w:sz w:val="22"/>
          <w:szCs w:val="22"/>
        </w:rPr>
      </w:pPr>
      <w:r w:rsidRPr="000D67C6">
        <w:rPr>
          <w:rFonts w:ascii="Arial" w:hAnsi="Arial" w:cs="Arial"/>
          <w:sz w:val="22"/>
          <w:szCs w:val="22"/>
        </w:rPr>
        <w:t>Where an instrument has a maturity of less than 12 months or is a trade or other receivable the fair value is taken to be the carrying amount or the billed amount;</w:t>
      </w:r>
    </w:p>
    <w:p w14:paraId="5F05C828" w14:textId="77777777" w:rsidR="00FF7696" w:rsidRPr="000D67C6" w:rsidRDefault="00FF7696" w:rsidP="00C4608B">
      <w:pPr>
        <w:pStyle w:val="NormalIndent"/>
        <w:numPr>
          <w:ilvl w:val="0"/>
          <w:numId w:val="30"/>
        </w:numPr>
        <w:jc w:val="both"/>
        <w:rPr>
          <w:rFonts w:ascii="Arial" w:hAnsi="Arial" w:cs="Arial"/>
          <w:sz w:val="22"/>
          <w:szCs w:val="22"/>
        </w:rPr>
      </w:pPr>
      <w:r w:rsidRPr="000D67C6">
        <w:rPr>
          <w:rFonts w:ascii="Arial" w:hAnsi="Arial" w:cs="Arial"/>
          <w:sz w:val="22"/>
          <w:szCs w:val="22"/>
        </w:rPr>
        <w:t>The fair value of trade and other receivables is taken to be the invoiced or billed amount.</w:t>
      </w:r>
    </w:p>
    <w:p w14:paraId="7BDCA2D5" w14:textId="77777777" w:rsidR="00FF7696" w:rsidRPr="000D67C6" w:rsidRDefault="00FF7696" w:rsidP="00FF7696">
      <w:pPr>
        <w:jc w:val="both"/>
        <w:rPr>
          <w:rFonts w:ascii="Arial" w:hAnsi="Arial" w:cs="Arial"/>
          <w:sz w:val="22"/>
          <w:szCs w:val="22"/>
        </w:rPr>
      </w:pPr>
    </w:p>
    <w:p w14:paraId="5A5FD2B1" w14:textId="77777777" w:rsidR="00FF7696" w:rsidRPr="000D67C6" w:rsidRDefault="00FF7696" w:rsidP="00FF7696">
      <w:pPr>
        <w:jc w:val="both"/>
        <w:rPr>
          <w:rFonts w:ascii="Arial" w:hAnsi="Arial" w:cs="Arial"/>
          <w:sz w:val="22"/>
          <w:szCs w:val="22"/>
        </w:rPr>
      </w:pPr>
      <w:r w:rsidRPr="000D67C6">
        <w:rPr>
          <w:rFonts w:ascii="Arial" w:hAnsi="Arial" w:cs="Arial"/>
          <w:sz w:val="22"/>
          <w:szCs w:val="22"/>
        </w:rPr>
        <w:t>The fair values calculated are as follows:</w:t>
      </w:r>
    </w:p>
    <w:p w14:paraId="2922C052" w14:textId="77777777" w:rsidR="00EB486D" w:rsidRPr="000D67C6" w:rsidRDefault="00EB486D" w:rsidP="00EB486D">
      <w:pPr>
        <w:rPr>
          <w:lang w:val="pt-BR"/>
        </w:rPr>
      </w:pPr>
    </w:p>
    <w:tbl>
      <w:tblPr>
        <w:tblW w:w="0" w:type="auto"/>
        <w:tblLayout w:type="fixed"/>
        <w:tblLook w:val="04A0" w:firstRow="1" w:lastRow="0" w:firstColumn="1" w:lastColumn="0" w:noHBand="0" w:noVBand="1"/>
      </w:tblPr>
      <w:tblGrid>
        <w:gridCol w:w="3120"/>
        <w:gridCol w:w="1700"/>
        <w:gridCol w:w="992"/>
        <w:gridCol w:w="1628"/>
        <w:gridCol w:w="1440"/>
      </w:tblGrid>
      <w:tr w:rsidR="001A271B" w:rsidRPr="000D67C6" w14:paraId="3F27F35A" w14:textId="77777777" w:rsidTr="000158DE">
        <w:trPr>
          <w:trHeight w:hRule="exact" w:val="88"/>
        </w:trPr>
        <w:tc>
          <w:tcPr>
            <w:tcW w:w="3120" w:type="dxa"/>
            <w:shd w:val="clear" w:color="auto" w:fill="auto"/>
            <w:tcMar>
              <w:top w:w="20" w:type="dxa"/>
              <w:left w:w="20" w:type="dxa"/>
              <w:bottom w:w="20" w:type="dxa"/>
              <w:right w:w="20" w:type="dxa"/>
            </w:tcMar>
            <w:vAlign w:val="bottom"/>
          </w:tcPr>
          <w:p w14:paraId="3538D278" w14:textId="77777777" w:rsidR="001A271B" w:rsidRPr="000D67C6" w:rsidRDefault="001A271B" w:rsidP="00C92FD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700" w:type="dxa"/>
            <w:shd w:val="clear" w:color="auto" w:fill="auto"/>
            <w:tcMar>
              <w:top w:w="20" w:type="dxa"/>
              <w:left w:w="20" w:type="dxa"/>
              <w:bottom w:w="20" w:type="dxa"/>
              <w:right w:w="20" w:type="dxa"/>
            </w:tcMar>
            <w:vAlign w:val="bottom"/>
          </w:tcPr>
          <w:p w14:paraId="5FEF26C6" w14:textId="77777777" w:rsidR="001A271B" w:rsidRPr="000D67C6" w:rsidRDefault="001A271B" w:rsidP="00C92FD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992" w:type="dxa"/>
            <w:shd w:val="clear" w:color="auto" w:fill="auto"/>
            <w:tcMar>
              <w:top w:w="20" w:type="dxa"/>
              <w:left w:w="20" w:type="dxa"/>
              <w:bottom w:w="20" w:type="dxa"/>
              <w:right w:w="20" w:type="dxa"/>
            </w:tcMar>
            <w:vAlign w:val="bottom"/>
          </w:tcPr>
          <w:p w14:paraId="74AF6A52" w14:textId="77777777" w:rsidR="001A271B" w:rsidRPr="000D67C6" w:rsidRDefault="001A271B" w:rsidP="00C92FD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628" w:type="dxa"/>
            <w:shd w:val="clear" w:color="auto" w:fill="auto"/>
            <w:tcMar>
              <w:top w:w="20" w:type="dxa"/>
              <w:left w:w="20" w:type="dxa"/>
              <w:bottom w:w="20" w:type="dxa"/>
              <w:right w:w="20" w:type="dxa"/>
            </w:tcMar>
            <w:vAlign w:val="bottom"/>
          </w:tcPr>
          <w:p w14:paraId="088EB751" w14:textId="77777777" w:rsidR="001A271B" w:rsidRPr="000D67C6" w:rsidRDefault="001A271B" w:rsidP="00C92FD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40" w:type="dxa"/>
            <w:shd w:val="clear" w:color="auto" w:fill="auto"/>
            <w:tcMar>
              <w:top w:w="20" w:type="dxa"/>
              <w:left w:w="20" w:type="dxa"/>
              <w:bottom w:w="20" w:type="dxa"/>
              <w:right w:w="20" w:type="dxa"/>
            </w:tcMar>
            <w:vAlign w:val="bottom"/>
          </w:tcPr>
          <w:p w14:paraId="661B44B6" w14:textId="77777777" w:rsidR="001A271B" w:rsidRPr="000D67C6" w:rsidRDefault="001A271B" w:rsidP="00C92FD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r>
      <w:tr w:rsidR="001A271B" w:rsidRPr="000D67C6" w14:paraId="00806C55" w14:textId="77777777" w:rsidTr="000158DE">
        <w:trPr>
          <w:trHeight w:val="240"/>
        </w:trPr>
        <w:tc>
          <w:tcPr>
            <w:tcW w:w="3120" w:type="dxa"/>
            <w:shd w:val="clear" w:color="auto" w:fill="auto"/>
            <w:tcMar>
              <w:top w:w="20" w:type="dxa"/>
              <w:left w:w="20" w:type="dxa"/>
              <w:bottom w:w="20" w:type="dxa"/>
              <w:right w:w="20" w:type="dxa"/>
            </w:tcMar>
            <w:vAlign w:val="bottom"/>
          </w:tcPr>
          <w:p w14:paraId="7AAF997C" w14:textId="77777777" w:rsidR="001A271B" w:rsidRPr="000D67C6" w:rsidRDefault="001A271B" w:rsidP="00C92F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692" w:type="dxa"/>
            <w:gridSpan w:val="2"/>
            <w:shd w:val="clear" w:color="auto" w:fill="auto"/>
            <w:tcMar>
              <w:top w:w="20" w:type="dxa"/>
              <w:left w:w="20" w:type="dxa"/>
              <w:bottom w:w="20" w:type="dxa"/>
              <w:right w:w="20" w:type="dxa"/>
            </w:tcMar>
            <w:vAlign w:val="bottom"/>
          </w:tcPr>
          <w:p w14:paraId="3DA0296D" w14:textId="77777777" w:rsidR="001A271B" w:rsidRPr="000D67C6" w:rsidRDefault="003A59BE" w:rsidP="00C92FD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3068" w:type="dxa"/>
            <w:gridSpan w:val="2"/>
            <w:shd w:val="clear" w:color="auto" w:fill="auto"/>
            <w:tcMar>
              <w:top w:w="20" w:type="dxa"/>
              <w:left w:w="20" w:type="dxa"/>
              <w:bottom w:w="20" w:type="dxa"/>
              <w:right w:w="20" w:type="dxa"/>
            </w:tcMar>
            <w:vAlign w:val="bottom"/>
          </w:tcPr>
          <w:p w14:paraId="44620C58" w14:textId="77777777" w:rsidR="001A271B" w:rsidRPr="000D67C6" w:rsidRDefault="003A59BE" w:rsidP="00AE6E63">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31 March 201</w:t>
            </w:r>
            <w:r w:rsidR="00612DE7" w:rsidRPr="000D67C6">
              <w:rPr>
                <w:rFonts w:ascii="Arial" w:eastAsia="Verdana" w:hAnsi="Arial" w:cs="Arial"/>
                <w:b/>
                <w:sz w:val="22"/>
                <w:szCs w:val="22"/>
                <w:lang w:val="en-GB"/>
              </w:rPr>
              <w:t>9</w:t>
            </w:r>
          </w:p>
        </w:tc>
      </w:tr>
      <w:tr w:rsidR="001A271B" w:rsidRPr="000D67C6" w14:paraId="32714D3E" w14:textId="77777777" w:rsidTr="000158DE">
        <w:trPr>
          <w:trHeight w:val="50"/>
        </w:trPr>
        <w:tc>
          <w:tcPr>
            <w:tcW w:w="3120" w:type="dxa"/>
            <w:shd w:val="clear" w:color="auto" w:fill="auto"/>
            <w:tcMar>
              <w:top w:w="20" w:type="dxa"/>
              <w:left w:w="20" w:type="dxa"/>
              <w:bottom w:w="20" w:type="dxa"/>
              <w:right w:w="20" w:type="dxa"/>
            </w:tcMar>
            <w:vAlign w:val="bottom"/>
          </w:tcPr>
          <w:p w14:paraId="59C89C9E" w14:textId="77777777" w:rsidR="001A271B" w:rsidRPr="000D67C6" w:rsidRDefault="001A271B" w:rsidP="006F421C">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700" w:type="dxa"/>
            <w:shd w:val="clear" w:color="auto" w:fill="auto"/>
            <w:tcMar>
              <w:top w:w="20" w:type="dxa"/>
              <w:left w:w="20" w:type="dxa"/>
              <w:bottom w:w="20" w:type="dxa"/>
              <w:right w:w="20" w:type="dxa"/>
            </w:tcMar>
            <w:vAlign w:val="bottom"/>
          </w:tcPr>
          <w:p w14:paraId="002D4BE5" w14:textId="77777777" w:rsidR="001A271B" w:rsidRPr="000D67C6" w:rsidRDefault="001A271B" w:rsidP="006F421C">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Carrying Amount</w:t>
            </w:r>
          </w:p>
        </w:tc>
        <w:tc>
          <w:tcPr>
            <w:tcW w:w="992" w:type="dxa"/>
            <w:shd w:val="clear" w:color="auto" w:fill="auto"/>
            <w:tcMar>
              <w:top w:w="20" w:type="dxa"/>
              <w:left w:w="20" w:type="dxa"/>
              <w:bottom w:w="20" w:type="dxa"/>
              <w:right w:w="20" w:type="dxa"/>
            </w:tcMar>
            <w:vAlign w:val="bottom"/>
          </w:tcPr>
          <w:p w14:paraId="64C53DBF" w14:textId="77777777" w:rsidR="001A271B" w:rsidRPr="000D67C6" w:rsidRDefault="001A271B" w:rsidP="006F421C">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Fair Value</w:t>
            </w:r>
          </w:p>
        </w:tc>
        <w:tc>
          <w:tcPr>
            <w:tcW w:w="1628" w:type="dxa"/>
            <w:shd w:val="clear" w:color="auto" w:fill="auto"/>
            <w:tcMar>
              <w:top w:w="20" w:type="dxa"/>
              <w:left w:w="20" w:type="dxa"/>
              <w:bottom w:w="20" w:type="dxa"/>
              <w:right w:w="20" w:type="dxa"/>
            </w:tcMar>
            <w:vAlign w:val="bottom"/>
          </w:tcPr>
          <w:p w14:paraId="7DDEB302" w14:textId="77777777" w:rsidR="001A271B" w:rsidRPr="000D67C6" w:rsidRDefault="001A271B" w:rsidP="006F421C">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Carrying Amount</w:t>
            </w:r>
          </w:p>
        </w:tc>
        <w:tc>
          <w:tcPr>
            <w:tcW w:w="1440" w:type="dxa"/>
            <w:shd w:val="clear" w:color="auto" w:fill="auto"/>
            <w:tcMar>
              <w:top w:w="20" w:type="dxa"/>
              <w:left w:w="20" w:type="dxa"/>
              <w:bottom w:w="20" w:type="dxa"/>
              <w:right w:w="20" w:type="dxa"/>
            </w:tcMar>
            <w:vAlign w:val="bottom"/>
          </w:tcPr>
          <w:p w14:paraId="63864E28" w14:textId="77777777" w:rsidR="001A271B" w:rsidRPr="000D67C6" w:rsidRDefault="001A271B" w:rsidP="006F421C">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Fair Value</w:t>
            </w:r>
          </w:p>
        </w:tc>
      </w:tr>
      <w:tr w:rsidR="001A271B" w:rsidRPr="000D67C6" w14:paraId="6F4DFF28" w14:textId="77777777" w:rsidTr="000158DE">
        <w:trPr>
          <w:trHeight w:val="240"/>
        </w:trPr>
        <w:tc>
          <w:tcPr>
            <w:tcW w:w="3120" w:type="dxa"/>
            <w:tcBorders>
              <w:bottom w:val="single" w:sz="2" w:space="0" w:color="000000"/>
            </w:tcBorders>
            <w:shd w:val="clear" w:color="auto" w:fill="auto"/>
            <w:tcMar>
              <w:top w:w="20" w:type="dxa"/>
              <w:left w:w="20" w:type="dxa"/>
              <w:bottom w:w="20" w:type="dxa"/>
              <w:right w:w="20" w:type="dxa"/>
            </w:tcMar>
          </w:tcPr>
          <w:p w14:paraId="3FAD0EE7" w14:textId="77777777" w:rsidR="001A271B" w:rsidRPr="000D67C6" w:rsidRDefault="001A271B" w:rsidP="00C92FD6">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700" w:type="dxa"/>
            <w:tcBorders>
              <w:bottom w:val="single" w:sz="2" w:space="0" w:color="000000"/>
            </w:tcBorders>
            <w:shd w:val="clear" w:color="auto" w:fill="auto"/>
            <w:tcMar>
              <w:top w:w="20" w:type="dxa"/>
              <w:left w:w="20" w:type="dxa"/>
              <w:bottom w:w="20" w:type="dxa"/>
              <w:right w:w="20" w:type="dxa"/>
            </w:tcMar>
          </w:tcPr>
          <w:p w14:paraId="6D21836A" w14:textId="77777777" w:rsidR="001A271B" w:rsidRPr="000D67C6" w:rsidRDefault="001A271B" w:rsidP="00C92FD6">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992" w:type="dxa"/>
            <w:tcBorders>
              <w:bottom w:val="single" w:sz="2" w:space="0" w:color="000000"/>
            </w:tcBorders>
            <w:shd w:val="clear" w:color="auto" w:fill="auto"/>
            <w:tcMar>
              <w:top w:w="20" w:type="dxa"/>
              <w:left w:w="20" w:type="dxa"/>
              <w:bottom w:w="20" w:type="dxa"/>
              <w:right w:w="20" w:type="dxa"/>
            </w:tcMar>
          </w:tcPr>
          <w:p w14:paraId="39BB6EFF" w14:textId="77777777" w:rsidR="001A271B" w:rsidRPr="000D67C6" w:rsidRDefault="001A271B" w:rsidP="00C92FD6">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628" w:type="dxa"/>
            <w:tcBorders>
              <w:bottom w:val="single" w:sz="2" w:space="0" w:color="000000"/>
            </w:tcBorders>
            <w:shd w:val="clear" w:color="auto" w:fill="auto"/>
            <w:tcMar>
              <w:top w:w="20" w:type="dxa"/>
              <w:left w:w="20" w:type="dxa"/>
              <w:bottom w:w="20" w:type="dxa"/>
              <w:right w:w="20" w:type="dxa"/>
            </w:tcMar>
          </w:tcPr>
          <w:p w14:paraId="669DFF48" w14:textId="77777777" w:rsidR="001A271B" w:rsidRPr="000D67C6" w:rsidRDefault="001A271B" w:rsidP="00C92FD6">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40" w:type="dxa"/>
            <w:tcBorders>
              <w:bottom w:val="single" w:sz="2" w:space="0" w:color="000000"/>
            </w:tcBorders>
            <w:shd w:val="clear" w:color="auto" w:fill="auto"/>
            <w:tcMar>
              <w:top w:w="20" w:type="dxa"/>
              <w:left w:w="20" w:type="dxa"/>
              <w:bottom w:w="20" w:type="dxa"/>
              <w:right w:w="20" w:type="dxa"/>
            </w:tcMar>
          </w:tcPr>
          <w:p w14:paraId="56575468" w14:textId="77777777" w:rsidR="001A271B" w:rsidRPr="000D67C6" w:rsidRDefault="001A271B" w:rsidP="00C92FD6">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790DD4" w:rsidRPr="000D67C6" w14:paraId="0D046E58" w14:textId="77777777" w:rsidTr="000158DE">
        <w:trPr>
          <w:trHeight w:val="240"/>
        </w:trPr>
        <w:tc>
          <w:tcPr>
            <w:tcW w:w="3120" w:type="dxa"/>
            <w:shd w:val="clear" w:color="auto" w:fill="auto"/>
            <w:tcMar>
              <w:top w:w="20" w:type="dxa"/>
              <w:left w:w="20" w:type="dxa"/>
              <w:bottom w:w="20" w:type="dxa"/>
              <w:right w:w="20" w:type="dxa"/>
            </w:tcMar>
          </w:tcPr>
          <w:p w14:paraId="1E429885" w14:textId="77777777" w:rsidR="00790DD4" w:rsidRPr="000D67C6" w:rsidRDefault="00790DD4" w:rsidP="00790DD4">
            <w:pPr>
              <w:pStyle w:val="T1TableStyle"/>
              <w:spacing w:after="100" w:afterAutospacing="1" w:line="259" w:lineRule="auto"/>
              <w:rPr>
                <w:rFonts w:ascii="Arial" w:eastAsia="Verdana" w:hAnsi="Arial" w:cs="Arial"/>
                <w:sz w:val="22"/>
                <w:szCs w:val="22"/>
                <w:lang w:val="en-GB"/>
              </w:rPr>
            </w:pPr>
            <w:r w:rsidRPr="000D67C6">
              <w:rPr>
                <w:rFonts w:ascii="Arial" w:eastAsia="Verdana" w:hAnsi="Arial" w:cs="Arial"/>
                <w:sz w:val="22"/>
                <w:szCs w:val="22"/>
                <w:lang w:val="en-GB"/>
              </w:rPr>
              <w:t>Long Term Creditors – PWLB</w:t>
            </w:r>
          </w:p>
        </w:tc>
        <w:tc>
          <w:tcPr>
            <w:tcW w:w="1700" w:type="dxa"/>
            <w:shd w:val="clear" w:color="auto" w:fill="auto"/>
            <w:tcMar>
              <w:top w:w="20" w:type="dxa"/>
              <w:left w:w="20" w:type="dxa"/>
              <w:bottom w:w="20" w:type="dxa"/>
              <w:right w:w="20" w:type="dxa"/>
            </w:tcMar>
          </w:tcPr>
          <w:p w14:paraId="7BE1EADF" w14:textId="77777777" w:rsidR="00790DD4" w:rsidRPr="000D67C6" w:rsidRDefault="00790DD4"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16,185</w:t>
            </w:r>
          </w:p>
        </w:tc>
        <w:tc>
          <w:tcPr>
            <w:tcW w:w="992" w:type="dxa"/>
            <w:shd w:val="clear" w:color="auto" w:fill="auto"/>
            <w:tcMar>
              <w:top w:w="20" w:type="dxa"/>
              <w:left w:w="20" w:type="dxa"/>
              <w:bottom w:w="20" w:type="dxa"/>
              <w:right w:w="20" w:type="dxa"/>
            </w:tcMar>
          </w:tcPr>
          <w:p w14:paraId="24FC74EF" w14:textId="77777777" w:rsidR="00790DD4" w:rsidRPr="000D67C6" w:rsidRDefault="00790DD4"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21,563</w:t>
            </w:r>
          </w:p>
        </w:tc>
        <w:tc>
          <w:tcPr>
            <w:tcW w:w="1628" w:type="dxa"/>
            <w:shd w:val="clear" w:color="auto" w:fill="auto"/>
            <w:tcMar>
              <w:top w:w="20" w:type="dxa"/>
              <w:left w:w="20" w:type="dxa"/>
              <w:bottom w:w="20" w:type="dxa"/>
              <w:right w:w="20" w:type="dxa"/>
            </w:tcMar>
          </w:tcPr>
          <w:p w14:paraId="041EBB7C" w14:textId="77777777" w:rsidR="00790DD4" w:rsidRPr="000D67C6" w:rsidRDefault="00EA6383"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16,936</w:t>
            </w:r>
          </w:p>
        </w:tc>
        <w:tc>
          <w:tcPr>
            <w:tcW w:w="1440" w:type="dxa"/>
            <w:shd w:val="clear" w:color="auto" w:fill="auto"/>
            <w:tcMar>
              <w:top w:w="20" w:type="dxa"/>
              <w:left w:w="20" w:type="dxa"/>
              <w:bottom w:w="20" w:type="dxa"/>
              <w:right w:w="20" w:type="dxa"/>
            </w:tcMar>
          </w:tcPr>
          <w:p w14:paraId="2A0B428A" w14:textId="77777777" w:rsidR="00790DD4" w:rsidRPr="000D67C6" w:rsidRDefault="00EA6383"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22,747</w:t>
            </w:r>
          </w:p>
        </w:tc>
      </w:tr>
      <w:tr w:rsidR="00790DD4" w:rsidRPr="000D67C6" w14:paraId="194AB14D" w14:textId="77777777" w:rsidTr="000158DE">
        <w:trPr>
          <w:trHeight w:val="240"/>
        </w:trPr>
        <w:tc>
          <w:tcPr>
            <w:tcW w:w="3120" w:type="dxa"/>
            <w:shd w:val="clear" w:color="auto" w:fill="auto"/>
            <w:tcMar>
              <w:top w:w="20" w:type="dxa"/>
              <w:left w:w="20" w:type="dxa"/>
              <w:bottom w:w="20" w:type="dxa"/>
              <w:right w:w="20" w:type="dxa"/>
            </w:tcMar>
          </w:tcPr>
          <w:p w14:paraId="7E09E102" w14:textId="77777777" w:rsidR="00790DD4" w:rsidRPr="000D67C6" w:rsidRDefault="00790DD4" w:rsidP="00790DD4">
            <w:pPr>
              <w:pStyle w:val="T1TableStyle"/>
              <w:spacing w:after="100" w:afterAutospacing="1" w:line="259" w:lineRule="auto"/>
              <w:rPr>
                <w:rFonts w:ascii="Arial" w:eastAsia="Verdana" w:hAnsi="Arial" w:cs="Arial"/>
                <w:sz w:val="22"/>
                <w:szCs w:val="22"/>
                <w:lang w:val="en-GB"/>
              </w:rPr>
            </w:pPr>
            <w:r w:rsidRPr="000D67C6">
              <w:rPr>
                <w:rFonts w:ascii="Arial" w:eastAsia="Verdana" w:hAnsi="Arial" w:cs="Arial"/>
                <w:sz w:val="22"/>
                <w:szCs w:val="22"/>
                <w:lang w:val="en-GB"/>
              </w:rPr>
              <w:t>Non-PWLB Debt</w:t>
            </w:r>
          </w:p>
        </w:tc>
        <w:tc>
          <w:tcPr>
            <w:tcW w:w="1700" w:type="dxa"/>
            <w:shd w:val="clear" w:color="auto" w:fill="auto"/>
            <w:tcMar>
              <w:top w:w="20" w:type="dxa"/>
              <w:left w:w="20" w:type="dxa"/>
              <w:bottom w:w="20" w:type="dxa"/>
              <w:right w:w="20" w:type="dxa"/>
            </w:tcMar>
          </w:tcPr>
          <w:p w14:paraId="5C0A0F06" w14:textId="77777777" w:rsidR="00790DD4" w:rsidRPr="000D67C6" w:rsidRDefault="00790DD4"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344</w:t>
            </w:r>
          </w:p>
        </w:tc>
        <w:tc>
          <w:tcPr>
            <w:tcW w:w="992" w:type="dxa"/>
            <w:shd w:val="clear" w:color="auto" w:fill="auto"/>
            <w:tcMar>
              <w:top w:w="20" w:type="dxa"/>
              <w:left w:w="20" w:type="dxa"/>
              <w:bottom w:w="20" w:type="dxa"/>
              <w:right w:w="20" w:type="dxa"/>
            </w:tcMar>
          </w:tcPr>
          <w:p w14:paraId="08EF386B" w14:textId="77777777" w:rsidR="00790DD4" w:rsidRPr="000D67C6" w:rsidRDefault="00790DD4"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n/a</w:t>
            </w:r>
          </w:p>
        </w:tc>
        <w:tc>
          <w:tcPr>
            <w:tcW w:w="1628" w:type="dxa"/>
            <w:shd w:val="clear" w:color="auto" w:fill="auto"/>
            <w:tcMar>
              <w:top w:w="20" w:type="dxa"/>
              <w:left w:w="20" w:type="dxa"/>
              <w:bottom w:w="20" w:type="dxa"/>
              <w:right w:w="20" w:type="dxa"/>
            </w:tcMar>
          </w:tcPr>
          <w:p w14:paraId="5C540F2D" w14:textId="77777777" w:rsidR="00790DD4" w:rsidRPr="000D67C6" w:rsidRDefault="00EA6383"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123</w:t>
            </w:r>
          </w:p>
        </w:tc>
        <w:tc>
          <w:tcPr>
            <w:tcW w:w="1440" w:type="dxa"/>
            <w:shd w:val="clear" w:color="auto" w:fill="auto"/>
            <w:tcMar>
              <w:top w:w="20" w:type="dxa"/>
              <w:left w:w="20" w:type="dxa"/>
              <w:bottom w:w="20" w:type="dxa"/>
              <w:right w:w="20" w:type="dxa"/>
            </w:tcMar>
          </w:tcPr>
          <w:p w14:paraId="1FD714EE" w14:textId="77777777" w:rsidR="00790DD4" w:rsidRPr="000D67C6" w:rsidRDefault="00EA6383" w:rsidP="00790DD4">
            <w:pPr>
              <w:pStyle w:val="T1TableStyle"/>
              <w:spacing w:after="100" w:afterAutospacing="1" w:line="259" w:lineRule="auto"/>
              <w:jc w:val="right"/>
              <w:rPr>
                <w:rFonts w:ascii="Arial" w:eastAsia="Verdana" w:hAnsi="Arial" w:cs="Arial"/>
                <w:sz w:val="22"/>
                <w:szCs w:val="22"/>
                <w:lang w:val="en-GB"/>
              </w:rPr>
            </w:pPr>
            <w:r w:rsidRPr="000D67C6">
              <w:rPr>
                <w:rFonts w:ascii="Arial" w:eastAsia="Verdana" w:hAnsi="Arial" w:cs="Arial"/>
                <w:sz w:val="22"/>
                <w:szCs w:val="22"/>
                <w:lang w:val="en-GB"/>
              </w:rPr>
              <w:t>n/a</w:t>
            </w:r>
          </w:p>
        </w:tc>
      </w:tr>
      <w:tr w:rsidR="00790DD4" w:rsidRPr="000D67C6" w14:paraId="38FDC5FC" w14:textId="77777777" w:rsidTr="000158DE">
        <w:trPr>
          <w:trHeight w:val="240"/>
        </w:trPr>
        <w:tc>
          <w:tcPr>
            <w:tcW w:w="3120" w:type="dxa"/>
            <w:tcBorders>
              <w:top w:val="single" w:sz="2" w:space="0" w:color="000000"/>
              <w:bottom w:val="single" w:sz="12" w:space="0" w:color="000000"/>
            </w:tcBorders>
            <w:shd w:val="clear" w:color="auto" w:fill="auto"/>
            <w:tcMar>
              <w:top w:w="20" w:type="dxa"/>
              <w:left w:w="20" w:type="dxa"/>
              <w:bottom w:w="20" w:type="dxa"/>
              <w:right w:w="20" w:type="dxa"/>
            </w:tcMar>
          </w:tcPr>
          <w:p w14:paraId="61808B59" w14:textId="77777777" w:rsidR="00790DD4" w:rsidRPr="000D67C6" w:rsidRDefault="00790DD4" w:rsidP="00790DD4">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700" w:type="dxa"/>
            <w:tcBorders>
              <w:top w:val="single" w:sz="2" w:space="0" w:color="000000"/>
              <w:bottom w:val="single" w:sz="12" w:space="0" w:color="000000"/>
            </w:tcBorders>
            <w:shd w:val="clear" w:color="auto" w:fill="auto"/>
            <w:tcMar>
              <w:top w:w="20" w:type="dxa"/>
              <w:left w:w="20" w:type="dxa"/>
              <w:bottom w:w="20" w:type="dxa"/>
              <w:right w:w="20" w:type="dxa"/>
            </w:tcMar>
          </w:tcPr>
          <w:p w14:paraId="1B6EADE6" w14:textId="77777777" w:rsidR="00790DD4" w:rsidRPr="000D67C6" w:rsidRDefault="00790DD4" w:rsidP="00790DD4">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16,529</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tcPr>
          <w:p w14:paraId="00121EDC" w14:textId="77777777" w:rsidR="00790DD4" w:rsidRPr="000D67C6" w:rsidRDefault="00790DD4" w:rsidP="00790DD4">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21,563</w:t>
            </w:r>
          </w:p>
        </w:tc>
        <w:tc>
          <w:tcPr>
            <w:tcW w:w="1628" w:type="dxa"/>
            <w:tcBorders>
              <w:top w:val="single" w:sz="2" w:space="0" w:color="000000"/>
              <w:bottom w:val="single" w:sz="12" w:space="0" w:color="000000"/>
            </w:tcBorders>
            <w:shd w:val="clear" w:color="auto" w:fill="auto"/>
            <w:tcMar>
              <w:top w:w="20" w:type="dxa"/>
              <w:left w:w="20" w:type="dxa"/>
              <w:bottom w:w="20" w:type="dxa"/>
              <w:right w:w="20" w:type="dxa"/>
            </w:tcMar>
          </w:tcPr>
          <w:p w14:paraId="52368A47" w14:textId="77777777" w:rsidR="00790DD4" w:rsidRPr="000D67C6" w:rsidRDefault="00EA6383" w:rsidP="00790DD4">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17,059</w:t>
            </w:r>
          </w:p>
        </w:tc>
        <w:tc>
          <w:tcPr>
            <w:tcW w:w="1440" w:type="dxa"/>
            <w:tcBorders>
              <w:top w:val="single" w:sz="2" w:space="0" w:color="000000"/>
              <w:bottom w:val="single" w:sz="12" w:space="0" w:color="000000"/>
            </w:tcBorders>
            <w:shd w:val="clear" w:color="auto" w:fill="auto"/>
            <w:tcMar>
              <w:top w:w="20" w:type="dxa"/>
              <w:left w:w="20" w:type="dxa"/>
              <w:bottom w:w="20" w:type="dxa"/>
              <w:right w:w="20" w:type="dxa"/>
            </w:tcMar>
          </w:tcPr>
          <w:p w14:paraId="1163B404" w14:textId="77777777" w:rsidR="00790DD4" w:rsidRPr="000D67C6" w:rsidRDefault="00EA6383" w:rsidP="00790DD4">
            <w:pPr>
              <w:pStyle w:val="T1TableStyle"/>
              <w:spacing w:after="100" w:afterAutospacing="1" w:line="259" w:lineRule="auto"/>
              <w:jc w:val="right"/>
              <w:rPr>
                <w:rFonts w:ascii="Arial" w:eastAsia="Verdana" w:hAnsi="Arial" w:cs="Arial"/>
                <w:b/>
                <w:sz w:val="22"/>
                <w:szCs w:val="22"/>
                <w:lang w:val="en-GB"/>
              </w:rPr>
            </w:pPr>
            <w:r w:rsidRPr="000D67C6">
              <w:rPr>
                <w:rFonts w:ascii="Arial" w:eastAsia="Verdana" w:hAnsi="Arial" w:cs="Arial"/>
                <w:b/>
                <w:sz w:val="22"/>
                <w:szCs w:val="22"/>
                <w:lang w:val="en-GB"/>
              </w:rPr>
              <w:t>22,747</w:t>
            </w:r>
          </w:p>
        </w:tc>
      </w:tr>
      <w:tr w:rsidR="001A271B" w:rsidRPr="000D67C6" w14:paraId="56CFA10F" w14:textId="77777777" w:rsidTr="000158DE">
        <w:trPr>
          <w:trHeight w:hRule="exact" w:val="300"/>
        </w:trPr>
        <w:tc>
          <w:tcPr>
            <w:tcW w:w="3120" w:type="dxa"/>
            <w:shd w:val="clear" w:color="auto" w:fill="auto"/>
            <w:tcMar>
              <w:top w:w="20" w:type="dxa"/>
              <w:left w:w="20" w:type="dxa"/>
              <w:bottom w:w="20" w:type="dxa"/>
              <w:right w:w="20" w:type="dxa"/>
            </w:tcMar>
          </w:tcPr>
          <w:p w14:paraId="7AA127CA" w14:textId="77777777" w:rsidR="00FF7696" w:rsidRPr="000D67C6" w:rsidRDefault="00FF7696" w:rsidP="00C92FD6">
            <w:pPr>
              <w:pStyle w:val="T1TableStyle"/>
              <w:spacing w:after="100" w:afterAutospacing="1" w:line="259" w:lineRule="auto"/>
              <w:jc w:val="center"/>
              <w:rPr>
                <w:rFonts w:ascii="Arial" w:eastAsia="Verdana" w:hAnsi="Arial" w:cs="Arial"/>
                <w:b/>
                <w:sz w:val="22"/>
                <w:szCs w:val="22"/>
                <w:lang w:val="en-GB"/>
              </w:rPr>
            </w:pPr>
          </w:p>
          <w:p w14:paraId="13806905" w14:textId="77777777" w:rsidR="001A271B" w:rsidRPr="000D67C6" w:rsidRDefault="001A271B" w:rsidP="00C92FD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700" w:type="dxa"/>
            <w:shd w:val="clear" w:color="auto" w:fill="auto"/>
            <w:tcMar>
              <w:top w:w="20" w:type="dxa"/>
              <w:left w:w="20" w:type="dxa"/>
              <w:bottom w:w="20" w:type="dxa"/>
              <w:right w:w="20" w:type="dxa"/>
            </w:tcMar>
          </w:tcPr>
          <w:p w14:paraId="4049A960" w14:textId="77777777" w:rsidR="001A271B" w:rsidRPr="000D67C6" w:rsidRDefault="001A271B" w:rsidP="00C92FD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992" w:type="dxa"/>
            <w:shd w:val="clear" w:color="auto" w:fill="auto"/>
            <w:tcMar>
              <w:top w:w="20" w:type="dxa"/>
              <w:left w:w="20" w:type="dxa"/>
              <w:bottom w:w="20" w:type="dxa"/>
              <w:right w:w="20" w:type="dxa"/>
            </w:tcMar>
          </w:tcPr>
          <w:p w14:paraId="64F3A96E" w14:textId="77777777" w:rsidR="001A271B" w:rsidRPr="000D67C6" w:rsidRDefault="001A271B" w:rsidP="00C92FD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628" w:type="dxa"/>
            <w:shd w:val="clear" w:color="auto" w:fill="auto"/>
            <w:tcMar>
              <w:top w:w="20" w:type="dxa"/>
              <w:left w:w="20" w:type="dxa"/>
              <w:bottom w:w="20" w:type="dxa"/>
              <w:right w:w="20" w:type="dxa"/>
            </w:tcMar>
          </w:tcPr>
          <w:p w14:paraId="72B7CDD4" w14:textId="77777777" w:rsidR="001A271B" w:rsidRPr="000D67C6" w:rsidRDefault="001A271B" w:rsidP="00C92FD6">
            <w:pPr>
              <w:pStyle w:val="T1TableStyle"/>
              <w:spacing w:after="100" w:afterAutospacing="1" w:line="259" w:lineRule="auto"/>
              <w:jc w:val="center"/>
              <w:rPr>
                <w:rFonts w:ascii="Arial" w:eastAsia="Verdana" w:hAnsi="Arial" w:cs="Arial"/>
                <w:b/>
                <w:sz w:val="22"/>
                <w:szCs w:val="22"/>
                <w:lang w:val="en-GB"/>
              </w:rPr>
            </w:pPr>
          </w:p>
        </w:tc>
        <w:tc>
          <w:tcPr>
            <w:tcW w:w="1440" w:type="dxa"/>
            <w:shd w:val="clear" w:color="auto" w:fill="auto"/>
            <w:tcMar>
              <w:top w:w="20" w:type="dxa"/>
              <w:left w:w="20" w:type="dxa"/>
              <w:bottom w:w="20" w:type="dxa"/>
              <w:right w:w="20" w:type="dxa"/>
            </w:tcMar>
          </w:tcPr>
          <w:p w14:paraId="10603B4D" w14:textId="77777777" w:rsidR="001A271B" w:rsidRPr="000D67C6" w:rsidRDefault="001A271B" w:rsidP="00C92FD6">
            <w:pPr>
              <w:pStyle w:val="T1TableStyle"/>
              <w:spacing w:after="100" w:afterAutospacing="1" w:line="259" w:lineRule="auto"/>
              <w:jc w:val="center"/>
              <w:rPr>
                <w:rFonts w:ascii="Arial" w:eastAsia="Verdana" w:hAnsi="Arial" w:cs="Arial"/>
                <w:b/>
                <w:sz w:val="22"/>
                <w:szCs w:val="22"/>
                <w:lang w:val="en-GB"/>
              </w:rPr>
            </w:pPr>
          </w:p>
        </w:tc>
      </w:tr>
    </w:tbl>
    <w:bookmarkEnd w:id="3"/>
    <w:p w14:paraId="76629D1B" w14:textId="77777777" w:rsidR="00FF7696" w:rsidRPr="000D67C6" w:rsidRDefault="00FF7696" w:rsidP="00FF7696">
      <w:pPr>
        <w:pStyle w:val="NormalIndent"/>
        <w:ind w:left="0"/>
        <w:jc w:val="both"/>
        <w:rPr>
          <w:rFonts w:ascii="Arial" w:hAnsi="Arial" w:cs="Arial"/>
          <w:sz w:val="22"/>
          <w:szCs w:val="22"/>
        </w:rPr>
      </w:pPr>
      <w:r w:rsidRPr="000D67C6">
        <w:rPr>
          <w:rFonts w:ascii="Arial" w:hAnsi="Arial" w:cs="Arial"/>
          <w:sz w:val="22"/>
          <w:szCs w:val="22"/>
        </w:rPr>
        <w:t>The fair value is greater than the carrying amount because early repayment of PWLB debt will incur an early repayment premium, the fair value takes account of the early repayment premium. Loans are at level 2 in the Fair Value Hierarchy, that is they are valued at prices that are observable either directly or indirectly.</w:t>
      </w:r>
    </w:p>
    <w:p w14:paraId="29B85306" w14:textId="77777777" w:rsidR="00C24A5A" w:rsidRPr="00EE7AF3" w:rsidRDefault="00C24A5A" w:rsidP="00C24A5A">
      <w:pPr>
        <w:rPr>
          <w:rFonts w:ascii="Arial" w:hAnsi="Arial" w:cs="Arial"/>
          <w:sz w:val="32"/>
          <w:lang w:val="pt-BR"/>
        </w:rPr>
      </w:pPr>
    </w:p>
    <w:p w14:paraId="586ED319" w14:textId="77777777" w:rsidR="008F013B" w:rsidRPr="000D67C6" w:rsidRDefault="00D466BA" w:rsidP="0036365B">
      <w:pPr>
        <w:pStyle w:val="Heading1"/>
        <w:spacing w:before="0" w:line="259" w:lineRule="auto"/>
        <w:rPr>
          <w:rFonts w:ascii="Arial" w:hAnsi="Arial" w:cs="Arial"/>
          <w:sz w:val="28"/>
          <w:lang w:val="pt-BR"/>
        </w:rPr>
      </w:pPr>
      <w:r w:rsidRPr="000D67C6">
        <w:rPr>
          <w:rFonts w:ascii="Arial" w:hAnsi="Arial" w:cs="Arial"/>
          <w:sz w:val="28"/>
          <w:lang w:val="pt-BR"/>
        </w:rPr>
        <w:t>Note 15</w:t>
      </w:r>
      <w:r w:rsidR="008F013B" w:rsidRPr="000D67C6">
        <w:rPr>
          <w:rFonts w:ascii="Arial" w:hAnsi="Arial" w:cs="Arial"/>
          <w:sz w:val="28"/>
          <w:lang w:val="pt-BR"/>
        </w:rPr>
        <w:t xml:space="preserve"> - Debtors </w:t>
      </w:r>
    </w:p>
    <w:tbl>
      <w:tblPr>
        <w:tblW w:w="0" w:type="auto"/>
        <w:jc w:val="center"/>
        <w:tblLayout w:type="fixed"/>
        <w:tblLook w:val="04A0" w:firstRow="1" w:lastRow="0" w:firstColumn="1" w:lastColumn="0" w:noHBand="0" w:noVBand="1"/>
      </w:tblPr>
      <w:tblGrid>
        <w:gridCol w:w="1545"/>
        <w:gridCol w:w="180"/>
        <w:gridCol w:w="4229"/>
        <w:gridCol w:w="1559"/>
      </w:tblGrid>
      <w:tr w:rsidR="00464E99" w:rsidRPr="000D67C6" w14:paraId="6AAE28B8" w14:textId="77777777" w:rsidTr="00D466BA">
        <w:trPr>
          <w:trHeight w:val="300"/>
          <w:jc w:val="center"/>
        </w:trPr>
        <w:tc>
          <w:tcPr>
            <w:tcW w:w="1545" w:type="dxa"/>
            <w:shd w:val="clear" w:color="auto" w:fill="auto"/>
            <w:tcMar>
              <w:top w:w="20" w:type="dxa"/>
              <w:left w:w="20" w:type="dxa"/>
              <w:bottom w:w="20" w:type="dxa"/>
              <w:right w:w="20" w:type="dxa"/>
            </w:tcMar>
            <w:vAlign w:val="bottom"/>
          </w:tcPr>
          <w:p w14:paraId="2EA55D5F" w14:textId="77777777" w:rsidR="0036365B" w:rsidRPr="000D67C6" w:rsidRDefault="008F013B">
            <w:pPr>
              <w:pStyle w:val="T1TableStyle"/>
              <w:jc w:val="center"/>
              <w:rPr>
                <w:rFonts w:ascii="Arial" w:eastAsia="Calibri" w:hAnsi="Arial" w:cs="Arial"/>
                <w:sz w:val="22"/>
                <w:szCs w:val="22"/>
                <w:lang w:val="pt-BR"/>
              </w:rPr>
            </w:pPr>
            <w:r w:rsidRPr="000D67C6">
              <w:rPr>
                <w:rFonts w:ascii="Arial" w:eastAsia="Calibri" w:hAnsi="Arial" w:cs="Arial"/>
                <w:sz w:val="22"/>
                <w:szCs w:val="22"/>
                <w:lang w:val="pt-BR"/>
              </w:rPr>
              <w:t xml:space="preserve"> </w:t>
            </w:r>
          </w:p>
          <w:p w14:paraId="18FBBF95" w14:textId="77777777" w:rsidR="008F013B" w:rsidRPr="000D67C6" w:rsidRDefault="008F013B" w:rsidP="001D3E4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180" w:type="dxa"/>
            <w:shd w:val="clear" w:color="auto" w:fill="auto"/>
            <w:tcMar>
              <w:top w:w="20" w:type="dxa"/>
              <w:left w:w="20" w:type="dxa"/>
              <w:bottom w:w="20" w:type="dxa"/>
              <w:right w:w="20" w:type="dxa"/>
            </w:tcMar>
            <w:vAlign w:val="bottom"/>
          </w:tcPr>
          <w:p w14:paraId="0CF18834" w14:textId="77777777" w:rsidR="008F013B"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shd w:val="clear" w:color="auto" w:fill="auto"/>
            <w:tcMar>
              <w:top w:w="20" w:type="dxa"/>
              <w:left w:w="20" w:type="dxa"/>
              <w:bottom w:w="20" w:type="dxa"/>
              <w:right w:w="20" w:type="dxa"/>
            </w:tcMar>
            <w:vAlign w:val="bottom"/>
          </w:tcPr>
          <w:p w14:paraId="2902FAE6" w14:textId="77777777" w:rsidR="008F013B" w:rsidRPr="000D67C6" w:rsidRDefault="001D3E45" w:rsidP="001D3E45">
            <w:pPr>
              <w:pStyle w:val="T1TableStyle"/>
              <w:rPr>
                <w:rFonts w:ascii="Arial" w:eastAsia="Verdana" w:hAnsi="Arial" w:cs="Arial"/>
                <w:b/>
                <w:sz w:val="22"/>
                <w:szCs w:val="22"/>
                <w:lang w:val="en-GB"/>
              </w:rPr>
            </w:pPr>
            <w:r w:rsidRPr="000D67C6">
              <w:rPr>
                <w:rFonts w:ascii="Arial" w:eastAsia="Verdana" w:hAnsi="Arial" w:cs="Arial"/>
                <w:b/>
                <w:sz w:val="22"/>
                <w:szCs w:val="22"/>
                <w:lang w:val="en-GB"/>
              </w:rPr>
              <w:t>Short Term Debtors</w:t>
            </w:r>
            <w:r w:rsidR="008F013B" w:rsidRPr="000D67C6">
              <w:rPr>
                <w:rFonts w:ascii="Arial" w:eastAsia="Verdana" w:hAnsi="Arial" w:cs="Arial"/>
                <w:b/>
                <w:sz w:val="22"/>
                <w:szCs w:val="22"/>
                <w:lang w:val="en-GB"/>
              </w:rPr>
              <w:t xml:space="preserve"> </w:t>
            </w:r>
          </w:p>
        </w:tc>
        <w:tc>
          <w:tcPr>
            <w:tcW w:w="1559" w:type="dxa"/>
            <w:shd w:val="clear" w:color="auto" w:fill="auto"/>
            <w:tcMar>
              <w:top w:w="20" w:type="dxa"/>
              <w:left w:w="20" w:type="dxa"/>
              <w:bottom w:w="20" w:type="dxa"/>
              <w:right w:w="20" w:type="dxa"/>
            </w:tcMar>
            <w:vAlign w:val="bottom"/>
          </w:tcPr>
          <w:p w14:paraId="72601262" w14:textId="77777777" w:rsidR="008F013B" w:rsidRPr="000D67C6" w:rsidRDefault="008F013B" w:rsidP="001D3E4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9</w:t>
            </w:r>
          </w:p>
        </w:tc>
      </w:tr>
      <w:tr w:rsidR="00464E99" w:rsidRPr="000D67C6" w14:paraId="36AC016B" w14:textId="77777777" w:rsidTr="00D466BA">
        <w:trPr>
          <w:trHeight w:val="300"/>
          <w:jc w:val="center"/>
        </w:trPr>
        <w:tc>
          <w:tcPr>
            <w:tcW w:w="1545" w:type="dxa"/>
            <w:tcBorders>
              <w:bottom w:val="single" w:sz="2" w:space="0" w:color="000000"/>
            </w:tcBorders>
            <w:shd w:val="clear" w:color="auto" w:fill="auto"/>
            <w:tcMar>
              <w:top w:w="20" w:type="dxa"/>
              <w:left w:w="20" w:type="dxa"/>
              <w:bottom w:w="20" w:type="dxa"/>
              <w:right w:w="20" w:type="dxa"/>
            </w:tcMar>
          </w:tcPr>
          <w:p w14:paraId="365D0312"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294B966B"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tcBorders>
              <w:bottom w:val="single" w:sz="2" w:space="0" w:color="000000"/>
            </w:tcBorders>
            <w:shd w:val="clear" w:color="auto" w:fill="auto"/>
            <w:tcMar>
              <w:top w:w="20" w:type="dxa"/>
              <w:left w:w="20" w:type="dxa"/>
              <w:bottom w:w="20" w:type="dxa"/>
              <w:right w:w="20" w:type="dxa"/>
            </w:tcMar>
          </w:tcPr>
          <w:p w14:paraId="53D64848"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5E9FE1F3"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790DD4" w:rsidRPr="000D67C6" w14:paraId="3BAE7B4C" w14:textId="77777777" w:rsidTr="00D466BA">
        <w:trPr>
          <w:trHeight w:val="316"/>
          <w:jc w:val="center"/>
        </w:trPr>
        <w:tc>
          <w:tcPr>
            <w:tcW w:w="1545" w:type="dxa"/>
            <w:shd w:val="clear" w:color="auto" w:fill="auto"/>
            <w:tcMar>
              <w:top w:w="20" w:type="dxa"/>
              <w:left w:w="20" w:type="dxa"/>
              <w:bottom w:w="20" w:type="dxa"/>
              <w:right w:w="20" w:type="dxa"/>
            </w:tcMar>
          </w:tcPr>
          <w:p w14:paraId="7FBF2D0D"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3,788</w:t>
            </w:r>
          </w:p>
        </w:tc>
        <w:tc>
          <w:tcPr>
            <w:tcW w:w="180" w:type="dxa"/>
            <w:shd w:val="clear" w:color="auto" w:fill="auto"/>
            <w:tcMar>
              <w:top w:w="20" w:type="dxa"/>
              <w:left w:w="20" w:type="dxa"/>
              <w:bottom w:w="20" w:type="dxa"/>
              <w:right w:w="20" w:type="dxa"/>
            </w:tcMar>
          </w:tcPr>
          <w:p w14:paraId="64303AFD"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2953F213"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Central Government Bodies</w:t>
            </w:r>
          </w:p>
        </w:tc>
        <w:tc>
          <w:tcPr>
            <w:tcW w:w="1559" w:type="dxa"/>
            <w:shd w:val="clear" w:color="auto" w:fill="auto"/>
            <w:tcMar>
              <w:top w:w="20" w:type="dxa"/>
              <w:left w:w="20" w:type="dxa"/>
              <w:bottom w:w="20" w:type="dxa"/>
              <w:right w:w="20" w:type="dxa"/>
            </w:tcMar>
          </w:tcPr>
          <w:p w14:paraId="147A878A" w14:textId="6AA8C786" w:rsidR="00790DD4" w:rsidRPr="000D67C6" w:rsidRDefault="00A314A7"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w:t>
            </w:r>
            <w:r w:rsidR="00F85EC1" w:rsidRPr="000D67C6">
              <w:rPr>
                <w:rFonts w:ascii="Arial" w:eastAsia="Verdana" w:hAnsi="Arial" w:cs="Arial"/>
                <w:sz w:val="22"/>
                <w:szCs w:val="22"/>
                <w:lang w:val="en-GB"/>
              </w:rPr>
              <w:t>844</w:t>
            </w:r>
          </w:p>
        </w:tc>
      </w:tr>
      <w:tr w:rsidR="00790DD4" w:rsidRPr="000D67C6" w14:paraId="11EC4B18" w14:textId="77777777" w:rsidTr="00D466BA">
        <w:trPr>
          <w:trHeight w:val="316"/>
          <w:jc w:val="center"/>
        </w:trPr>
        <w:tc>
          <w:tcPr>
            <w:tcW w:w="1545" w:type="dxa"/>
            <w:shd w:val="clear" w:color="auto" w:fill="auto"/>
            <w:tcMar>
              <w:top w:w="20" w:type="dxa"/>
              <w:left w:w="20" w:type="dxa"/>
              <w:bottom w:w="20" w:type="dxa"/>
              <w:right w:w="20" w:type="dxa"/>
            </w:tcMar>
          </w:tcPr>
          <w:p w14:paraId="2FBCD4FF"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208</w:t>
            </w:r>
          </w:p>
        </w:tc>
        <w:tc>
          <w:tcPr>
            <w:tcW w:w="180" w:type="dxa"/>
            <w:shd w:val="clear" w:color="auto" w:fill="auto"/>
            <w:tcMar>
              <w:top w:w="20" w:type="dxa"/>
              <w:left w:w="20" w:type="dxa"/>
              <w:bottom w:w="20" w:type="dxa"/>
              <w:right w:w="20" w:type="dxa"/>
            </w:tcMar>
          </w:tcPr>
          <w:p w14:paraId="7A4411ED"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2070A264"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Other Local Authorities</w:t>
            </w:r>
          </w:p>
        </w:tc>
        <w:tc>
          <w:tcPr>
            <w:tcW w:w="1559" w:type="dxa"/>
            <w:shd w:val="clear" w:color="auto" w:fill="auto"/>
            <w:tcMar>
              <w:top w:w="20" w:type="dxa"/>
              <w:left w:w="20" w:type="dxa"/>
              <w:bottom w:w="20" w:type="dxa"/>
              <w:right w:w="20" w:type="dxa"/>
            </w:tcMar>
          </w:tcPr>
          <w:p w14:paraId="1C12A262" w14:textId="68FD704A" w:rsidR="00790DD4" w:rsidRPr="000D67C6" w:rsidRDefault="00AD6001"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128</w:t>
            </w:r>
          </w:p>
        </w:tc>
      </w:tr>
      <w:tr w:rsidR="00790DD4" w:rsidRPr="000D67C6" w14:paraId="6C36102C" w14:textId="77777777" w:rsidTr="00D466BA">
        <w:trPr>
          <w:trHeight w:val="316"/>
          <w:jc w:val="center"/>
        </w:trPr>
        <w:tc>
          <w:tcPr>
            <w:tcW w:w="1545" w:type="dxa"/>
            <w:shd w:val="clear" w:color="auto" w:fill="auto"/>
            <w:tcMar>
              <w:top w:w="20" w:type="dxa"/>
              <w:left w:w="20" w:type="dxa"/>
              <w:bottom w:w="20" w:type="dxa"/>
              <w:right w:w="20" w:type="dxa"/>
            </w:tcMar>
          </w:tcPr>
          <w:p w14:paraId="310981C1"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286</w:t>
            </w:r>
          </w:p>
        </w:tc>
        <w:tc>
          <w:tcPr>
            <w:tcW w:w="180" w:type="dxa"/>
            <w:shd w:val="clear" w:color="auto" w:fill="auto"/>
            <w:tcMar>
              <w:top w:w="20" w:type="dxa"/>
              <w:left w:w="20" w:type="dxa"/>
              <w:bottom w:w="20" w:type="dxa"/>
              <w:right w:w="20" w:type="dxa"/>
            </w:tcMar>
          </w:tcPr>
          <w:p w14:paraId="54C39F21"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6FBCA2E8"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NHS Bodies</w:t>
            </w:r>
          </w:p>
        </w:tc>
        <w:tc>
          <w:tcPr>
            <w:tcW w:w="1559" w:type="dxa"/>
            <w:shd w:val="clear" w:color="auto" w:fill="auto"/>
            <w:tcMar>
              <w:top w:w="20" w:type="dxa"/>
              <w:left w:w="20" w:type="dxa"/>
              <w:bottom w:w="20" w:type="dxa"/>
              <w:right w:w="20" w:type="dxa"/>
            </w:tcMar>
          </w:tcPr>
          <w:p w14:paraId="32C28A07" w14:textId="35B7FB95" w:rsidR="00790DD4" w:rsidRPr="000D67C6" w:rsidRDefault="00A314A7"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w:t>
            </w:r>
            <w:r w:rsidR="00AD6001" w:rsidRPr="000D67C6">
              <w:rPr>
                <w:rFonts w:ascii="Arial" w:eastAsia="Verdana" w:hAnsi="Arial" w:cs="Arial"/>
                <w:sz w:val="22"/>
                <w:szCs w:val="22"/>
                <w:lang w:val="en-GB"/>
              </w:rPr>
              <w:t>40</w:t>
            </w:r>
          </w:p>
        </w:tc>
      </w:tr>
      <w:tr w:rsidR="00790DD4" w:rsidRPr="000D67C6" w14:paraId="2C8FE84D" w14:textId="77777777" w:rsidTr="00D466BA">
        <w:trPr>
          <w:trHeight w:val="316"/>
          <w:jc w:val="center"/>
        </w:trPr>
        <w:tc>
          <w:tcPr>
            <w:tcW w:w="1545" w:type="dxa"/>
            <w:shd w:val="clear" w:color="auto" w:fill="auto"/>
            <w:tcMar>
              <w:top w:w="20" w:type="dxa"/>
              <w:left w:w="20" w:type="dxa"/>
              <w:bottom w:w="20" w:type="dxa"/>
              <w:right w:w="20" w:type="dxa"/>
            </w:tcMar>
          </w:tcPr>
          <w:p w14:paraId="71175BD2"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556</w:t>
            </w:r>
          </w:p>
        </w:tc>
        <w:tc>
          <w:tcPr>
            <w:tcW w:w="180" w:type="dxa"/>
            <w:shd w:val="clear" w:color="auto" w:fill="auto"/>
            <w:tcMar>
              <w:top w:w="20" w:type="dxa"/>
              <w:left w:w="20" w:type="dxa"/>
              <w:bottom w:w="20" w:type="dxa"/>
              <w:right w:w="20" w:type="dxa"/>
            </w:tcMar>
          </w:tcPr>
          <w:p w14:paraId="282A809A"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01944A6C"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Other Entities and Individuals</w:t>
            </w:r>
          </w:p>
        </w:tc>
        <w:tc>
          <w:tcPr>
            <w:tcW w:w="1559" w:type="dxa"/>
            <w:shd w:val="clear" w:color="auto" w:fill="auto"/>
            <w:tcMar>
              <w:top w:w="20" w:type="dxa"/>
              <w:left w:w="20" w:type="dxa"/>
              <w:bottom w:w="20" w:type="dxa"/>
              <w:right w:w="20" w:type="dxa"/>
            </w:tcMar>
          </w:tcPr>
          <w:p w14:paraId="30F7C6BC" w14:textId="7786FAF6" w:rsidR="00790DD4" w:rsidRPr="000D67C6" w:rsidRDefault="00A314A7"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w:t>
            </w:r>
            <w:r w:rsidR="00AD6001" w:rsidRPr="000D67C6">
              <w:rPr>
                <w:rFonts w:ascii="Arial" w:eastAsia="Verdana" w:hAnsi="Arial" w:cs="Arial"/>
                <w:sz w:val="22"/>
                <w:szCs w:val="22"/>
                <w:lang w:val="en-GB"/>
              </w:rPr>
              <w:t>2</w:t>
            </w:r>
            <w:r w:rsidRPr="000D67C6">
              <w:rPr>
                <w:rFonts w:ascii="Arial" w:eastAsia="Verdana" w:hAnsi="Arial" w:cs="Arial"/>
                <w:sz w:val="22"/>
                <w:szCs w:val="22"/>
                <w:lang w:val="en-GB"/>
              </w:rPr>
              <w:t>3</w:t>
            </w:r>
          </w:p>
        </w:tc>
      </w:tr>
      <w:tr w:rsidR="00790DD4" w:rsidRPr="000D67C6" w14:paraId="73071564" w14:textId="77777777" w:rsidTr="00D466BA">
        <w:trPr>
          <w:trHeight w:val="316"/>
          <w:jc w:val="center"/>
        </w:trPr>
        <w:tc>
          <w:tcPr>
            <w:tcW w:w="1545" w:type="dxa"/>
            <w:shd w:val="clear" w:color="auto" w:fill="auto"/>
            <w:tcMar>
              <w:top w:w="20" w:type="dxa"/>
              <w:left w:w="20" w:type="dxa"/>
              <w:bottom w:w="20" w:type="dxa"/>
              <w:right w:w="20" w:type="dxa"/>
            </w:tcMar>
          </w:tcPr>
          <w:p w14:paraId="27CF9453"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490</w:t>
            </w:r>
          </w:p>
        </w:tc>
        <w:tc>
          <w:tcPr>
            <w:tcW w:w="180" w:type="dxa"/>
            <w:shd w:val="clear" w:color="auto" w:fill="auto"/>
            <w:tcMar>
              <w:top w:w="20" w:type="dxa"/>
              <w:left w:w="20" w:type="dxa"/>
              <w:bottom w:w="20" w:type="dxa"/>
              <w:right w:w="20" w:type="dxa"/>
            </w:tcMar>
          </w:tcPr>
          <w:p w14:paraId="6179F4C7" w14:textId="77777777" w:rsidR="00790DD4" w:rsidRPr="000D67C6" w:rsidRDefault="00790DD4" w:rsidP="00790DD4">
            <w:pPr>
              <w:pStyle w:val="T1TableStyle"/>
              <w:jc w:val="center"/>
              <w:rPr>
                <w:rFonts w:ascii="Arial" w:eastAsia="Verdana" w:hAnsi="Arial" w:cs="Arial"/>
                <w:sz w:val="22"/>
                <w:szCs w:val="22"/>
                <w:lang w:val="en-GB"/>
              </w:rPr>
            </w:pPr>
          </w:p>
        </w:tc>
        <w:tc>
          <w:tcPr>
            <w:tcW w:w="4229" w:type="dxa"/>
            <w:shd w:val="clear" w:color="auto" w:fill="auto"/>
            <w:tcMar>
              <w:top w:w="20" w:type="dxa"/>
              <w:left w:w="20" w:type="dxa"/>
              <w:bottom w:w="20" w:type="dxa"/>
              <w:right w:w="20" w:type="dxa"/>
            </w:tcMar>
          </w:tcPr>
          <w:p w14:paraId="1EB05677"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Payments in Advance</w:t>
            </w:r>
          </w:p>
        </w:tc>
        <w:tc>
          <w:tcPr>
            <w:tcW w:w="1559" w:type="dxa"/>
            <w:shd w:val="clear" w:color="auto" w:fill="auto"/>
            <w:tcMar>
              <w:top w:w="20" w:type="dxa"/>
              <w:left w:w="20" w:type="dxa"/>
              <w:bottom w:w="20" w:type="dxa"/>
              <w:right w:w="20" w:type="dxa"/>
            </w:tcMar>
          </w:tcPr>
          <w:p w14:paraId="6DF1DF0E" w14:textId="77777777" w:rsidR="00790DD4" w:rsidRPr="000D67C6" w:rsidRDefault="00371A7D"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399</w:t>
            </w:r>
          </w:p>
        </w:tc>
      </w:tr>
      <w:tr w:rsidR="00790DD4" w:rsidRPr="000D67C6" w14:paraId="0B770396" w14:textId="77777777" w:rsidTr="00D466BA">
        <w:trPr>
          <w:trHeight w:val="316"/>
          <w:jc w:val="center"/>
        </w:trPr>
        <w:tc>
          <w:tcPr>
            <w:tcW w:w="1545" w:type="dxa"/>
            <w:shd w:val="clear" w:color="auto" w:fill="auto"/>
            <w:tcMar>
              <w:top w:w="20" w:type="dxa"/>
              <w:left w:w="20" w:type="dxa"/>
              <w:bottom w:w="20" w:type="dxa"/>
              <w:right w:w="20" w:type="dxa"/>
            </w:tcMar>
          </w:tcPr>
          <w:p w14:paraId="71CCA086"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(402)</w:t>
            </w:r>
          </w:p>
        </w:tc>
        <w:tc>
          <w:tcPr>
            <w:tcW w:w="180" w:type="dxa"/>
            <w:shd w:val="clear" w:color="auto" w:fill="auto"/>
            <w:tcMar>
              <w:top w:w="20" w:type="dxa"/>
              <w:left w:w="20" w:type="dxa"/>
              <w:bottom w:w="20" w:type="dxa"/>
              <w:right w:w="20" w:type="dxa"/>
            </w:tcMar>
          </w:tcPr>
          <w:p w14:paraId="523736FB" w14:textId="77777777" w:rsidR="00790DD4" w:rsidRPr="000D67C6" w:rsidRDefault="00790DD4" w:rsidP="00790DD4">
            <w:pPr>
              <w:pStyle w:val="T1TableStyle"/>
              <w:jc w:val="center"/>
              <w:rPr>
                <w:rFonts w:ascii="Arial" w:eastAsia="Verdana" w:hAnsi="Arial" w:cs="Arial"/>
                <w:sz w:val="22"/>
                <w:szCs w:val="22"/>
                <w:lang w:val="en-GB"/>
              </w:rPr>
            </w:pPr>
          </w:p>
        </w:tc>
        <w:tc>
          <w:tcPr>
            <w:tcW w:w="4229" w:type="dxa"/>
            <w:shd w:val="clear" w:color="auto" w:fill="auto"/>
            <w:tcMar>
              <w:top w:w="20" w:type="dxa"/>
              <w:left w:w="20" w:type="dxa"/>
              <w:bottom w:w="20" w:type="dxa"/>
              <w:right w:w="20" w:type="dxa"/>
            </w:tcMar>
          </w:tcPr>
          <w:p w14:paraId="2B45103B"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Provision for Irrecoverable debts</w:t>
            </w:r>
          </w:p>
        </w:tc>
        <w:tc>
          <w:tcPr>
            <w:tcW w:w="1559" w:type="dxa"/>
            <w:shd w:val="clear" w:color="auto" w:fill="auto"/>
            <w:tcMar>
              <w:top w:w="20" w:type="dxa"/>
              <w:left w:w="20" w:type="dxa"/>
              <w:bottom w:w="20" w:type="dxa"/>
              <w:right w:w="20" w:type="dxa"/>
            </w:tcMar>
          </w:tcPr>
          <w:p w14:paraId="138C6122" w14:textId="77777777" w:rsidR="00790DD4" w:rsidRPr="000D67C6" w:rsidRDefault="00371A7D"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(494)</w:t>
            </w:r>
          </w:p>
        </w:tc>
      </w:tr>
      <w:tr w:rsidR="00790DD4" w:rsidRPr="000D67C6" w14:paraId="5B72EFB5" w14:textId="77777777" w:rsidTr="00D466BA">
        <w:trPr>
          <w:trHeight w:val="288"/>
          <w:jc w:val="center"/>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6FD147BD"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4,926</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4ABA0AFB" w14:textId="77777777" w:rsidR="00790DD4" w:rsidRPr="000D67C6" w:rsidRDefault="00790DD4" w:rsidP="00790DD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tcBorders>
              <w:top w:val="single" w:sz="2" w:space="0" w:color="000000"/>
              <w:bottom w:val="single" w:sz="12" w:space="0" w:color="000000"/>
            </w:tcBorders>
            <w:shd w:val="clear" w:color="auto" w:fill="auto"/>
            <w:tcMar>
              <w:top w:w="20" w:type="dxa"/>
              <w:left w:w="20" w:type="dxa"/>
              <w:bottom w:w="20" w:type="dxa"/>
              <w:right w:w="20" w:type="dxa"/>
            </w:tcMar>
          </w:tcPr>
          <w:p w14:paraId="5E44199F"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Debtors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7597CBD0" w14:textId="77777777" w:rsidR="00790DD4" w:rsidRPr="000D67C6" w:rsidRDefault="00CF7CC9"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3,640</w:t>
            </w:r>
          </w:p>
        </w:tc>
      </w:tr>
    </w:tbl>
    <w:p w14:paraId="6362EA6A" w14:textId="77777777" w:rsidR="00FF7696" w:rsidRPr="000D67C6" w:rsidRDefault="00FF7696" w:rsidP="0036365B">
      <w:pPr>
        <w:pStyle w:val="Heading1"/>
        <w:spacing w:before="0" w:line="259" w:lineRule="auto"/>
        <w:rPr>
          <w:rFonts w:ascii="Arial" w:hAnsi="Arial" w:cs="Arial"/>
          <w:sz w:val="22"/>
          <w:szCs w:val="22"/>
          <w:lang w:val="en-GB"/>
        </w:rPr>
      </w:pPr>
    </w:p>
    <w:p w14:paraId="64C7C16B" w14:textId="77777777" w:rsidR="00FF7696" w:rsidRPr="000D67C6" w:rsidRDefault="00FF7696">
      <w:pPr>
        <w:rPr>
          <w:rFonts w:ascii="Arial" w:eastAsiaTheme="majorEastAsia" w:hAnsi="Arial" w:cs="Arial"/>
          <w:b/>
          <w:sz w:val="22"/>
          <w:szCs w:val="22"/>
          <w:lang w:val="en-GB"/>
        </w:rPr>
      </w:pPr>
      <w:r w:rsidRPr="000D67C6">
        <w:rPr>
          <w:rFonts w:ascii="Arial" w:hAnsi="Arial" w:cs="Arial"/>
          <w:sz w:val="22"/>
          <w:szCs w:val="22"/>
          <w:lang w:val="en-GB"/>
        </w:rPr>
        <w:br w:type="page"/>
      </w:r>
    </w:p>
    <w:tbl>
      <w:tblPr>
        <w:tblW w:w="0" w:type="auto"/>
        <w:jc w:val="center"/>
        <w:tblLayout w:type="fixed"/>
        <w:tblLook w:val="04A0" w:firstRow="1" w:lastRow="0" w:firstColumn="1" w:lastColumn="0" w:noHBand="0" w:noVBand="1"/>
      </w:tblPr>
      <w:tblGrid>
        <w:gridCol w:w="1545"/>
        <w:gridCol w:w="180"/>
        <w:gridCol w:w="4229"/>
        <w:gridCol w:w="1559"/>
      </w:tblGrid>
      <w:tr w:rsidR="001D3E45" w:rsidRPr="000D67C6" w14:paraId="6BEF4090" w14:textId="77777777" w:rsidTr="00D466BA">
        <w:trPr>
          <w:trHeight w:val="300"/>
          <w:jc w:val="center"/>
        </w:trPr>
        <w:tc>
          <w:tcPr>
            <w:tcW w:w="1545" w:type="dxa"/>
            <w:shd w:val="clear" w:color="auto" w:fill="auto"/>
            <w:tcMar>
              <w:top w:w="20" w:type="dxa"/>
              <w:left w:w="20" w:type="dxa"/>
              <w:bottom w:w="20" w:type="dxa"/>
              <w:right w:w="20" w:type="dxa"/>
            </w:tcMar>
            <w:vAlign w:val="bottom"/>
          </w:tcPr>
          <w:p w14:paraId="5E5408B3" w14:textId="77777777" w:rsidR="001D3E45" w:rsidRPr="000D67C6" w:rsidRDefault="003A59BE" w:rsidP="001D3E4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180" w:type="dxa"/>
            <w:shd w:val="clear" w:color="auto" w:fill="auto"/>
            <w:tcMar>
              <w:top w:w="20" w:type="dxa"/>
              <w:left w:w="20" w:type="dxa"/>
              <w:bottom w:w="20" w:type="dxa"/>
              <w:right w:w="20" w:type="dxa"/>
            </w:tcMar>
            <w:vAlign w:val="bottom"/>
          </w:tcPr>
          <w:p w14:paraId="58DEAB45" w14:textId="77777777" w:rsidR="001D3E45" w:rsidRPr="000D67C6" w:rsidRDefault="001D3E45" w:rsidP="007A68D3">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shd w:val="clear" w:color="auto" w:fill="auto"/>
            <w:tcMar>
              <w:top w:w="20" w:type="dxa"/>
              <w:left w:w="20" w:type="dxa"/>
              <w:bottom w:w="20" w:type="dxa"/>
              <w:right w:w="20" w:type="dxa"/>
            </w:tcMar>
            <w:vAlign w:val="bottom"/>
          </w:tcPr>
          <w:p w14:paraId="715D53A6" w14:textId="77777777" w:rsidR="001D3E45" w:rsidRPr="000D67C6" w:rsidRDefault="001D3E45" w:rsidP="001D3E45">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Long Term Debtors </w:t>
            </w:r>
          </w:p>
        </w:tc>
        <w:tc>
          <w:tcPr>
            <w:tcW w:w="1559" w:type="dxa"/>
            <w:shd w:val="clear" w:color="auto" w:fill="auto"/>
            <w:tcMar>
              <w:top w:w="20" w:type="dxa"/>
              <w:left w:w="20" w:type="dxa"/>
              <w:bottom w:w="20" w:type="dxa"/>
              <w:right w:w="20" w:type="dxa"/>
            </w:tcMar>
            <w:vAlign w:val="bottom"/>
          </w:tcPr>
          <w:p w14:paraId="245F027D" w14:textId="77777777" w:rsidR="001D3E45" w:rsidRPr="000D67C6" w:rsidRDefault="001D3E45" w:rsidP="001D3E4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9</w:t>
            </w:r>
          </w:p>
        </w:tc>
      </w:tr>
      <w:tr w:rsidR="001D3E45" w:rsidRPr="000D67C6" w14:paraId="3DE8BA00" w14:textId="77777777" w:rsidTr="00D466BA">
        <w:trPr>
          <w:trHeight w:val="300"/>
          <w:jc w:val="center"/>
        </w:trPr>
        <w:tc>
          <w:tcPr>
            <w:tcW w:w="1545" w:type="dxa"/>
            <w:tcBorders>
              <w:bottom w:val="single" w:sz="2" w:space="0" w:color="000000"/>
            </w:tcBorders>
            <w:shd w:val="clear" w:color="auto" w:fill="auto"/>
            <w:tcMar>
              <w:top w:w="20" w:type="dxa"/>
              <w:left w:w="20" w:type="dxa"/>
              <w:bottom w:w="20" w:type="dxa"/>
              <w:right w:w="20" w:type="dxa"/>
            </w:tcMar>
          </w:tcPr>
          <w:p w14:paraId="548CB545" w14:textId="77777777" w:rsidR="001D3E45" w:rsidRPr="000D67C6" w:rsidRDefault="001D3E45"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3512F3B4" w14:textId="77777777" w:rsidR="001D3E45" w:rsidRPr="000D67C6" w:rsidRDefault="001D3E45"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tcBorders>
              <w:bottom w:val="single" w:sz="2" w:space="0" w:color="000000"/>
            </w:tcBorders>
            <w:shd w:val="clear" w:color="auto" w:fill="auto"/>
            <w:tcMar>
              <w:top w:w="20" w:type="dxa"/>
              <w:left w:w="20" w:type="dxa"/>
              <w:bottom w:w="20" w:type="dxa"/>
              <w:right w:w="20" w:type="dxa"/>
            </w:tcMar>
          </w:tcPr>
          <w:p w14:paraId="331C1FDA" w14:textId="77777777" w:rsidR="001D3E45" w:rsidRPr="000D67C6" w:rsidRDefault="001D3E45"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58FEB168" w14:textId="77777777" w:rsidR="001D3E45" w:rsidRPr="000D67C6" w:rsidRDefault="001D3E45"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790DD4" w:rsidRPr="000D67C6" w14:paraId="456E327A" w14:textId="77777777" w:rsidTr="00D466BA">
        <w:trPr>
          <w:trHeight w:val="316"/>
          <w:jc w:val="center"/>
        </w:trPr>
        <w:tc>
          <w:tcPr>
            <w:tcW w:w="1545" w:type="dxa"/>
            <w:shd w:val="clear" w:color="auto" w:fill="auto"/>
            <w:tcMar>
              <w:top w:w="20" w:type="dxa"/>
              <w:left w:w="20" w:type="dxa"/>
              <w:bottom w:w="20" w:type="dxa"/>
              <w:right w:w="20" w:type="dxa"/>
            </w:tcMar>
          </w:tcPr>
          <w:p w14:paraId="243455F6"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80" w:type="dxa"/>
            <w:shd w:val="clear" w:color="auto" w:fill="auto"/>
            <w:tcMar>
              <w:top w:w="20" w:type="dxa"/>
              <w:left w:w="20" w:type="dxa"/>
              <w:bottom w:w="20" w:type="dxa"/>
              <w:right w:w="20" w:type="dxa"/>
            </w:tcMar>
          </w:tcPr>
          <w:p w14:paraId="06D28E8B"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56B32B9C"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Other Local Authorities</w:t>
            </w:r>
          </w:p>
        </w:tc>
        <w:tc>
          <w:tcPr>
            <w:tcW w:w="1559" w:type="dxa"/>
            <w:shd w:val="clear" w:color="auto" w:fill="auto"/>
            <w:tcMar>
              <w:top w:w="20" w:type="dxa"/>
              <w:left w:w="20" w:type="dxa"/>
              <w:bottom w:w="20" w:type="dxa"/>
              <w:right w:w="20" w:type="dxa"/>
            </w:tcMar>
          </w:tcPr>
          <w:p w14:paraId="329CD398"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790DD4" w:rsidRPr="000D67C6" w14:paraId="778669D5" w14:textId="77777777" w:rsidTr="00D466BA">
        <w:trPr>
          <w:trHeight w:val="316"/>
          <w:jc w:val="center"/>
        </w:trPr>
        <w:tc>
          <w:tcPr>
            <w:tcW w:w="1545" w:type="dxa"/>
            <w:shd w:val="clear" w:color="auto" w:fill="auto"/>
            <w:tcMar>
              <w:top w:w="20" w:type="dxa"/>
              <w:left w:w="20" w:type="dxa"/>
              <w:bottom w:w="20" w:type="dxa"/>
              <w:right w:w="20" w:type="dxa"/>
            </w:tcMar>
          </w:tcPr>
          <w:p w14:paraId="2F935E5E" w14:textId="77777777" w:rsidR="00790DD4" w:rsidRPr="000D67C6" w:rsidRDefault="00790DD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205</w:t>
            </w:r>
          </w:p>
        </w:tc>
        <w:tc>
          <w:tcPr>
            <w:tcW w:w="180" w:type="dxa"/>
            <w:shd w:val="clear" w:color="auto" w:fill="auto"/>
            <w:tcMar>
              <w:top w:w="20" w:type="dxa"/>
              <w:left w:w="20" w:type="dxa"/>
              <w:bottom w:w="20" w:type="dxa"/>
              <w:right w:w="20" w:type="dxa"/>
            </w:tcMar>
          </w:tcPr>
          <w:p w14:paraId="43981324"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29" w:type="dxa"/>
            <w:shd w:val="clear" w:color="auto" w:fill="auto"/>
            <w:tcMar>
              <w:top w:w="20" w:type="dxa"/>
              <w:left w:w="20" w:type="dxa"/>
              <w:bottom w:w="20" w:type="dxa"/>
              <w:right w:w="20" w:type="dxa"/>
            </w:tcMar>
          </w:tcPr>
          <w:p w14:paraId="3C23217F"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Other Entities and Individuals</w:t>
            </w:r>
          </w:p>
        </w:tc>
        <w:tc>
          <w:tcPr>
            <w:tcW w:w="1559" w:type="dxa"/>
            <w:shd w:val="clear" w:color="auto" w:fill="auto"/>
            <w:tcMar>
              <w:top w:w="20" w:type="dxa"/>
              <w:left w:w="20" w:type="dxa"/>
              <w:bottom w:w="20" w:type="dxa"/>
              <w:right w:w="20" w:type="dxa"/>
            </w:tcMar>
          </w:tcPr>
          <w:p w14:paraId="2AC8E1AD" w14:textId="77777777" w:rsidR="00790DD4" w:rsidRPr="000D67C6" w:rsidRDefault="00A314A7"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165</w:t>
            </w:r>
          </w:p>
        </w:tc>
      </w:tr>
      <w:tr w:rsidR="00790DD4" w:rsidRPr="000D67C6" w14:paraId="5EFBAE50" w14:textId="77777777" w:rsidTr="00D466BA">
        <w:trPr>
          <w:trHeight w:val="288"/>
          <w:jc w:val="center"/>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7A971539"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205</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11162DDC" w14:textId="77777777" w:rsidR="00790DD4" w:rsidRPr="000D67C6" w:rsidRDefault="00790DD4" w:rsidP="00790DD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229" w:type="dxa"/>
            <w:tcBorders>
              <w:top w:val="single" w:sz="2" w:space="0" w:color="000000"/>
              <w:bottom w:val="single" w:sz="12" w:space="0" w:color="000000"/>
            </w:tcBorders>
            <w:shd w:val="clear" w:color="auto" w:fill="auto"/>
            <w:tcMar>
              <w:top w:w="20" w:type="dxa"/>
              <w:left w:w="20" w:type="dxa"/>
              <w:bottom w:w="20" w:type="dxa"/>
              <w:right w:w="20" w:type="dxa"/>
            </w:tcMar>
          </w:tcPr>
          <w:p w14:paraId="1AEA1808"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Debtors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21A8ACD8" w14:textId="77777777" w:rsidR="00790DD4" w:rsidRPr="000D67C6" w:rsidRDefault="00A314A7"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165</w:t>
            </w:r>
          </w:p>
        </w:tc>
      </w:tr>
    </w:tbl>
    <w:p w14:paraId="59835AA6" w14:textId="77777777" w:rsidR="001A271B" w:rsidRPr="00EE7AF3" w:rsidRDefault="001A271B" w:rsidP="001A271B">
      <w:pPr>
        <w:rPr>
          <w:rFonts w:ascii="Arial" w:hAnsi="Arial" w:cs="Arial"/>
          <w:color w:val="FF0000"/>
          <w:sz w:val="32"/>
          <w:lang w:val="en-GB"/>
        </w:rPr>
      </w:pPr>
    </w:p>
    <w:p w14:paraId="1F396900" w14:textId="52BE77DC" w:rsidR="008F013B" w:rsidRPr="000D67C6" w:rsidRDefault="00D466BA" w:rsidP="0036365B">
      <w:pPr>
        <w:pStyle w:val="Heading1"/>
        <w:spacing w:before="0" w:line="259" w:lineRule="auto"/>
        <w:rPr>
          <w:rFonts w:ascii="Arial" w:hAnsi="Arial" w:cs="Arial"/>
          <w:sz w:val="20"/>
          <w:szCs w:val="22"/>
          <w:lang w:val="en-GB"/>
        </w:rPr>
      </w:pPr>
      <w:r w:rsidRPr="000D67C6">
        <w:rPr>
          <w:rFonts w:ascii="Arial" w:hAnsi="Arial" w:cs="Arial"/>
          <w:sz w:val="28"/>
          <w:lang w:val="en-GB"/>
        </w:rPr>
        <w:t>Note 16</w:t>
      </w:r>
      <w:r w:rsidR="008F013B" w:rsidRPr="000D67C6">
        <w:rPr>
          <w:rFonts w:ascii="Arial" w:hAnsi="Arial" w:cs="Arial"/>
          <w:sz w:val="28"/>
          <w:lang w:val="en-GB"/>
        </w:rPr>
        <w:t xml:space="preserve"> - Cash and Cash Equivalents </w:t>
      </w:r>
      <w:r w:rsidR="008F013B" w:rsidRPr="000D67C6">
        <w:rPr>
          <w:rFonts w:ascii="Arial" w:hAnsi="Arial" w:cs="Arial"/>
          <w:sz w:val="20"/>
          <w:szCs w:val="22"/>
          <w:lang w:val="en-GB"/>
        </w:rPr>
        <w:t xml:space="preserve"> </w:t>
      </w:r>
    </w:p>
    <w:p w14:paraId="70090857" w14:textId="77777777" w:rsidR="006B7937" w:rsidRPr="00EE7AF3" w:rsidRDefault="006B7937" w:rsidP="006B7937">
      <w:pPr>
        <w:rPr>
          <w:rFonts w:ascii="Arial" w:hAnsi="Arial" w:cs="Arial"/>
          <w:sz w:val="22"/>
          <w:lang w:val="en-GB"/>
        </w:rPr>
      </w:pPr>
    </w:p>
    <w:tbl>
      <w:tblPr>
        <w:tblW w:w="0" w:type="auto"/>
        <w:jc w:val="center"/>
        <w:tblLayout w:type="fixed"/>
        <w:tblLook w:val="04A0" w:firstRow="1" w:lastRow="0" w:firstColumn="1" w:lastColumn="0" w:noHBand="0" w:noVBand="1"/>
      </w:tblPr>
      <w:tblGrid>
        <w:gridCol w:w="1560"/>
        <w:gridCol w:w="283"/>
        <w:gridCol w:w="4111"/>
        <w:gridCol w:w="1559"/>
      </w:tblGrid>
      <w:tr w:rsidR="00464E99" w:rsidRPr="000D67C6" w14:paraId="5D6A7193" w14:textId="77777777" w:rsidTr="00D466BA">
        <w:trPr>
          <w:trHeight w:val="300"/>
          <w:jc w:val="center"/>
        </w:trPr>
        <w:tc>
          <w:tcPr>
            <w:tcW w:w="1560" w:type="dxa"/>
            <w:shd w:val="clear" w:color="auto" w:fill="auto"/>
            <w:tcMar>
              <w:top w:w="20" w:type="dxa"/>
              <w:left w:w="20" w:type="dxa"/>
              <w:bottom w:w="20" w:type="dxa"/>
              <w:right w:w="20" w:type="dxa"/>
            </w:tcMar>
            <w:vAlign w:val="bottom"/>
          </w:tcPr>
          <w:p w14:paraId="787DDE8B" w14:textId="01FC9A77" w:rsidR="0036365B" w:rsidRPr="000D67C6" w:rsidRDefault="006B7937">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*Restated </w:t>
            </w:r>
          </w:p>
          <w:p w14:paraId="0FCF6785" w14:textId="24CE2FDE" w:rsidR="008F013B" w:rsidRPr="000D67C6" w:rsidRDefault="003A59BE" w:rsidP="00D466B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790DD4" w:rsidRPr="000D67C6">
              <w:rPr>
                <w:rFonts w:ascii="Arial" w:eastAsia="Verdana" w:hAnsi="Arial" w:cs="Arial"/>
                <w:b/>
                <w:sz w:val="22"/>
                <w:szCs w:val="22"/>
                <w:lang w:val="en-GB"/>
              </w:rPr>
              <w:t>8</w:t>
            </w:r>
          </w:p>
        </w:tc>
        <w:tc>
          <w:tcPr>
            <w:tcW w:w="283" w:type="dxa"/>
            <w:shd w:val="clear" w:color="auto" w:fill="auto"/>
            <w:tcMar>
              <w:top w:w="20" w:type="dxa"/>
              <w:left w:w="20" w:type="dxa"/>
              <w:bottom w:w="20" w:type="dxa"/>
              <w:right w:w="20" w:type="dxa"/>
            </w:tcMar>
            <w:vAlign w:val="bottom"/>
          </w:tcPr>
          <w:p w14:paraId="22C317E2" w14:textId="77777777" w:rsidR="008F013B"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111" w:type="dxa"/>
            <w:shd w:val="clear" w:color="auto" w:fill="auto"/>
            <w:tcMar>
              <w:top w:w="20" w:type="dxa"/>
              <w:left w:w="20" w:type="dxa"/>
              <w:bottom w:w="20" w:type="dxa"/>
              <w:right w:w="20" w:type="dxa"/>
            </w:tcMar>
            <w:vAlign w:val="bottom"/>
          </w:tcPr>
          <w:p w14:paraId="31780647" w14:textId="77777777" w:rsidR="008F013B" w:rsidRPr="000D67C6" w:rsidRDefault="008F013B" w:rsidP="00D466B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559" w:type="dxa"/>
            <w:shd w:val="clear" w:color="auto" w:fill="auto"/>
            <w:tcMar>
              <w:top w:w="20" w:type="dxa"/>
              <w:left w:w="20" w:type="dxa"/>
              <w:bottom w:w="20" w:type="dxa"/>
              <w:right w:w="20" w:type="dxa"/>
            </w:tcMar>
            <w:vAlign w:val="bottom"/>
          </w:tcPr>
          <w:p w14:paraId="6495AF14" w14:textId="77777777" w:rsidR="008F013B" w:rsidRPr="000D67C6" w:rsidRDefault="008F013B" w:rsidP="00D466B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w:t>
            </w:r>
            <w:r w:rsidR="003A59BE" w:rsidRPr="000D67C6">
              <w:rPr>
                <w:rFonts w:ascii="Arial" w:eastAsia="Verdana" w:hAnsi="Arial" w:cs="Arial"/>
                <w:b/>
                <w:sz w:val="22"/>
                <w:szCs w:val="22"/>
                <w:lang w:val="en-GB"/>
              </w:rPr>
              <w:t>1</w:t>
            </w:r>
            <w:r w:rsidR="00790DD4" w:rsidRPr="000D67C6">
              <w:rPr>
                <w:rFonts w:ascii="Arial" w:eastAsia="Verdana" w:hAnsi="Arial" w:cs="Arial"/>
                <w:b/>
                <w:sz w:val="22"/>
                <w:szCs w:val="22"/>
                <w:lang w:val="en-GB"/>
              </w:rPr>
              <w:t>9</w:t>
            </w:r>
          </w:p>
        </w:tc>
      </w:tr>
      <w:tr w:rsidR="00464E99" w:rsidRPr="000D67C6" w14:paraId="7AC8F22B" w14:textId="77777777" w:rsidTr="00D466BA">
        <w:trPr>
          <w:trHeight w:val="300"/>
          <w:jc w:val="center"/>
        </w:trPr>
        <w:tc>
          <w:tcPr>
            <w:tcW w:w="1560" w:type="dxa"/>
            <w:tcBorders>
              <w:bottom w:val="single" w:sz="2" w:space="0" w:color="000000"/>
            </w:tcBorders>
            <w:shd w:val="clear" w:color="auto" w:fill="auto"/>
            <w:tcMar>
              <w:top w:w="20" w:type="dxa"/>
              <w:left w:w="20" w:type="dxa"/>
              <w:bottom w:w="20" w:type="dxa"/>
              <w:right w:w="20" w:type="dxa"/>
            </w:tcMar>
          </w:tcPr>
          <w:p w14:paraId="5793F00A"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83" w:type="dxa"/>
            <w:tcBorders>
              <w:bottom w:val="single" w:sz="2" w:space="0" w:color="000000"/>
            </w:tcBorders>
            <w:shd w:val="clear" w:color="auto" w:fill="auto"/>
            <w:tcMar>
              <w:top w:w="20" w:type="dxa"/>
              <w:left w:w="20" w:type="dxa"/>
              <w:bottom w:w="20" w:type="dxa"/>
              <w:right w:w="20" w:type="dxa"/>
            </w:tcMar>
          </w:tcPr>
          <w:p w14:paraId="616C8F17"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111" w:type="dxa"/>
            <w:tcBorders>
              <w:bottom w:val="single" w:sz="2" w:space="0" w:color="000000"/>
            </w:tcBorders>
            <w:shd w:val="clear" w:color="auto" w:fill="auto"/>
            <w:tcMar>
              <w:top w:w="20" w:type="dxa"/>
              <w:left w:w="20" w:type="dxa"/>
              <w:bottom w:w="20" w:type="dxa"/>
              <w:right w:w="20" w:type="dxa"/>
            </w:tcMar>
          </w:tcPr>
          <w:p w14:paraId="1CBA4EEF"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3272D7AE"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790DD4" w:rsidRPr="000D67C6" w14:paraId="632C44C3" w14:textId="77777777" w:rsidTr="003A59BE">
        <w:trPr>
          <w:trHeight w:val="300"/>
          <w:jc w:val="center"/>
        </w:trPr>
        <w:tc>
          <w:tcPr>
            <w:tcW w:w="1560" w:type="dxa"/>
            <w:tcBorders>
              <w:top w:val="single" w:sz="2" w:space="0" w:color="000000"/>
            </w:tcBorders>
            <w:shd w:val="clear" w:color="auto" w:fill="auto"/>
            <w:tcMar>
              <w:top w:w="20" w:type="dxa"/>
              <w:left w:w="20" w:type="dxa"/>
              <w:bottom w:w="20" w:type="dxa"/>
              <w:right w:w="20" w:type="dxa"/>
            </w:tcMar>
          </w:tcPr>
          <w:p w14:paraId="09FF5229" w14:textId="6BF06471" w:rsidR="00790DD4" w:rsidRPr="000D67C6" w:rsidRDefault="00276032"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w:t>
            </w:r>
            <w:r w:rsidR="00790DD4" w:rsidRPr="000D67C6">
              <w:rPr>
                <w:rFonts w:ascii="Arial" w:eastAsia="Verdana" w:hAnsi="Arial" w:cs="Arial"/>
                <w:sz w:val="22"/>
                <w:szCs w:val="22"/>
                <w:lang w:val="en-GB"/>
              </w:rPr>
              <w:t>,051</w:t>
            </w:r>
          </w:p>
        </w:tc>
        <w:tc>
          <w:tcPr>
            <w:tcW w:w="283" w:type="dxa"/>
            <w:shd w:val="clear" w:color="auto" w:fill="auto"/>
            <w:tcMar>
              <w:top w:w="20" w:type="dxa"/>
              <w:left w:w="20" w:type="dxa"/>
              <w:bottom w:w="20" w:type="dxa"/>
              <w:right w:w="20" w:type="dxa"/>
            </w:tcMar>
          </w:tcPr>
          <w:p w14:paraId="22FFB029"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111" w:type="dxa"/>
            <w:shd w:val="clear" w:color="auto" w:fill="auto"/>
            <w:tcMar>
              <w:top w:w="20" w:type="dxa"/>
              <w:left w:w="20" w:type="dxa"/>
              <w:bottom w:w="20" w:type="dxa"/>
              <w:right w:w="20" w:type="dxa"/>
            </w:tcMar>
          </w:tcPr>
          <w:p w14:paraId="4615D063" w14:textId="77777777" w:rsidR="00790DD4" w:rsidRPr="000D67C6" w:rsidRDefault="00790DD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Cash and Bank balances</w:t>
            </w:r>
          </w:p>
        </w:tc>
        <w:tc>
          <w:tcPr>
            <w:tcW w:w="1559" w:type="dxa"/>
            <w:tcBorders>
              <w:top w:val="single" w:sz="2" w:space="0" w:color="000000"/>
            </w:tcBorders>
            <w:shd w:val="clear" w:color="auto" w:fill="auto"/>
            <w:tcMar>
              <w:top w:w="20" w:type="dxa"/>
              <w:left w:w="20" w:type="dxa"/>
              <w:bottom w:w="20" w:type="dxa"/>
              <w:right w:w="20" w:type="dxa"/>
            </w:tcMar>
          </w:tcPr>
          <w:p w14:paraId="4DE84858" w14:textId="1FE22539" w:rsidR="00790DD4" w:rsidRPr="000D67C6" w:rsidRDefault="00A615A0"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57</w:t>
            </w:r>
            <w:r w:rsidR="0068261D" w:rsidRPr="000D67C6">
              <w:rPr>
                <w:rFonts w:ascii="Arial" w:eastAsia="Verdana" w:hAnsi="Arial" w:cs="Arial"/>
                <w:sz w:val="22"/>
                <w:szCs w:val="22"/>
                <w:lang w:val="en-GB"/>
              </w:rPr>
              <w:t>5</w:t>
            </w:r>
          </w:p>
        </w:tc>
      </w:tr>
      <w:tr w:rsidR="00790DD4" w:rsidRPr="000D67C6" w14:paraId="189C34F9" w14:textId="77777777" w:rsidTr="00D466BA">
        <w:trPr>
          <w:trHeight w:val="300"/>
          <w:jc w:val="center"/>
        </w:trPr>
        <w:tc>
          <w:tcPr>
            <w:tcW w:w="1560" w:type="dxa"/>
            <w:shd w:val="clear" w:color="auto" w:fill="auto"/>
            <w:tcMar>
              <w:top w:w="20" w:type="dxa"/>
              <w:left w:w="20" w:type="dxa"/>
              <w:bottom w:w="20" w:type="dxa"/>
              <w:right w:w="20" w:type="dxa"/>
            </w:tcMar>
          </w:tcPr>
          <w:p w14:paraId="3456E327" w14:textId="3B9BCFEC" w:rsidR="00790DD4" w:rsidRPr="000D67C6" w:rsidRDefault="00276032"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2,00</w:t>
            </w:r>
            <w:r w:rsidR="00790DD4" w:rsidRPr="000D67C6">
              <w:rPr>
                <w:rFonts w:ascii="Arial" w:eastAsia="Verdana" w:hAnsi="Arial" w:cs="Arial"/>
                <w:sz w:val="22"/>
                <w:szCs w:val="22"/>
                <w:lang w:val="en-GB"/>
              </w:rPr>
              <w:t>0</w:t>
            </w:r>
          </w:p>
        </w:tc>
        <w:tc>
          <w:tcPr>
            <w:tcW w:w="283" w:type="dxa"/>
            <w:shd w:val="clear" w:color="auto" w:fill="auto"/>
            <w:tcMar>
              <w:top w:w="20" w:type="dxa"/>
              <w:left w:w="20" w:type="dxa"/>
              <w:bottom w:w="20" w:type="dxa"/>
              <w:right w:w="20" w:type="dxa"/>
            </w:tcMar>
          </w:tcPr>
          <w:p w14:paraId="045521BE" w14:textId="77777777" w:rsidR="00790DD4" w:rsidRPr="000D67C6" w:rsidRDefault="00790DD4" w:rsidP="00790DD4">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111" w:type="dxa"/>
            <w:shd w:val="clear" w:color="auto" w:fill="auto"/>
            <w:tcMar>
              <w:top w:w="20" w:type="dxa"/>
              <w:left w:w="20" w:type="dxa"/>
              <w:bottom w:w="20" w:type="dxa"/>
              <w:right w:w="20" w:type="dxa"/>
            </w:tcMar>
          </w:tcPr>
          <w:p w14:paraId="50FC2FF1" w14:textId="419453D9" w:rsidR="00790DD4" w:rsidRPr="000D67C6" w:rsidRDefault="009E1824" w:rsidP="00790DD4">
            <w:pPr>
              <w:pStyle w:val="T1TableStyle"/>
              <w:rPr>
                <w:rFonts w:ascii="Arial" w:eastAsia="Verdana" w:hAnsi="Arial" w:cs="Arial"/>
                <w:sz w:val="22"/>
                <w:szCs w:val="22"/>
                <w:lang w:val="en-GB"/>
              </w:rPr>
            </w:pPr>
            <w:r w:rsidRPr="000D67C6">
              <w:rPr>
                <w:rFonts w:ascii="Arial" w:eastAsia="Verdana" w:hAnsi="Arial" w:cs="Arial"/>
                <w:sz w:val="22"/>
                <w:szCs w:val="22"/>
                <w:lang w:val="en-GB"/>
              </w:rPr>
              <w:t>Short-term Deposits</w:t>
            </w:r>
          </w:p>
        </w:tc>
        <w:tc>
          <w:tcPr>
            <w:tcW w:w="1559" w:type="dxa"/>
            <w:shd w:val="clear" w:color="auto" w:fill="auto"/>
            <w:tcMar>
              <w:top w:w="20" w:type="dxa"/>
              <w:left w:w="20" w:type="dxa"/>
              <w:bottom w:w="20" w:type="dxa"/>
              <w:right w:w="20" w:type="dxa"/>
            </w:tcMar>
          </w:tcPr>
          <w:p w14:paraId="75C81A0C" w14:textId="0B549EBF" w:rsidR="00790DD4" w:rsidRPr="000D67C6" w:rsidRDefault="009E1824" w:rsidP="00790DD4">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4,00</w:t>
            </w:r>
            <w:r w:rsidR="00790DD4" w:rsidRPr="000D67C6">
              <w:rPr>
                <w:rFonts w:ascii="Arial" w:eastAsia="Verdana" w:hAnsi="Arial" w:cs="Arial"/>
                <w:sz w:val="22"/>
                <w:szCs w:val="22"/>
                <w:lang w:val="en-GB"/>
              </w:rPr>
              <w:t>0</w:t>
            </w:r>
          </w:p>
        </w:tc>
      </w:tr>
      <w:tr w:rsidR="00790DD4" w:rsidRPr="000D67C6" w14:paraId="4D5303A9" w14:textId="77777777" w:rsidTr="00D466BA">
        <w:trPr>
          <w:trHeight w:val="274"/>
          <w:jc w:val="center"/>
        </w:trPr>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14:paraId="3BA8FC9D" w14:textId="77777777" w:rsidR="00790DD4" w:rsidRPr="000D67C6" w:rsidRDefault="00790DD4"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3,051</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tcPr>
          <w:p w14:paraId="5CEFE9CD" w14:textId="77777777" w:rsidR="00790DD4" w:rsidRPr="000D67C6" w:rsidRDefault="00790DD4" w:rsidP="00790DD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111" w:type="dxa"/>
            <w:tcBorders>
              <w:top w:val="single" w:sz="2" w:space="0" w:color="000000"/>
              <w:bottom w:val="single" w:sz="12" w:space="0" w:color="000000"/>
            </w:tcBorders>
            <w:shd w:val="clear" w:color="auto" w:fill="auto"/>
            <w:tcMar>
              <w:top w:w="20" w:type="dxa"/>
              <w:left w:w="20" w:type="dxa"/>
              <w:bottom w:w="20" w:type="dxa"/>
              <w:right w:w="20" w:type="dxa"/>
            </w:tcMar>
          </w:tcPr>
          <w:p w14:paraId="7AE94459" w14:textId="77777777" w:rsidR="00790DD4" w:rsidRPr="000D67C6" w:rsidRDefault="00790DD4" w:rsidP="00790DD4">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Cash and Cash Equivalents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61EFF33B" w14:textId="77777777" w:rsidR="00790DD4" w:rsidRPr="000D67C6" w:rsidRDefault="00A615A0" w:rsidP="00790DD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4,57</w:t>
            </w:r>
            <w:r w:rsidR="0068261D" w:rsidRPr="000D67C6">
              <w:rPr>
                <w:rFonts w:ascii="Arial" w:eastAsia="Verdana" w:hAnsi="Arial" w:cs="Arial"/>
                <w:b/>
                <w:sz w:val="22"/>
                <w:szCs w:val="22"/>
                <w:lang w:val="en-GB"/>
              </w:rPr>
              <w:t>5</w:t>
            </w:r>
          </w:p>
        </w:tc>
      </w:tr>
    </w:tbl>
    <w:p w14:paraId="04C05373" w14:textId="2FC711E5" w:rsidR="008F013B" w:rsidRPr="000D67C6" w:rsidRDefault="008F013B">
      <w:pPr>
        <w:pStyle w:val="T1TableStyle"/>
        <w:rPr>
          <w:rFonts w:ascii="Arial" w:hAnsi="Arial" w:cs="Arial"/>
          <w:sz w:val="28"/>
          <w:szCs w:val="22"/>
          <w:lang w:val="en-GB"/>
        </w:rPr>
      </w:pPr>
    </w:p>
    <w:p w14:paraId="03063A83" w14:textId="5C1EE30F" w:rsidR="00D14137" w:rsidRPr="000D67C6" w:rsidRDefault="00D14137">
      <w:pPr>
        <w:pStyle w:val="T1TableStyle"/>
        <w:rPr>
          <w:rFonts w:ascii="Arial" w:eastAsia="Verdana" w:hAnsi="Arial" w:cs="Arial"/>
          <w:sz w:val="22"/>
          <w:szCs w:val="22"/>
          <w:lang w:val="en-GB"/>
        </w:rPr>
      </w:pPr>
      <w:r w:rsidRPr="000D67C6">
        <w:rPr>
          <w:rFonts w:ascii="Arial" w:eastAsia="Verdana" w:hAnsi="Arial" w:cs="Arial"/>
          <w:sz w:val="22"/>
          <w:szCs w:val="22"/>
          <w:lang w:val="en-GB"/>
        </w:rPr>
        <w:t>*Restated for classifications</w:t>
      </w:r>
    </w:p>
    <w:p w14:paraId="5F2B425F" w14:textId="77777777" w:rsidR="00BE3361" w:rsidRPr="00EE7AF3" w:rsidRDefault="00BE3361">
      <w:pPr>
        <w:pStyle w:val="T1TableStyle"/>
        <w:rPr>
          <w:rFonts w:ascii="Arial" w:hAnsi="Arial" w:cs="Arial"/>
          <w:sz w:val="32"/>
          <w:szCs w:val="22"/>
          <w:lang w:val="en-GB"/>
        </w:rPr>
      </w:pPr>
    </w:p>
    <w:p w14:paraId="09C463CB" w14:textId="77777777" w:rsidR="0036365B" w:rsidRPr="000D67C6" w:rsidRDefault="00C1757C" w:rsidP="0036365B">
      <w:pPr>
        <w:pStyle w:val="Heading1"/>
        <w:spacing w:before="0" w:line="22" w:lineRule="atLeast"/>
        <w:rPr>
          <w:rFonts w:ascii="Arial" w:hAnsi="Arial" w:cs="Arial"/>
          <w:sz w:val="28"/>
          <w:szCs w:val="28"/>
          <w:lang w:val="pt-BR"/>
        </w:rPr>
      </w:pPr>
      <w:r w:rsidRPr="000D67C6">
        <w:rPr>
          <w:rFonts w:ascii="Arial" w:hAnsi="Arial" w:cs="Arial"/>
          <w:sz w:val="28"/>
          <w:szCs w:val="28"/>
          <w:lang w:val="pt-BR"/>
        </w:rPr>
        <w:t>Note 17</w:t>
      </w:r>
      <w:r w:rsidR="008F013B" w:rsidRPr="000D67C6">
        <w:rPr>
          <w:rFonts w:ascii="Arial" w:hAnsi="Arial" w:cs="Arial"/>
          <w:sz w:val="28"/>
          <w:szCs w:val="28"/>
          <w:lang w:val="pt-BR"/>
        </w:rPr>
        <w:t xml:space="preserve"> </w:t>
      </w:r>
      <w:r w:rsidR="0036365B" w:rsidRPr="000D67C6">
        <w:rPr>
          <w:rFonts w:ascii="Arial" w:hAnsi="Arial" w:cs="Arial"/>
          <w:sz w:val="28"/>
          <w:szCs w:val="28"/>
          <w:lang w:val="pt-BR"/>
        </w:rPr>
        <w:t>–</w:t>
      </w:r>
      <w:r w:rsidR="008F013B" w:rsidRPr="000D67C6">
        <w:rPr>
          <w:rFonts w:ascii="Arial" w:hAnsi="Arial" w:cs="Arial"/>
          <w:sz w:val="28"/>
          <w:szCs w:val="28"/>
          <w:lang w:val="pt-BR"/>
        </w:rPr>
        <w:t xml:space="preserve"> Creditors</w:t>
      </w:r>
    </w:p>
    <w:p w14:paraId="4E3509EF" w14:textId="77777777" w:rsidR="00C1757C" w:rsidRPr="00EE7AF3" w:rsidRDefault="00C1757C" w:rsidP="00C1757C">
      <w:pPr>
        <w:rPr>
          <w:rFonts w:ascii="Arial" w:hAnsi="Arial" w:cs="Arial"/>
          <w:sz w:val="22"/>
          <w:lang w:val="pt-BR"/>
        </w:rPr>
      </w:pPr>
    </w:p>
    <w:tbl>
      <w:tblPr>
        <w:tblW w:w="0" w:type="auto"/>
        <w:jc w:val="center"/>
        <w:tblLayout w:type="fixed"/>
        <w:tblLook w:val="04A0" w:firstRow="1" w:lastRow="0" w:firstColumn="1" w:lastColumn="0" w:noHBand="0" w:noVBand="1"/>
      </w:tblPr>
      <w:tblGrid>
        <w:gridCol w:w="1560"/>
        <w:gridCol w:w="283"/>
        <w:gridCol w:w="4111"/>
        <w:gridCol w:w="1559"/>
      </w:tblGrid>
      <w:tr w:rsidR="00464E99" w:rsidRPr="000D67C6" w14:paraId="730E871D" w14:textId="77777777" w:rsidTr="0008231D">
        <w:trPr>
          <w:trHeight w:val="300"/>
          <w:jc w:val="center"/>
        </w:trPr>
        <w:tc>
          <w:tcPr>
            <w:tcW w:w="1560" w:type="dxa"/>
            <w:shd w:val="clear" w:color="auto" w:fill="auto"/>
            <w:tcMar>
              <w:top w:w="20" w:type="dxa"/>
              <w:left w:w="20" w:type="dxa"/>
              <w:bottom w:w="20" w:type="dxa"/>
              <w:right w:w="20" w:type="dxa"/>
            </w:tcMar>
            <w:vAlign w:val="bottom"/>
          </w:tcPr>
          <w:p w14:paraId="63CAEF96" w14:textId="77777777" w:rsidR="00464E99" w:rsidRPr="000D67C6" w:rsidRDefault="008F013B" w:rsidP="00C1757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31 March 201</w:t>
            </w:r>
            <w:r w:rsidR="00790DD4" w:rsidRPr="000D67C6">
              <w:rPr>
                <w:rFonts w:ascii="Arial" w:eastAsia="Verdana" w:hAnsi="Arial" w:cs="Arial"/>
                <w:b/>
                <w:sz w:val="22"/>
                <w:szCs w:val="22"/>
                <w:lang w:val="pt-BR"/>
              </w:rPr>
              <w:t>8</w:t>
            </w:r>
          </w:p>
        </w:tc>
        <w:tc>
          <w:tcPr>
            <w:tcW w:w="283" w:type="dxa"/>
            <w:shd w:val="clear" w:color="auto" w:fill="auto"/>
            <w:tcMar>
              <w:top w:w="20" w:type="dxa"/>
              <w:left w:w="20" w:type="dxa"/>
              <w:bottom w:w="20" w:type="dxa"/>
              <w:right w:w="20" w:type="dxa"/>
            </w:tcMar>
            <w:vAlign w:val="bottom"/>
          </w:tcPr>
          <w:p w14:paraId="7B563E8E" w14:textId="77777777" w:rsidR="00464E99" w:rsidRPr="000D67C6" w:rsidRDefault="008F013B" w:rsidP="00C1757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111" w:type="dxa"/>
            <w:shd w:val="clear" w:color="auto" w:fill="auto"/>
            <w:tcMar>
              <w:top w:w="20" w:type="dxa"/>
              <w:left w:w="20" w:type="dxa"/>
              <w:bottom w:w="20" w:type="dxa"/>
              <w:right w:w="20" w:type="dxa"/>
            </w:tcMar>
            <w:vAlign w:val="bottom"/>
          </w:tcPr>
          <w:p w14:paraId="36AAD176" w14:textId="77777777" w:rsidR="00464E99" w:rsidRPr="000D67C6" w:rsidRDefault="008F013B" w:rsidP="00C1757C">
            <w:pPr>
              <w:pStyle w:val="T1TableStyle"/>
              <w:jc w:val="right"/>
              <w:rPr>
                <w:rFonts w:ascii="Arial" w:eastAsia="Calibri" w:hAnsi="Arial" w:cs="Arial"/>
                <w:sz w:val="22"/>
                <w:szCs w:val="22"/>
                <w:lang w:val="pt-BR"/>
              </w:rPr>
            </w:pPr>
            <w:r w:rsidRPr="000D67C6">
              <w:rPr>
                <w:rFonts w:ascii="Arial" w:eastAsia="Calibri" w:hAnsi="Arial" w:cs="Arial"/>
                <w:sz w:val="22"/>
                <w:szCs w:val="22"/>
                <w:lang w:val="pt-BR"/>
              </w:rPr>
              <w:t xml:space="preserve"> </w:t>
            </w:r>
          </w:p>
        </w:tc>
        <w:tc>
          <w:tcPr>
            <w:tcW w:w="1559" w:type="dxa"/>
            <w:shd w:val="clear" w:color="auto" w:fill="auto"/>
            <w:tcMar>
              <w:top w:w="20" w:type="dxa"/>
              <w:left w:w="20" w:type="dxa"/>
              <w:bottom w:w="20" w:type="dxa"/>
              <w:right w:w="20" w:type="dxa"/>
            </w:tcMar>
            <w:vAlign w:val="bottom"/>
          </w:tcPr>
          <w:p w14:paraId="523269B8" w14:textId="77777777" w:rsidR="00464E99" w:rsidRPr="000D67C6" w:rsidRDefault="008F013B" w:rsidP="00C1757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31 March 201</w:t>
            </w:r>
            <w:r w:rsidR="00790DD4" w:rsidRPr="000D67C6">
              <w:rPr>
                <w:rFonts w:ascii="Arial" w:eastAsia="Verdana" w:hAnsi="Arial" w:cs="Arial"/>
                <w:b/>
                <w:sz w:val="22"/>
                <w:szCs w:val="22"/>
                <w:lang w:val="pt-BR"/>
              </w:rPr>
              <w:t>9</w:t>
            </w:r>
          </w:p>
        </w:tc>
      </w:tr>
      <w:tr w:rsidR="00464E99" w:rsidRPr="000D67C6" w14:paraId="2BC0CE7D" w14:textId="77777777" w:rsidTr="0008231D">
        <w:trPr>
          <w:trHeight w:val="300"/>
          <w:jc w:val="center"/>
        </w:trPr>
        <w:tc>
          <w:tcPr>
            <w:tcW w:w="1560" w:type="dxa"/>
            <w:tcBorders>
              <w:bottom w:val="single" w:sz="2" w:space="0" w:color="000000"/>
            </w:tcBorders>
            <w:shd w:val="clear" w:color="auto" w:fill="auto"/>
            <w:tcMar>
              <w:top w:w="20" w:type="dxa"/>
              <w:left w:w="20" w:type="dxa"/>
              <w:bottom w:w="20" w:type="dxa"/>
              <w:right w:w="20" w:type="dxa"/>
            </w:tcMar>
          </w:tcPr>
          <w:p w14:paraId="0F626A7C"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83" w:type="dxa"/>
            <w:tcBorders>
              <w:bottom w:val="single" w:sz="2" w:space="0" w:color="000000"/>
            </w:tcBorders>
            <w:shd w:val="clear" w:color="auto" w:fill="auto"/>
            <w:tcMar>
              <w:top w:w="20" w:type="dxa"/>
              <w:left w:w="20" w:type="dxa"/>
              <w:bottom w:w="20" w:type="dxa"/>
              <w:right w:w="20" w:type="dxa"/>
            </w:tcMar>
          </w:tcPr>
          <w:p w14:paraId="4D9BCFC4"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111" w:type="dxa"/>
            <w:tcBorders>
              <w:bottom w:val="single" w:sz="2" w:space="0" w:color="000000"/>
            </w:tcBorders>
            <w:shd w:val="clear" w:color="auto" w:fill="auto"/>
            <w:tcMar>
              <w:top w:w="20" w:type="dxa"/>
              <w:left w:w="20" w:type="dxa"/>
              <w:bottom w:w="20" w:type="dxa"/>
              <w:right w:w="20" w:type="dxa"/>
            </w:tcMar>
          </w:tcPr>
          <w:p w14:paraId="6D7E7F4C"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28E6726F"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790DD4" w:rsidRPr="000D67C6" w14:paraId="44494B87" w14:textId="77777777" w:rsidTr="0008231D">
        <w:trPr>
          <w:trHeight w:val="282"/>
          <w:jc w:val="center"/>
        </w:trPr>
        <w:tc>
          <w:tcPr>
            <w:tcW w:w="1560" w:type="dxa"/>
            <w:shd w:val="clear" w:color="auto" w:fill="auto"/>
            <w:tcMar>
              <w:top w:w="20" w:type="dxa"/>
              <w:left w:w="20" w:type="dxa"/>
              <w:bottom w:w="20" w:type="dxa"/>
              <w:right w:w="20" w:type="dxa"/>
            </w:tcMar>
          </w:tcPr>
          <w:p w14:paraId="1EBE53CD"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(1,175)</w:t>
            </w:r>
          </w:p>
        </w:tc>
        <w:tc>
          <w:tcPr>
            <w:tcW w:w="283" w:type="dxa"/>
            <w:shd w:val="clear" w:color="auto" w:fill="auto"/>
            <w:tcMar>
              <w:top w:w="20" w:type="dxa"/>
              <w:left w:w="20" w:type="dxa"/>
              <w:bottom w:w="20" w:type="dxa"/>
              <w:right w:w="20" w:type="dxa"/>
            </w:tcMar>
          </w:tcPr>
          <w:p w14:paraId="06A19068" w14:textId="77777777" w:rsidR="00790DD4" w:rsidRPr="000D67C6" w:rsidRDefault="00790DD4" w:rsidP="00790DD4">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4111" w:type="dxa"/>
            <w:shd w:val="clear" w:color="auto" w:fill="auto"/>
            <w:tcMar>
              <w:top w:w="20" w:type="dxa"/>
              <w:left w:w="20" w:type="dxa"/>
              <w:bottom w:w="20" w:type="dxa"/>
              <w:right w:w="20" w:type="dxa"/>
            </w:tcMar>
          </w:tcPr>
          <w:p w14:paraId="7F2D8A58"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Central Government Bodies</w:t>
            </w:r>
          </w:p>
        </w:tc>
        <w:tc>
          <w:tcPr>
            <w:tcW w:w="1559" w:type="dxa"/>
            <w:shd w:val="clear" w:color="auto" w:fill="auto"/>
            <w:tcMar>
              <w:top w:w="20" w:type="dxa"/>
              <w:left w:w="20" w:type="dxa"/>
              <w:bottom w:w="20" w:type="dxa"/>
              <w:right w:w="20" w:type="dxa"/>
            </w:tcMar>
          </w:tcPr>
          <w:p w14:paraId="11214463" w14:textId="74C23E8E" w:rsidR="00790DD4" w:rsidRPr="000D67C6" w:rsidRDefault="005E14BB"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w:t>
            </w:r>
            <w:r w:rsidR="00E10DF7" w:rsidRPr="000D67C6">
              <w:rPr>
                <w:rFonts w:ascii="Arial" w:eastAsia="Verdana" w:hAnsi="Arial" w:cs="Arial"/>
                <w:sz w:val="22"/>
                <w:szCs w:val="22"/>
                <w:lang w:val="pt-BR"/>
              </w:rPr>
              <w:t>1,059</w:t>
            </w:r>
            <w:r w:rsidRPr="000D67C6">
              <w:rPr>
                <w:rFonts w:ascii="Arial" w:eastAsia="Verdana" w:hAnsi="Arial" w:cs="Arial"/>
                <w:sz w:val="22"/>
                <w:szCs w:val="22"/>
                <w:lang w:val="pt-BR"/>
              </w:rPr>
              <w:t>)</w:t>
            </w:r>
          </w:p>
        </w:tc>
      </w:tr>
      <w:tr w:rsidR="00790DD4" w:rsidRPr="000D67C6" w14:paraId="7D2FF506" w14:textId="77777777" w:rsidTr="0008231D">
        <w:trPr>
          <w:trHeight w:val="282"/>
          <w:jc w:val="center"/>
        </w:trPr>
        <w:tc>
          <w:tcPr>
            <w:tcW w:w="1560" w:type="dxa"/>
            <w:shd w:val="clear" w:color="auto" w:fill="auto"/>
            <w:tcMar>
              <w:top w:w="20" w:type="dxa"/>
              <w:left w:w="20" w:type="dxa"/>
              <w:bottom w:w="20" w:type="dxa"/>
              <w:right w:w="20" w:type="dxa"/>
            </w:tcMar>
          </w:tcPr>
          <w:p w14:paraId="4AE35169"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(1,919)</w:t>
            </w:r>
          </w:p>
        </w:tc>
        <w:tc>
          <w:tcPr>
            <w:tcW w:w="283" w:type="dxa"/>
            <w:shd w:val="clear" w:color="auto" w:fill="auto"/>
            <w:tcMar>
              <w:top w:w="20" w:type="dxa"/>
              <w:left w:w="20" w:type="dxa"/>
              <w:bottom w:w="20" w:type="dxa"/>
              <w:right w:w="20" w:type="dxa"/>
            </w:tcMar>
          </w:tcPr>
          <w:p w14:paraId="0DB6FB0B" w14:textId="77777777" w:rsidR="00790DD4" w:rsidRPr="000D67C6" w:rsidRDefault="00790DD4" w:rsidP="00790DD4">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4111" w:type="dxa"/>
            <w:shd w:val="clear" w:color="auto" w:fill="auto"/>
            <w:tcMar>
              <w:top w:w="20" w:type="dxa"/>
              <w:left w:w="20" w:type="dxa"/>
              <w:bottom w:w="20" w:type="dxa"/>
              <w:right w:w="20" w:type="dxa"/>
            </w:tcMar>
          </w:tcPr>
          <w:p w14:paraId="3FC99CED"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Other Local Authorities</w:t>
            </w:r>
          </w:p>
        </w:tc>
        <w:tc>
          <w:tcPr>
            <w:tcW w:w="1559" w:type="dxa"/>
            <w:shd w:val="clear" w:color="auto" w:fill="auto"/>
            <w:tcMar>
              <w:top w:w="20" w:type="dxa"/>
              <w:left w:w="20" w:type="dxa"/>
              <w:bottom w:w="20" w:type="dxa"/>
              <w:right w:w="20" w:type="dxa"/>
            </w:tcMar>
          </w:tcPr>
          <w:p w14:paraId="34961853" w14:textId="52CA431F" w:rsidR="00790DD4" w:rsidRPr="000D67C6" w:rsidRDefault="005E14BB"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w:t>
            </w:r>
            <w:r w:rsidR="00E10DF7" w:rsidRPr="000D67C6">
              <w:rPr>
                <w:rFonts w:ascii="Arial" w:eastAsia="Verdana" w:hAnsi="Arial" w:cs="Arial"/>
                <w:sz w:val="22"/>
                <w:szCs w:val="22"/>
                <w:lang w:val="pt-BR"/>
              </w:rPr>
              <w:t>589</w:t>
            </w:r>
            <w:r w:rsidRPr="000D67C6">
              <w:rPr>
                <w:rFonts w:ascii="Arial" w:eastAsia="Verdana" w:hAnsi="Arial" w:cs="Arial"/>
                <w:sz w:val="22"/>
                <w:szCs w:val="22"/>
                <w:lang w:val="pt-BR"/>
              </w:rPr>
              <w:t>)</w:t>
            </w:r>
          </w:p>
        </w:tc>
      </w:tr>
      <w:tr w:rsidR="00790DD4" w:rsidRPr="000D67C6" w14:paraId="73196E8A" w14:textId="77777777" w:rsidTr="0008231D">
        <w:trPr>
          <w:trHeight w:val="282"/>
          <w:jc w:val="center"/>
        </w:trPr>
        <w:tc>
          <w:tcPr>
            <w:tcW w:w="1560" w:type="dxa"/>
            <w:shd w:val="clear" w:color="auto" w:fill="auto"/>
            <w:tcMar>
              <w:top w:w="20" w:type="dxa"/>
              <w:left w:w="20" w:type="dxa"/>
              <w:bottom w:w="20" w:type="dxa"/>
              <w:right w:w="20" w:type="dxa"/>
            </w:tcMar>
          </w:tcPr>
          <w:p w14:paraId="33D7F552"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(2,852)</w:t>
            </w:r>
          </w:p>
        </w:tc>
        <w:tc>
          <w:tcPr>
            <w:tcW w:w="283" w:type="dxa"/>
            <w:shd w:val="clear" w:color="auto" w:fill="auto"/>
            <w:tcMar>
              <w:top w:w="20" w:type="dxa"/>
              <w:left w:w="20" w:type="dxa"/>
              <w:bottom w:w="20" w:type="dxa"/>
              <w:right w:w="20" w:type="dxa"/>
            </w:tcMar>
          </w:tcPr>
          <w:p w14:paraId="7EEB144A" w14:textId="77777777" w:rsidR="00790DD4" w:rsidRPr="000D67C6" w:rsidRDefault="00790DD4" w:rsidP="00790DD4">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4111" w:type="dxa"/>
            <w:shd w:val="clear" w:color="auto" w:fill="auto"/>
            <w:tcMar>
              <w:top w:w="20" w:type="dxa"/>
              <w:left w:w="20" w:type="dxa"/>
              <w:bottom w:w="20" w:type="dxa"/>
              <w:right w:w="20" w:type="dxa"/>
            </w:tcMar>
          </w:tcPr>
          <w:p w14:paraId="1B76625B"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Other Entities and Individuals</w:t>
            </w:r>
          </w:p>
        </w:tc>
        <w:tc>
          <w:tcPr>
            <w:tcW w:w="1559" w:type="dxa"/>
            <w:shd w:val="clear" w:color="auto" w:fill="auto"/>
            <w:tcMar>
              <w:top w:w="20" w:type="dxa"/>
              <w:left w:w="20" w:type="dxa"/>
              <w:bottom w:w="20" w:type="dxa"/>
              <w:right w:w="20" w:type="dxa"/>
            </w:tcMar>
          </w:tcPr>
          <w:p w14:paraId="27A8001F" w14:textId="339AE9DF" w:rsidR="00790DD4" w:rsidRPr="000D67C6" w:rsidRDefault="005E14BB"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w:t>
            </w:r>
            <w:r w:rsidR="00DC2355" w:rsidRPr="000D67C6">
              <w:rPr>
                <w:rFonts w:ascii="Arial" w:eastAsia="Verdana" w:hAnsi="Arial" w:cs="Arial"/>
                <w:sz w:val="22"/>
                <w:szCs w:val="22"/>
                <w:lang w:val="pt-BR"/>
              </w:rPr>
              <w:t>3,227</w:t>
            </w:r>
            <w:r w:rsidRPr="000D67C6">
              <w:rPr>
                <w:rFonts w:ascii="Arial" w:eastAsia="Verdana" w:hAnsi="Arial" w:cs="Arial"/>
                <w:sz w:val="22"/>
                <w:szCs w:val="22"/>
                <w:lang w:val="pt-BR"/>
              </w:rPr>
              <w:t>)</w:t>
            </w:r>
          </w:p>
        </w:tc>
      </w:tr>
      <w:tr w:rsidR="00790DD4" w:rsidRPr="000D67C6" w14:paraId="25FE45F5" w14:textId="77777777" w:rsidTr="0008231D">
        <w:trPr>
          <w:trHeight w:val="282"/>
          <w:jc w:val="center"/>
        </w:trPr>
        <w:tc>
          <w:tcPr>
            <w:tcW w:w="1560" w:type="dxa"/>
            <w:shd w:val="clear" w:color="auto" w:fill="auto"/>
            <w:tcMar>
              <w:top w:w="20" w:type="dxa"/>
              <w:left w:w="20" w:type="dxa"/>
              <w:bottom w:w="20" w:type="dxa"/>
              <w:right w:w="20" w:type="dxa"/>
            </w:tcMar>
          </w:tcPr>
          <w:p w14:paraId="31B296B3"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w:t>
            </w:r>
          </w:p>
        </w:tc>
        <w:tc>
          <w:tcPr>
            <w:tcW w:w="283" w:type="dxa"/>
            <w:shd w:val="clear" w:color="auto" w:fill="auto"/>
            <w:tcMar>
              <w:top w:w="20" w:type="dxa"/>
              <w:left w:w="20" w:type="dxa"/>
              <w:bottom w:w="20" w:type="dxa"/>
              <w:right w:w="20" w:type="dxa"/>
            </w:tcMar>
          </w:tcPr>
          <w:p w14:paraId="2B4C2087" w14:textId="77777777" w:rsidR="00790DD4" w:rsidRPr="000D67C6" w:rsidRDefault="00790DD4" w:rsidP="00790DD4">
            <w:pPr>
              <w:pStyle w:val="T1TableStyle"/>
              <w:jc w:val="center"/>
              <w:rPr>
                <w:rFonts w:ascii="Arial" w:eastAsia="Verdana" w:hAnsi="Arial" w:cs="Arial"/>
                <w:sz w:val="22"/>
                <w:szCs w:val="22"/>
                <w:lang w:val="pt-BR"/>
              </w:rPr>
            </w:pPr>
          </w:p>
        </w:tc>
        <w:tc>
          <w:tcPr>
            <w:tcW w:w="4111" w:type="dxa"/>
            <w:shd w:val="clear" w:color="auto" w:fill="auto"/>
            <w:tcMar>
              <w:top w:w="20" w:type="dxa"/>
              <w:left w:w="20" w:type="dxa"/>
              <w:bottom w:w="20" w:type="dxa"/>
              <w:right w:w="20" w:type="dxa"/>
            </w:tcMar>
          </w:tcPr>
          <w:p w14:paraId="2288AA2B"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Receipts in Advance</w:t>
            </w:r>
          </w:p>
        </w:tc>
        <w:tc>
          <w:tcPr>
            <w:tcW w:w="1559" w:type="dxa"/>
            <w:shd w:val="clear" w:color="auto" w:fill="auto"/>
            <w:tcMar>
              <w:top w:w="20" w:type="dxa"/>
              <w:left w:w="20" w:type="dxa"/>
              <w:bottom w:w="20" w:type="dxa"/>
              <w:right w:w="20" w:type="dxa"/>
            </w:tcMar>
          </w:tcPr>
          <w:p w14:paraId="6FF50644" w14:textId="1E09E4C9" w:rsidR="00790DD4" w:rsidRPr="000D67C6" w:rsidRDefault="005E14BB"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w:t>
            </w:r>
            <w:r w:rsidR="00A4189C" w:rsidRPr="000D67C6">
              <w:rPr>
                <w:rFonts w:ascii="Arial" w:eastAsia="Verdana" w:hAnsi="Arial" w:cs="Arial"/>
                <w:sz w:val="22"/>
                <w:szCs w:val="22"/>
                <w:lang w:val="pt-BR"/>
              </w:rPr>
              <w:t>1</w:t>
            </w:r>
            <w:r w:rsidRPr="000D67C6">
              <w:rPr>
                <w:rFonts w:ascii="Arial" w:eastAsia="Verdana" w:hAnsi="Arial" w:cs="Arial"/>
                <w:sz w:val="22"/>
                <w:szCs w:val="22"/>
                <w:lang w:val="pt-BR"/>
              </w:rPr>
              <w:t>)</w:t>
            </w:r>
          </w:p>
        </w:tc>
      </w:tr>
      <w:tr w:rsidR="00790DD4" w:rsidRPr="000D67C6" w14:paraId="2178D8AE" w14:textId="77777777" w:rsidTr="0008231D">
        <w:trPr>
          <w:trHeight w:val="282"/>
          <w:jc w:val="center"/>
        </w:trPr>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14:paraId="26CE872C" w14:textId="77777777" w:rsidR="00790DD4" w:rsidRPr="000D67C6" w:rsidRDefault="00790DD4"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(5,956)</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tcPr>
          <w:p w14:paraId="5C245B2E" w14:textId="77777777" w:rsidR="00790DD4" w:rsidRPr="000D67C6" w:rsidRDefault="00790DD4" w:rsidP="00790DD4">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111" w:type="dxa"/>
            <w:tcBorders>
              <w:top w:val="single" w:sz="2" w:space="0" w:color="000000"/>
              <w:bottom w:val="single" w:sz="12" w:space="0" w:color="000000"/>
            </w:tcBorders>
            <w:shd w:val="clear" w:color="auto" w:fill="auto"/>
            <w:tcMar>
              <w:top w:w="20" w:type="dxa"/>
              <w:left w:w="20" w:type="dxa"/>
              <w:bottom w:w="20" w:type="dxa"/>
              <w:right w:w="20" w:type="dxa"/>
            </w:tcMar>
          </w:tcPr>
          <w:p w14:paraId="79CAD663" w14:textId="77777777" w:rsidR="00790DD4" w:rsidRPr="000D67C6" w:rsidRDefault="00790DD4" w:rsidP="00790DD4">
            <w:pPr>
              <w:pStyle w:val="T1TableStyle"/>
              <w:rPr>
                <w:rFonts w:ascii="Arial" w:eastAsia="Verdana" w:hAnsi="Arial" w:cs="Arial"/>
                <w:b/>
                <w:sz w:val="22"/>
                <w:szCs w:val="22"/>
                <w:lang w:val="pt-BR"/>
              </w:rPr>
            </w:pPr>
            <w:r w:rsidRPr="000D67C6">
              <w:rPr>
                <w:rFonts w:ascii="Arial" w:eastAsia="Verdana" w:hAnsi="Arial" w:cs="Arial"/>
                <w:b/>
                <w:sz w:val="22"/>
                <w:szCs w:val="22"/>
                <w:lang w:val="pt-BR"/>
              </w:rPr>
              <w:t>Total Creditors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tcPr>
          <w:p w14:paraId="758F9CA2" w14:textId="68501E29" w:rsidR="00790DD4" w:rsidRPr="000D67C6" w:rsidRDefault="00966B67"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r w:rsidR="00952AC1" w:rsidRPr="000D67C6">
              <w:rPr>
                <w:rFonts w:ascii="Arial" w:eastAsia="Verdana" w:hAnsi="Arial" w:cs="Arial"/>
                <w:b/>
                <w:sz w:val="22"/>
                <w:szCs w:val="22"/>
                <w:lang w:val="pt-BR"/>
              </w:rPr>
              <w:t>4,876</w:t>
            </w:r>
            <w:r w:rsidRPr="000D67C6">
              <w:rPr>
                <w:rFonts w:ascii="Arial" w:eastAsia="Verdana" w:hAnsi="Arial" w:cs="Arial"/>
                <w:b/>
                <w:sz w:val="22"/>
                <w:szCs w:val="22"/>
                <w:lang w:val="pt-BR"/>
              </w:rPr>
              <w:t>)</w:t>
            </w:r>
          </w:p>
        </w:tc>
      </w:tr>
    </w:tbl>
    <w:p w14:paraId="65DFFF39" w14:textId="77777777" w:rsidR="0043644C" w:rsidRPr="00EE7AF3" w:rsidRDefault="0043644C" w:rsidP="00C92FD6">
      <w:pPr>
        <w:pStyle w:val="T1TableStyle"/>
        <w:rPr>
          <w:rFonts w:ascii="Arial" w:hAnsi="Arial" w:cs="Arial"/>
          <w:sz w:val="32"/>
          <w:lang w:val="pt-BR"/>
        </w:rPr>
      </w:pPr>
    </w:p>
    <w:p w14:paraId="5D4F0D64" w14:textId="4A931C17" w:rsidR="008F013B" w:rsidRDefault="002F5FB5" w:rsidP="00C92FD6">
      <w:pPr>
        <w:pStyle w:val="T1TableStyle"/>
        <w:rPr>
          <w:rFonts w:ascii="Arial" w:hAnsi="Arial" w:cs="Arial"/>
          <w:b/>
          <w:sz w:val="28"/>
          <w:lang w:val="pt-BR"/>
        </w:rPr>
      </w:pPr>
      <w:r w:rsidRPr="000D67C6">
        <w:rPr>
          <w:rFonts w:ascii="Arial" w:hAnsi="Arial" w:cs="Arial"/>
          <w:b/>
          <w:sz w:val="28"/>
          <w:lang w:val="pt-BR"/>
        </w:rPr>
        <w:t>Note 18</w:t>
      </w:r>
      <w:r w:rsidR="008F013B" w:rsidRPr="000D67C6">
        <w:rPr>
          <w:rFonts w:ascii="Arial" w:hAnsi="Arial" w:cs="Arial"/>
          <w:b/>
          <w:sz w:val="28"/>
          <w:lang w:val="pt-BR"/>
        </w:rPr>
        <w:t xml:space="preserve"> - Unusable Reserves</w:t>
      </w:r>
    </w:p>
    <w:p w14:paraId="08A98888" w14:textId="77777777" w:rsidR="00EE7AF3" w:rsidRPr="00EE7AF3" w:rsidRDefault="00EE7AF3" w:rsidP="00C92FD6">
      <w:pPr>
        <w:pStyle w:val="T1TableStyle"/>
        <w:rPr>
          <w:rFonts w:ascii="Arial" w:hAnsi="Arial" w:cs="Arial"/>
          <w:b/>
          <w:sz w:val="6"/>
          <w:lang w:val="pt-BR"/>
        </w:rPr>
      </w:pPr>
    </w:p>
    <w:tbl>
      <w:tblPr>
        <w:tblW w:w="7371" w:type="dxa"/>
        <w:jc w:val="center"/>
        <w:tblLayout w:type="fixed"/>
        <w:tblLook w:val="04A0" w:firstRow="1" w:lastRow="0" w:firstColumn="1" w:lastColumn="0" w:noHBand="0" w:noVBand="1"/>
      </w:tblPr>
      <w:tblGrid>
        <w:gridCol w:w="1418"/>
        <w:gridCol w:w="3685"/>
        <w:gridCol w:w="2268"/>
      </w:tblGrid>
      <w:tr w:rsidR="003A59BE" w:rsidRPr="000D67C6" w14:paraId="05612452" w14:textId="77777777" w:rsidTr="0008231D">
        <w:trPr>
          <w:trHeight w:val="461"/>
          <w:jc w:val="center"/>
        </w:trPr>
        <w:tc>
          <w:tcPr>
            <w:tcW w:w="1418" w:type="dxa"/>
            <w:shd w:val="clear" w:color="auto" w:fill="auto"/>
            <w:tcMar>
              <w:top w:w="20" w:type="dxa"/>
              <w:left w:w="20" w:type="dxa"/>
              <w:bottom w:w="20" w:type="dxa"/>
              <w:right w:w="20" w:type="dxa"/>
            </w:tcMar>
            <w:vAlign w:val="bottom"/>
          </w:tcPr>
          <w:p w14:paraId="685C1944" w14:textId="77777777" w:rsidR="003A59BE" w:rsidRPr="000D67C6" w:rsidRDefault="003A59BE" w:rsidP="0024233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 April 201</w:t>
            </w:r>
            <w:r w:rsidR="00790DD4" w:rsidRPr="000D67C6">
              <w:rPr>
                <w:rFonts w:ascii="Arial" w:eastAsia="Verdana" w:hAnsi="Arial" w:cs="Arial"/>
                <w:b/>
                <w:sz w:val="22"/>
                <w:szCs w:val="22"/>
                <w:lang w:val="pt-BR"/>
              </w:rPr>
              <w:t>8</w:t>
            </w:r>
          </w:p>
        </w:tc>
        <w:tc>
          <w:tcPr>
            <w:tcW w:w="3685" w:type="dxa"/>
            <w:shd w:val="clear" w:color="auto" w:fill="auto"/>
            <w:tcMar>
              <w:top w:w="20" w:type="dxa"/>
              <w:left w:w="20" w:type="dxa"/>
              <w:bottom w:w="20" w:type="dxa"/>
              <w:right w:w="20" w:type="dxa"/>
            </w:tcMar>
            <w:vAlign w:val="bottom"/>
          </w:tcPr>
          <w:p w14:paraId="30423127" w14:textId="77777777" w:rsidR="003A59BE" w:rsidRPr="000D67C6" w:rsidRDefault="003A59BE" w:rsidP="00242331">
            <w:pPr>
              <w:pStyle w:val="T1TableStyle"/>
              <w:jc w:val="right"/>
              <w:rPr>
                <w:rFonts w:ascii="Arial" w:eastAsia="Verdana" w:hAnsi="Arial" w:cs="Arial"/>
                <w:b/>
                <w:sz w:val="22"/>
                <w:szCs w:val="22"/>
                <w:lang w:val="pt-BR"/>
              </w:rPr>
            </w:pPr>
          </w:p>
        </w:tc>
        <w:tc>
          <w:tcPr>
            <w:tcW w:w="2268" w:type="dxa"/>
            <w:shd w:val="clear" w:color="auto" w:fill="auto"/>
            <w:tcMar>
              <w:top w:w="20" w:type="dxa"/>
              <w:left w:w="20" w:type="dxa"/>
              <w:bottom w:w="20" w:type="dxa"/>
              <w:right w:w="20" w:type="dxa"/>
            </w:tcMar>
            <w:vAlign w:val="bottom"/>
          </w:tcPr>
          <w:p w14:paraId="76646AC6" w14:textId="77777777" w:rsidR="003A59BE" w:rsidRPr="000D67C6" w:rsidRDefault="003A59BE" w:rsidP="0024233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31 March 201</w:t>
            </w:r>
            <w:r w:rsidR="00790DD4" w:rsidRPr="000D67C6">
              <w:rPr>
                <w:rFonts w:ascii="Arial" w:eastAsia="Verdana" w:hAnsi="Arial" w:cs="Arial"/>
                <w:b/>
                <w:sz w:val="22"/>
                <w:szCs w:val="22"/>
                <w:lang w:val="pt-BR"/>
              </w:rPr>
              <w:t>9</w:t>
            </w:r>
          </w:p>
        </w:tc>
      </w:tr>
      <w:tr w:rsidR="003A59BE" w:rsidRPr="000D67C6" w14:paraId="3F3230EF" w14:textId="77777777" w:rsidTr="0008231D">
        <w:trPr>
          <w:trHeight w:val="48"/>
          <w:jc w:val="center"/>
        </w:trPr>
        <w:tc>
          <w:tcPr>
            <w:tcW w:w="1418" w:type="dxa"/>
            <w:tcBorders>
              <w:bottom w:val="single" w:sz="2" w:space="0" w:color="000000"/>
            </w:tcBorders>
            <w:shd w:val="clear" w:color="auto" w:fill="auto"/>
            <w:tcMar>
              <w:top w:w="20" w:type="dxa"/>
              <w:left w:w="20" w:type="dxa"/>
              <w:bottom w:w="20" w:type="dxa"/>
              <w:right w:w="20" w:type="dxa"/>
            </w:tcMar>
          </w:tcPr>
          <w:p w14:paraId="7ABB10F6" w14:textId="77777777" w:rsidR="003A59BE" w:rsidRPr="000D67C6" w:rsidRDefault="003A59BE" w:rsidP="009D3B1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£000 </w:t>
            </w:r>
          </w:p>
        </w:tc>
        <w:tc>
          <w:tcPr>
            <w:tcW w:w="3685" w:type="dxa"/>
            <w:tcBorders>
              <w:bottom w:val="single" w:sz="2" w:space="0" w:color="000000"/>
            </w:tcBorders>
            <w:shd w:val="clear" w:color="auto" w:fill="auto"/>
            <w:tcMar>
              <w:top w:w="20" w:type="dxa"/>
              <w:left w:w="20" w:type="dxa"/>
              <w:bottom w:w="20" w:type="dxa"/>
              <w:right w:w="20" w:type="dxa"/>
            </w:tcMar>
          </w:tcPr>
          <w:p w14:paraId="7586AFE4" w14:textId="77777777" w:rsidR="003A59BE" w:rsidRPr="000D67C6" w:rsidRDefault="003A59BE" w:rsidP="009D3B1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2268" w:type="dxa"/>
            <w:tcBorders>
              <w:bottom w:val="single" w:sz="2" w:space="0" w:color="000000"/>
            </w:tcBorders>
            <w:shd w:val="clear" w:color="auto" w:fill="auto"/>
            <w:tcMar>
              <w:top w:w="20" w:type="dxa"/>
              <w:left w:w="20" w:type="dxa"/>
              <w:bottom w:w="20" w:type="dxa"/>
              <w:right w:w="20" w:type="dxa"/>
            </w:tcMar>
          </w:tcPr>
          <w:p w14:paraId="4B16A7DA" w14:textId="77777777" w:rsidR="003A59BE" w:rsidRPr="000D67C6" w:rsidRDefault="003A59BE" w:rsidP="009D3B11">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D945AB" w:rsidRPr="000D67C6" w14:paraId="16CB3D7A" w14:textId="77777777" w:rsidTr="000E25F1">
        <w:trPr>
          <w:trHeight w:val="285"/>
          <w:jc w:val="center"/>
        </w:trPr>
        <w:tc>
          <w:tcPr>
            <w:tcW w:w="1418" w:type="dxa"/>
            <w:shd w:val="clear" w:color="auto" w:fill="auto"/>
            <w:tcMar>
              <w:top w:w="20" w:type="dxa"/>
              <w:left w:w="20" w:type="dxa"/>
              <w:bottom w:w="20" w:type="dxa"/>
              <w:right w:w="20" w:type="dxa"/>
            </w:tcMar>
            <w:vAlign w:val="center"/>
          </w:tcPr>
          <w:p w14:paraId="038C1965" w14:textId="77777777"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(15,292)</w:t>
            </w:r>
          </w:p>
        </w:tc>
        <w:tc>
          <w:tcPr>
            <w:tcW w:w="3685" w:type="dxa"/>
            <w:shd w:val="clear" w:color="auto" w:fill="auto"/>
            <w:tcMar>
              <w:top w:w="20" w:type="dxa"/>
              <w:left w:w="20" w:type="dxa"/>
              <w:bottom w:w="20" w:type="dxa"/>
              <w:right w:w="20" w:type="dxa"/>
            </w:tcMar>
            <w:vAlign w:val="center"/>
          </w:tcPr>
          <w:p w14:paraId="30B6DFA1" w14:textId="77777777" w:rsidR="00D945AB" w:rsidRPr="000D67C6" w:rsidRDefault="00D945AB" w:rsidP="00D945AB">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  Revaluation Reserve</w:t>
            </w:r>
          </w:p>
        </w:tc>
        <w:tc>
          <w:tcPr>
            <w:tcW w:w="2268" w:type="dxa"/>
            <w:shd w:val="clear" w:color="auto" w:fill="auto"/>
            <w:tcMar>
              <w:top w:w="20" w:type="dxa"/>
              <w:left w:w="20" w:type="dxa"/>
              <w:bottom w:w="20" w:type="dxa"/>
              <w:right w:w="20" w:type="dxa"/>
            </w:tcMar>
            <w:vAlign w:val="center"/>
          </w:tcPr>
          <w:p w14:paraId="72ADF635" w14:textId="686D4432"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(14,898)</w:t>
            </w:r>
          </w:p>
        </w:tc>
      </w:tr>
      <w:tr w:rsidR="00D945AB" w:rsidRPr="000D67C6" w14:paraId="76EAA7DC" w14:textId="77777777" w:rsidTr="000E25F1">
        <w:trPr>
          <w:trHeight w:val="285"/>
          <w:jc w:val="center"/>
        </w:trPr>
        <w:tc>
          <w:tcPr>
            <w:tcW w:w="1418" w:type="dxa"/>
            <w:shd w:val="clear" w:color="auto" w:fill="auto"/>
            <w:tcMar>
              <w:top w:w="20" w:type="dxa"/>
              <w:left w:w="20" w:type="dxa"/>
              <w:bottom w:w="20" w:type="dxa"/>
              <w:right w:w="20" w:type="dxa"/>
            </w:tcMar>
            <w:vAlign w:val="center"/>
          </w:tcPr>
          <w:p w14:paraId="0E022C4B" w14:textId="77777777"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(21,316)</w:t>
            </w:r>
          </w:p>
        </w:tc>
        <w:tc>
          <w:tcPr>
            <w:tcW w:w="3685" w:type="dxa"/>
            <w:shd w:val="clear" w:color="auto" w:fill="auto"/>
            <w:tcMar>
              <w:top w:w="20" w:type="dxa"/>
              <w:left w:w="20" w:type="dxa"/>
              <w:bottom w:w="20" w:type="dxa"/>
              <w:right w:w="20" w:type="dxa"/>
            </w:tcMar>
            <w:vAlign w:val="center"/>
          </w:tcPr>
          <w:p w14:paraId="0469EADA" w14:textId="77777777" w:rsidR="00D945AB" w:rsidRPr="000D67C6" w:rsidRDefault="00D945AB" w:rsidP="00D945AB">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  Capital Adjustment Account</w:t>
            </w:r>
          </w:p>
        </w:tc>
        <w:tc>
          <w:tcPr>
            <w:tcW w:w="2268" w:type="dxa"/>
            <w:shd w:val="clear" w:color="auto" w:fill="auto"/>
            <w:tcMar>
              <w:top w:w="20" w:type="dxa"/>
              <w:left w:w="20" w:type="dxa"/>
              <w:bottom w:w="20" w:type="dxa"/>
              <w:right w:w="20" w:type="dxa"/>
            </w:tcMar>
            <w:vAlign w:val="center"/>
          </w:tcPr>
          <w:p w14:paraId="6E636A1C" w14:textId="6141F1B0"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(21,381)</w:t>
            </w:r>
          </w:p>
        </w:tc>
      </w:tr>
      <w:tr w:rsidR="00D945AB" w:rsidRPr="000D67C6" w14:paraId="7BDE1C7D" w14:textId="77777777" w:rsidTr="000E25F1">
        <w:trPr>
          <w:trHeight w:val="285"/>
          <w:jc w:val="center"/>
        </w:trPr>
        <w:tc>
          <w:tcPr>
            <w:tcW w:w="1418" w:type="dxa"/>
            <w:shd w:val="clear" w:color="auto" w:fill="auto"/>
            <w:tcMar>
              <w:top w:w="20" w:type="dxa"/>
              <w:left w:w="20" w:type="dxa"/>
              <w:bottom w:w="20" w:type="dxa"/>
              <w:right w:w="20" w:type="dxa"/>
            </w:tcMar>
            <w:vAlign w:val="center"/>
          </w:tcPr>
          <w:p w14:paraId="23368E25" w14:textId="77777777"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504,242</w:t>
            </w:r>
          </w:p>
        </w:tc>
        <w:tc>
          <w:tcPr>
            <w:tcW w:w="3685" w:type="dxa"/>
            <w:shd w:val="clear" w:color="auto" w:fill="auto"/>
            <w:tcMar>
              <w:top w:w="20" w:type="dxa"/>
              <w:left w:w="20" w:type="dxa"/>
              <w:bottom w:w="20" w:type="dxa"/>
              <w:right w:w="20" w:type="dxa"/>
            </w:tcMar>
            <w:vAlign w:val="center"/>
          </w:tcPr>
          <w:p w14:paraId="7EF7F894" w14:textId="77777777" w:rsidR="00D945AB" w:rsidRPr="000D67C6" w:rsidRDefault="00D945AB" w:rsidP="00D945AB">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  Pension Reserve</w:t>
            </w:r>
          </w:p>
        </w:tc>
        <w:tc>
          <w:tcPr>
            <w:tcW w:w="2268" w:type="dxa"/>
            <w:shd w:val="clear" w:color="auto" w:fill="auto"/>
            <w:tcMar>
              <w:top w:w="20" w:type="dxa"/>
              <w:left w:w="20" w:type="dxa"/>
              <w:bottom w:w="20" w:type="dxa"/>
              <w:right w:w="20" w:type="dxa"/>
            </w:tcMar>
            <w:vAlign w:val="center"/>
          </w:tcPr>
          <w:p w14:paraId="0A084F7D" w14:textId="04E70EDF"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53</w:t>
            </w:r>
            <w:r w:rsidR="001B3BEF">
              <w:rPr>
                <w:rFonts w:ascii="Arial" w:eastAsia="Verdana" w:hAnsi="Arial" w:cs="Arial"/>
                <w:sz w:val="22"/>
                <w:szCs w:val="22"/>
                <w:lang w:val="pt-BR"/>
              </w:rPr>
              <w:t>9</w:t>
            </w:r>
            <w:r w:rsidRPr="000D67C6">
              <w:rPr>
                <w:rFonts w:ascii="Arial" w:eastAsia="Verdana" w:hAnsi="Arial" w:cs="Arial"/>
                <w:sz w:val="22"/>
                <w:szCs w:val="22"/>
                <w:lang w:val="pt-BR"/>
              </w:rPr>
              <w:t>,</w:t>
            </w:r>
            <w:r w:rsidR="001B3BEF">
              <w:rPr>
                <w:rFonts w:ascii="Arial" w:eastAsia="Verdana" w:hAnsi="Arial" w:cs="Arial"/>
                <w:sz w:val="22"/>
                <w:szCs w:val="22"/>
                <w:lang w:val="pt-BR"/>
              </w:rPr>
              <w:t>6</w:t>
            </w:r>
            <w:r w:rsidRPr="000D67C6">
              <w:rPr>
                <w:rFonts w:ascii="Arial" w:eastAsia="Verdana" w:hAnsi="Arial" w:cs="Arial"/>
                <w:sz w:val="22"/>
                <w:szCs w:val="22"/>
                <w:lang w:val="pt-BR"/>
              </w:rPr>
              <w:t>65</w:t>
            </w:r>
          </w:p>
        </w:tc>
      </w:tr>
      <w:tr w:rsidR="00D945AB" w:rsidRPr="000D67C6" w14:paraId="15808F3D" w14:textId="77777777" w:rsidTr="000E25F1">
        <w:trPr>
          <w:trHeight w:val="285"/>
          <w:jc w:val="center"/>
        </w:trPr>
        <w:tc>
          <w:tcPr>
            <w:tcW w:w="1418" w:type="dxa"/>
            <w:shd w:val="clear" w:color="auto" w:fill="auto"/>
            <w:tcMar>
              <w:top w:w="20" w:type="dxa"/>
              <w:left w:w="20" w:type="dxa"/>
              <w:bottom w:w="20" w:type="dxa"/>
              <w:right w:w="20" w:type="dxa"/>
            </w:tcMar>
            <w:vAlign w:val="center"/>
          </w:tcPr>
          <w:p w14:paraId="12F7DC74" w14:textId="77777777"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682</w:t>
            </w:r>
          </w:p>
        </w:tc>
        <w:tc>
          <w:tcPr>
            <w:tcW w:w="3685" w:type="dxa"/>
            <w:shd w:val="clear" w:color="auto" w:fill="auto"/>
            <w:tcMar>
              <w:top w:w="20" w:type="dxa"/>
              <w:left w:w="20" w:type="dxa"/>
              <w:bottom w:w="20" w:type="dxa"/>
              <w:right w:w="20" w:type="dxa"/>
            </w:tcMar>
            <w:vAlign w:val="center"/>
          </w:tcPr>
          <w:p w14:paraId="49D0F720" w14:textId="77777777" w:rsidR="00D945AB" w:rsidRPr="000D67C6" w:rsidRDefault="00D945AB" w:rsidP="00D945AB">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  Accumulated Absences Account </w:t>
            </w:r>
          </w:p>
        </w:tc>
        <w:tc>
          <w:tcPr>
            <w:tcW w:w="2268" w:type="dxa"/>
            <w:shd w:val="clear" w:color="auto" w:fill="auto"/>
            <w:tcMar>
              <w:top w:w="20" w:type="dxa"/>
              <w:left w:w="20" w:type="dxa"/>
              <w:bottom w:w="20" w:type="dxa"/>
              <w:right w:w="20" w:type="dxa"/>
            </w:tcMar>
            <w:vAlign w:val="center"/>
          </w:tcPr>
          <w:p w14:paraId="70A56E2C" w14:textId="5457E0EF" w:rsidR="00D945AB" w:rsidRPr="000D67C6" w:rsidRDefault="00D945AB" w:rsidP="00D945A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686</w:t>
            </w:r>
          </w:p>
        </w:tc>
      </w:tr>
      <w:tr w:rsidR="00D945AB" w:rsidRPr="000D67C6" w14:paraId="2595D915" w14:textId="77777777" w:rsidTr="000E25F1">
        <w:trPr>
          <w:trHeight w:val="285"/>
          <w:jc w:val="center"/>
        </w:trPr>
        <w:tc>
          <w:tcPr>
            <w:tcW w:w="141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003D761" w14:textId="77777777" w:rsidR="00D945AB" w:rsidRPr="000D67C6" w:rsidRDefault="00D945AB" w:rsidP="00D945A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468,316</w:t>
            </w:r>
          </w:p>
        </w:tc>
        <w:tc>
          <w:tcPr>
            <w:tcW w:w="368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E6A4AE7" w14:textId="77777777" w:rsidR="00D945AB" w:rsidRPr="000D67C6" w:rsidRDefault="00D945AB" w:rsidP="00D945AB">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  Total</w:t>
            </w:r>
          </w:p>
        </w:tc>
        <w:tc>
          <w:tcPr>
            <w:tcW w:w="226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EC84F45" w14:textId="5B41EFD4" w:rsidR="00D945AB" w:rsidRPr="000D67C6" w:rsidRDefault="00D945AB" w:rsidP="00D945A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50</w:t>
            </w:r>
            <w:r w:rsidR="00D52ABA">
              <w:rPr>
                <w:rFonts w:ascii="Arial" w:eastAsia="Verdana" w:hAnsi="Arial" w:cs="Arial"/>
                <w:b/>
                <w:sz w:val="22"/>
                <w:szCs w:val="22"/>
                <w:lang w:val="pt-BR"/>
              </w:rPr>
              <w:t>4</w:t>
            </w:r>
            <w:r w:rsidRPr="000D67C6">
              <w:rPr>
                <w:rFonts w:ascii="Arial" w:eastAsia="Verdana" w:hAnsi="Arial" w:cs="Arial"/>
                <w:b/>
                <w:sz w:val="22"/>
                <w:szCs w:val="22"/>
                <w:lang w:val="pt-BR"/>
              </w:rPr>
              <w:t>,</w:t>
            </w:r>
            <w:r w:rsidR="00D52ABA">
              <w:rPr>
                <w:rFonts w:ascii="Arial" w:eastAsia="Verdana" w:hAnsi="Arial" w:cs="Arial"/>
                <w:b/>
                <w:sz w:val="22"/>
                <w:szCs w:val="22"/>
                <w:lang w:val="pt-BR"/>
              </w:rPr>
              <w:t>0</w:t>
            </w:r>
            <w:r w:rsidRPr="000D67C6">
              <w:rPr>
                <w:rFonts w:ascii="Arial" w:eastAsia="Verdana" w:hAnsi="Arial" w:cs="Arial"/>
                <w:b/>
                <w:sz w:val="22"/>
                <w:szCs w:val="22"/>
                <w:lang w:val="pt-BR"/>
              </w:rPr>
              <w:t>72</w:t>
            </w:r>
          </w:p>
        </w:tc>
      </w:tr>
    </w:tbl>
    <w:p w14:paraId="552170C3" w14:textId="77777777" w:rsidR="003A59BE" w:rsidRPr="000D67C6" w:rsidRDefault="003A59BE" w:rsidP="007104D5">
      <w:pPr>
        <w:pStyle w:val="T1TableStyle"/>
        <w:rPr>
          <w:rFonts w:ascii="Arial" w:hAnsi="Arial" w:cs="Arial"/>
          <w:b/>
          <w:sz w:val="28"/>
          <w:lang w:val="pt-BR"/>
        </w:rPr>
      </w:pPr>
    </w:p>
    <w:p w14:paraId="7EEFDEC6" w14:textId="77777777" w:rsidR="001B2935" w:rsidRPr="000D67C6" w:rsidRDefault="001B2935">
      <w:pPr>
        <w:rPr>
          <w:rFonts w:ascii="Arial" w:hAnsi="Arial" w:cs="Arial"/>
          <w:b/>
          <w:sz w:val="28"/>
          <w:lang w:val="pt-BR"/>
        </w:rPr>
      </w:pPr>
      <w:r w:rsidRPr="000D67C6">
        <w:rPr>
          <w:rFonts w:ascii="Arial" w:hAnsi="Arial" w:cs="Arial"/>
          <w:b/>
          <w:sz w:val="28"/>
          <w:lang w:val="pt-BR"/>
        </w:rPr>
        <w:br w:type="page"/>
      </w:r>
    </w:p>
    <w:p w14:paraId="534259D9" w14:textId="77777777" w:rsidR="007104D5" w:rsidRPr="000D67C6" w:rsidRDefault="000903E1" w:rsidP="00474168">
      <w:pPr>
        <w:pStyle w:val="T1TableStyle"/>
        <w:rPr>
          <w:rFonts w:ascii="Arial" w:hAnsi="Arial" w:cs="Arial"/>
          <w:b/>
          <w:sz w:val="28"/>
          <w:lang w:val="pt-BR"/>
        </w:rPr>
      </w:pPr>
      <w:r w:rsidRPr="000D67C6">
        <w:rPr>
          <w:rFonts w:ascii="Arial" w:hAnsi="Arial" w:cs="Arial"/>
          <w:b/>
          <w:sz w:val="28"/>
          <w:lang w:val="pt-BR"/>
        </w:rPr>
        <w:t xml:space="preserve">Note 18a - </w:t>
      </w:r>
      <w:r w:rsidR="003A59BE" w:rsidRPr="000D67C6">
        <w:rPr>
          <w:rFonts w:ascii="Arial" w:hAnsi="Arial" w:cs="Arial"/>
          <w:b/>
          <w:sz w:val="28"/>
          <w:lang w:val="pt-BR"/>
        </w:rPr>
        <w:t>Re</w:t>
      </w:r>
      <w:r w:rsidR="007104D5" w:rsidRPr="000D67C6">
        <w:rPr>
          <w:rFonts w:ascii="Arial" w:hAnsi="Arial" w:cs="Arial"/>
          <w:b/>
          <w:sz w:val="28"/>
          <w:lang w:val="pt-BR"/>
        </w:rPr>
        <w:t>valuation Reserve</w:t>
      </w:r>
    </w:p>
    <w:p w14:paraId="337DC6DB" w14:textId="77777777" w:rsidR="007104D5" w:rsidRPr="000D67C6" w:rsidRDefault="007104D5" w:rsidP="00474168">
      <w:pPr>
        <w:pStyle w:val="Normal0"/>
        <w:jc w:val="both"/>
        <w:rPr>
          <w:rFonts w:ascii="Arial" w:eastAsia="Calibri" w:hAnsi="Arial" w:cs="Arial"/>
          <w:sz w:val="22"/>
          <w:szCs w:val="22"/>
          <w:lang w:val="pt-BR"/>
        </w:rPr>
      </w:pPr>
    </w:p>
    <w:p w14:paraId="7B427E0C" w14:textId="77777777" w:rsidR="007104D5" w:rsidRPr="000D67C6" w:rsidRDefault="007104D5" w:rsidP="00474168">
      <w:pPr>
        <w:pStyle w:val="Normal0"/>
        <w:jc w:val="both"/>
        <w:rPr>
          <w:rFonts w:ascii="Arial" w:eastAsia="Calibri" w:hAnsi="Arial" w:cs="Arial"/>
          <w:sz w:val="22"/>
          <w:szCs w:val="22"/>
          <w:lang w:val="pt-BR"/>
        </w:rPr>
      </w:pPr>
      <w:r w:rsidRPr="000D67C6">
        <w:rPr>
          <w:rFonts w:ascii="Arial" w:eastAsia="Calibri" w:hAnsi="Arial" w:cs="Arial"/>
          <w:sz w:val="22"/>
          <w:szCs w:val="22"/>
          <w:lang w:val="pt-BR"/>
        </w:rPr>
        <w:t xml:space="preserve">The Revaluation Reserve contains the gains made by the Authority arising from increases in the value of its property, plant and equipment and intangible assets. </w:t>
      </w:r>
    </w:p>
    <w:p w14:paraId="40EA7EEE" w14:textId="77777777" w:rsidR="007104D5" w:rsidRPr="000D67C6" w:rsidRDefault="007104D5" w:rsidP="00474168">
      <w:pPr>
        <w:pStyle w:val="Normal0"/>
        <w:jc w:val="both"/>
        <w:rPr>
          <w:rFonts w:ascii="Arial" w:eastAsia="Calibri" w:hAnsi="Arial" w:cs="Arial"/>
          <w:sz w:val="22"/>
          <w:szCs w:val="22"/>
          <w:lang w:val="pt-BR"/>
        </w:rPr>
      </w:pPr>
    </w:p>
    <w:p w14:paraId="7F1451F0" w14:textId="77777777" w:rsidR="007104D5" w:rsidRPr="000D67C6" w:rsidRDefault="007104D5" w:rsidP="00474168">
      <w:pPr>
        <w:pStyle w:val="Normal0"/>
        <w:jc w:val="both"/>
        <w:rPr>
          <w:rFonts w:ascii="Arial" w:eastAsia="Calibri" w:hAnsi="Arial" w:cs="Arial"/>
          <w:sz w:val="22"/>
          <w:szCs w:val="22"/>
          <w:lang w:val="pt-BR"/>
        </w:rPr>
      </w:pPr>
      <w:r w:rsidRPr="000D67C6">
        <w:rPr>
          <w:rFonts w:ascii="Arial" w:eastAsia="Calibri" w:hAnsi="Arial" w:cs="Arial"/>
          <w:sz w:val="22"/>
          <w:szCs w:val="22"/>
          <w:lang w:val="pt-BR"/>
        </w:rPr>
        <w:t xml:space="preserve">The balance is reduced when assets with accumulated gains are:  </w:t>
      </w:r>
    </w:p>
    <w:p w14:paraId="49987074" w14:textId="77777777" w:rsidR="007104D5" w:rsidRPr="000D67C6" w:rsidRDefault="007104D5" w:rsidP="00474168">
      <w:pPr>
        <w:pStyle w:val="Normal0"/>
        <w:jc w:val="both"/>
        <w:rPr>
          <w:rFonts w:ascii="Arial" w:eastAsia="Calibri" w:hAnsi="Arial" w:cs="Arial"/>
          <w:sz w:val="22"/>
          <w:szCs w:val="22"/>
          <w:lang w:val="pt-BR"/>
        </w:rPr>
      </w:pPr>
    </w:p>
    <w:p w14:paraId="781EED2D" w14:textId="77777777" w:rsidR="007104D5" w:rsidRPr="000D67C6" w:rsidRDefault="007104D5" w:rsidP="00474168">
      <w:pPr>
        <w:pStyle w:val="Normal0"/>
        <w:numPr>
          <w:ilvl w:val="0"/>
          <w:numId w:val="24"/>
        </w:numPr>
        <w:ind w:left="357" w:hanging="357"/>
        <w:jc w:val="both"/>
        <w:rPr>
          <w:rFonts w:ascii="Arial" w:eastAsia="Calibri" w:hAnsi="Arial" w:cs="Arial"/>
          <w:sz w:val="22"/>
          <w:szCs w:val="22"/>
          <w:lang w:val="pt-BR"/>
        </w:rPr>
      </w:pPr>
      <w:r w:rsidRPr="000D67C6">
        <w:rPr>
          <w:rFonts w:ascii="Arial" w:eastAsia="Calibri" w:hAnsi="Arial" w:cs="Arial"/>
          <w:sz w:val="22"/>
          <w:szCs w:val="22"/>
          <w:lang w:val="pt-BR"/>
        </w:rPr>
        <w:t xml:space="preserve">revalued downwards or impaired and the gains are lost  </w:t>
      </w:r>
    </w:p>
    <w:p w14:paraId="557DCBC9" w14:textId="77777777" w:rsidR="007104D5" w:rsidRPr="000D67C6" w:rsidRDefault="007104D5" w:rsidP="00474168">
      <w:pPr>
        <w:pStyle w:val="Normal0"/>
        <w:numPr>
          <w:ilvl w:val="0"/>
          <w:numId w:val="24"/>
        </w:numPr>
        <w:ind w:left="357" w:hanging="357"/>
        <w:jc w:val="both"/>
        <w:rPr>
          <w:rFonts w:ascii="Arial" w:eastAsia="Calibri" w:hAnsi="Arial" w:cs="Arial"/>
          <w:sz w:val="22"/>
          <w:szCs w:val="22"/>
          <w:lang w:val="pt-BR"/>
        </w:rPr>
      </w:pPr>
      <w:r w:rsidRPr="000D67C6">
        <w:rPr>
          <w:rFonts w:ascii="Arial" w:eastAsia="Calibri" w:hAnsi="Arial" w:cs="Arial"/>
          <w:sz w:val="22"/>
          <w:szCs w:val="22"/>
          <w:lang w:val="pt-BR"/>
        </w:rPr>
        <w:t xml:space="preserve">used in the provision of services and the gains are consumed through depreciation, or  </w:t>
      </w:r>
    </w:p>
    <w:p w14:paraId="55FFC259" w14:textId="77777777" w:rsidR="007104D5" w:rsidRPr="000D67C6" w:rsidRDefault="007104D5" w:rsidP="00474168">
      <w:pPr>
        <w:pStyle w:val="Normal0"/>
        <w:numPr>
          <w:ilvl w:val="0"/>
          <w:numId w:val="24"/>
        </w:numPr>
        <w:ind w:left="357" w:hanging="357"/>
        <w:jc w:val="both"/>
        <w:rPr>
          <w:rFonts w:ascii="Arial" w:eastAsia="Calibri" w:hAnsi="Arial" w:cs="Arial"/>
          <w:sz w:val="22"/>
          <w:szCs w:val="22"/>
          <w:lang w:val="pt-BR"/>
        </w:rPr>
      </w:pPr>
      <w:r w:rsidRPr="000D67C6">
        <w:rPr>
          <w:rFonts w:ascii="Arial" w:eastAsia="Calibri" w:hAnsi="Arial" w:cs="Arial"/>
          <w:sz w:val="22"/>
          <w:szCs w:val="22"/>
          <w:lang w:val="pt-BR"/>
        </w:rPr>
        <w:t xml:space="preserve">disposed of and the gains are realised.   </w:t>
      </w:r>
    </w:p>
    <w:p w14:paraId="4FCFB27D" w14:textId="77777777" w:rsidR="001B2935" w:rsidRPr="000D67C6" w:rsidRDefault="001B2935" w:rsidP="00474168">
      <w:pPr>
        <w:pStyle w:val="Normal0"/>
        <w:jc w:val="both"/>
        <w:rPr>
          <w:rFonts w:ascii="Arial" w:eastAsia="Calibri" w:hAnsi="Arial" w:cs="Arial"/>
          <w:sz w:val="22"/>
          <w:szCs w:val="22"/>
          <w:lang w:val="pt-BR"/>
        </w:rPr>
      </w:pPr>
    </w:p>
    <w:p w14:paraId="6DFF3D4C" w14:textId="77777777" w:rsidR="007104D5" w:rsidRPr="000D67C6" w:rsidRDefault="007104D5" w:rsidP="00474168">
      <w:pPr>
        <w:pStyle w:val="Normal0"/>
        <w:jc w:val="both"/>
        <w:rPr>
          <w:rFonts w:ascii="Arial" w:eastAsia="Calibri" w:hAnsi="Arial" w:cs="Arial"/>
          <w:sz w:val="22"/>
          <w:szCs w:val="22"/>
          <w:lang w:val="pt-BR"/>
        </w:rPr>
      </w:pPr>
      <w:r w:rsidRPr="000D67C6">
        <w:rPr>
          <w:rFonts w:ascii="Arial" w:eastAsia="Calibri" w:hAnsi="Arial" w:cs="Arial"/>
          <w:sz w:val="22"/>
          <w:szCs w:val="22"/>
          <w:lang w:val="pt-BR"/>
        </w:rPr>
        <w:t>The Reserve contains only revaluation gains accumulated since 1 April 2007, the date that the Reserve was created. Accumulated gains arising before that date are consolidated into the balance on the Capital Adjustment Account.</w:t>
      </w:r>
    </w:p>
    <w:tbl>
      <w:tblPr>
        <w:tblW w:w="0" w:type="auto"/>
        <w:jc w:val="center"/>
        <w:tblLayout w:type="fixed"/>
        <w:tblLook w:val="04A0" w:firstRow="1" w:lastRow="0" w:firstColumn="1" w:lastColumn="0" w:noHBand="0" w:noVBand="1"/>
      </w:tblPr>
      <w:tblGrid>
        <w:gridCol w:w="1560"/>
        <w:gridCol w:w="283"/>
        <w:gridCol w:w="4536"/>
        <w:gridCol w:w="1701"/>
      </w:tblGrid>
      <w:tr w:rsidR="00464E99" w:rsidRPr="000D67C6" w14:paraId="76802193" w14:textId="77777777" w:rsidTr="0043644C">
        <w:trPr>
          <w:trHeight w:val="548"/>
          <w:jc w:val="center"/>
        </w:trPr>
        <w:tc>
          <w:tcPr>
            <w:tcW w:w="1560" w:type="dxa"/>
            <w:shd w:val="clear" w:color="auto" w:fill="auto"/>
            <w:tcMar>
              <w:top w:w="20" w:type="dxa"/>
              <w:left w:w="20" w:type="dxa"/>
              <w:bottom w:w="20" w:type="dxa"/>
              <w:right w:w="20" w:type="dxa"/>
            </w:tcMar>
            <w:vAlign w:val="bottom"/>
          </w:tcPr>
          <w:p w14:paraId="73DF8F48" w14:textId="77777777" w:rsidR="0036365B" w:rsidRPr="000D67C6" w:rsidRDefault="003A59BE" w:rsidP="007104D5">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790DD4"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790DD4" w:rsidRPr="000D67C6">
              <w:rPr>
                <w:rFonts w:ascii="Arial" w:eastAsia="Verdana" w:hAnsi="Arial" w:cs="Arial"/>
                <w:b/>
                <w:sz w:val="22"/>
                <w:szCs w:val="22"/>
                <w:lang w:val="pt-BR"/>
              </w:rPr>
              <w:t>8</w:t>
            </w:r>
          </w:p>
        </w:tc>
        <w:tc>
          <w:tcPr>
            <w:tcW w:w="283" w:type="dxa"/>
            <w:shd w:val="clear" w:color="auto" w:fill="auto"/>
            <w:tcMar>
              <w:top w:w="20" w:type="dxa"/>
              <w:left w:w="20" w:type="dxa"/>
              <w:bottom w:w="20" w:type="dxa"/>
              <w:right w:w="20" w:type="dxa"/>
            </w:tcMar>
            <w:vAlign w:val="bottom"/>
          </w:tcPr>
          <w:p w14:paraId="6288B4F7" w14:textId="77777777" w:rsidR="00464E99" w:rsidRPr="000D67C6" w:rsidRDefault="00464E99" w:rsidP="007104D5">
            <w:pPr>
              <w:pStyle w:val="T1TableStyle"/>
              <w:jc w:val="right"/>
              <w:rPr>
                <w:rFonts w:ascii="Arial" w:eastAsia="Verdana" w:hAnsi="Arial" w:cs="Arial"/>
                <w:b/>
                <w:sz w:val="22"/>
                <w:szCs w:val="22"/>
                <w:lang w:val="pt-BR"/>
              </w:rPr>
            </w:pPr>
          </w:p>
        </w:tc>
        <w:tc>
          <w:tcPr>
            <w:tcW w:w="4536" w:type="dxa"/>
            <w:shd w:val="clear" w:color="auto" w:fill="auto"/>
            <w:tcMar>
              <w:top w:w="20" w:type="dxa"/>
              <w:left w:w="20" w:type="dxa"/>
              <w:bottom w:w="20" w:type="dxa"/>
              <w:right w:w="20" w:type="dxa"/>
            </w:tcMar>
            <w:vAlign w:val="bottom"/>
          </w:tcPr>
          <w:p w14:paraId="319352A8" w14:textId="77777777" w:rsidR="00464E99" w:rsidRPr="000D67C6" w:rsidRDefault="00464E99" w:rsidP="0043644C">
            <w:pPr>
              <w:pStyle w:val="T1TableStyle"/>
              <w:jc w:val="right"/>
              <w:rPr>
                <w:rFonts w:ascii="Arial" w:eastAsia="Verdana" w:hAnsi="Arial" w:cs="Arial"/>
                <w:b/>
                <w:sz w:val="22"/>
                <w:szCs w:val="22"/>
                <w:lang w:val="pt-BR"/>
              </w:rPr>
            </w:pPr>
          </w:p>
        </w:tc>
        <w:tc>
          <w:tcPr>
            <w:tcW w:w="1701" w:type="dxa"/>
            <w:shd w:val="clear" w:color="auto" w:fill="auto"/>
            <w:tcMar>
              <w:top w:w="20" w:type="dxa"/>
              <w:left w:w="20" w:type="dxa"/>
              <w:bottom w:w="20" w:type="dxa"/>
              <w:right w:w="20" w:type="dxa"/>
            </w:tcMar>
            <w:vAlign w:val="bottom"/>
          </w:tcPr>
          <w:p w14:paraId="7BD6B239" w14:textId="77777777" w:rsidR="0036365B" w:rsidRPr="000D67C6" w:rsidRDefault="003A59BE" w:rsidP="007104D5">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790DD4"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790DD4" w:rsidRPr="000D67C6">
              <w:rPr>
                <w:rFonts w:ascii="Arial" w:eastAsia="Verdana" w:hAnsi="Arial" w:cs="Arial"/>
                <w:b/>
                <w:sz w:val="22"/>
                <w:szCs w:val="22"/>
                <w:lang w:val="pt-BR"/>
              </w:rPr>
              <w:t>9</w:t>
            </w:r>
          </w:p>
        </w:tc>
      </w:tr>
      <w:tr w:rsidR="00464E99" w:rsidRPr="000D67C6" w14:paraId="6B23C67F" w14:textId="77777777" w:rsidTr="0043644C">
        <w:trPr>
          <w:trHeight w:val="300"/>
          <w:jc w:val="center"/>
        </w:trPr>
        <w:tc>
          <w:tcPr>
            <w:tcW w:w="1560" w:type="dxa"/>
            <w:tcBorders>
              <w:bottom w:val="single" w:sz="2" w:space="0" w:color="000000"/>
            </w:tcBorders>
            <w:shd w:val="clear" w:color="auto" w:fill="auto"/>
            <w:tcMar>
              <w:top w:w="20" w:type="dxa"/>
              <w:left w:w="20" w:type="dxa"/>
              <w:bottom w:w="20" w:type="dxa"/>
              <w:right w:w="20" w:type="dxa"/>
            </w:tcMar>
          </w:tcPr>
          <w:p w14:paraId="2C9501C2" w14:textId="77777777" w:rsidR="00464E99" w:rsidRPr="000D67C6" w:rsidRDefault="008F013B" w:rsidP="007104D5">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83" w:type="dxa"/>
            <w:tcBorders>
              <w:bottom w:val="single" w:sz="2" w:space="0" w:color="000000"/>
            </w:tcBorders>
            <w:shd w:val="clear" w:color="auto" w:fill="auto"/>
            <w:tcMar>
              <w:top w:w="20" w:type="dxa"/>
              <w:left w:w="20" w:type="dxa"/>
              <w:bottom w:w="20" w:type="dxa"/>
              <w:right w:w="20" w:type="dxa"/>
            </w:tcMar>
          </w:tcPr>
          <w:p w14:paraId="6B7144F8" w14:textId="77777777" w:rsidR="00464E99" w:rsidRPr="000D67C6" w:rsidRDefault="00464E99" w:rsidP="007104D5">
            <w:pPr>
              <w:pStyle w:val="T1TableStyle"/>
              <w:jc w:val="right"/>
              <w:rPr>
                <w:rFonts w:ascii="Arial" w:eastAsia="Verdana" w:hAnsi="Arial" w:cs="Arial"/>
                <w:b/>
                <w:sz w:val="22"/>
                <w:szCs w:val="22"/>
                <w:lang w:val="pt-BR"/>
              </w:rPr>
            </w:pPr>
          </w:p>
        </w:tc>
        <w:tc>
          <w:tcPr>
            <w:tcW w:w="4536" w:type="dxa"/>
            <w:tcBorders>
              <w:bottom w:val="single" w:sz="2" w:space="0" w:color="000000"/>
            </w:tcBorders>
            <w:shd w:val="clear" w:color="auto" w:fill="auto"/>
            <w:tcMar>
              <w:top w:w="20" w:type="dxa"/>
              <w:left w:w="20" w:type="dxa"/>
              <w:bottom w:w="20" w:type="dxa"/>
              <w:right w:w="20" w:type="dxa"/>
            </w:tcMar>
          </w:tcPr>
          <w:p w14:paraId="736FC199" w14:textId="77777777" w:rsidR="00464E99" w:rsidRPr="000D67C6" w:rsidRDefault="00464E99" w:rsidP="007104D5">
            <w:pPr>
              <w:pStyle w:val="T1TableStyle"/>
              <w:rPr>
                <w:rFonts w:ascii="Arial" w:eastAsia="Verdana" w:hAnsi="Arial" w:cs="Arial"/>
                <w:b/>
                <w:sz w:val="22"/>
                <w:szCs w:val="22"/>
                <w:lang w:val="pt-BR"/>
              </w:rPr>
            </w:pPr>
          </w:p>
        </w:tc>
        <w:tc>
          <w:tcPr>
            <w:tcW w:w="1701" w:type="dxa"/>
            <w:tcBorders>
              <w:bottom w:val="single" w:sz="2" w:space="0" w:color="000000"/>
            </w:tcBorders>
            <w:shd w:val="clear" w:color="auto" w:fill="auto"/>
            <w:tcMar>
              <w:top w:w="20" w:type="dxa"/>
              <w:left w:w="20" w:type="dxa"/>
              <w:bottom w:w="20" w:type="dxa"/>
              <w:right w:w="20" w:type="dxa"/>
            </w:tcMar>
          </w:tcPr>
          <w:p w14:paraId="2162ECD1" w14:textId="77777777" w:rsidR="00464E99" w:rsidRPr="000D67C6" w:rsidRDefault="008F013B" w:rsidP="007104D5">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790DD4" w:rsidRPr="000D67C6" w14:paraId="2C47CB39" w14:textId="77777777" w:rsidTr="0055365B">
        <w:trPr>
          <w:trHeight w:val="499"/>
          <w:jc w:val="center"/>
        </w:trPr>
        <w:tc>
          <w:tcPr>
            <w:tcW w:w="1560" w:type="dxa"/>
            <w:shd w:val="clear" w:color="auto" w:fill="auto"/>
            <w:tcMar>
              <w:top w:w="20" w:type="dxa"/>
              <w:left w:w="20" w:type="dxa"/>
              <w:bottom w:w="20" w:type="dxa"/>
              <w:right w:w="20" w:type="dxa"/>
            </w:tcMar>
            <w:vAlign w:val="center"/>
          </w:tcPr>
          <w:p w14:paraId="5682D54B"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(15,685)</w:t>
            </w:r>
          </w:p>
        </w:tc>
        <w:tc>
          <w:tcPr>
            <w:tcW w:w="283" w:type="dxa"/>
            <w:shd w:val="clear" w:color="auto" w:fill="auto"/>
            <w:tcMar>
              <w:top w:w="20" w:type="dxa"/>
              <w:left w:w="20" w:type="dxa"/>
              <w:bottom w:w="20" w:type="dxa"/>
              <w:right w:w="20" w:type="dxa"/>
            </w:tcMar>
            <w:vAlign w:val="center"/>
          </w:tcPr>
          <w:p w14:paraId="743D9275" w14:textId="77777777" w:rsidR="00790DD4" w:rsidRPr="000D67C6" w:rsidRDefault="00790DD4" w:rsidP="00790DD4">
            <w:pPr>
              <w:pStyle w:val="T1TableStyle"/>
              <w:jc w:val="right"/>
              <w:rPr>
                <w:rFonts w:ascii="Arial" w:eastAsia="Verdana" w:hAnsi="Arial" w:cs="Arial"/>
                <w:sz w:val="22"/>
                <w:szCs w:val="22"/>
                <w:lang w:val="pt-BR"/>
              </w:rPr>
            </w:pPr>
          </w:p>
        </w:tc>
        <w:tc>
          <w:tcPr>
            <w:tcW w:w="4536" w:type="dxa"/>
            <w:shd w:val="clear" w:color="auto" w:fill="auto"/>
            <w:tcMar>
              <w:top w:w="20" w:type="dxa"/>
              <w:left w:w="20" w:type="dxa"/>
              <w:bottom w:w="20" w:type="dxa"/>
              <w:right w:w="20" w:type="dxa"/>
            </w:tcMar>
            <w:vAlign w:val="center"/>
          </w:tcPr>
          <w:p w14:paraId="79288823" w14:textId="77777777" w:rsidR="00790DD4" w:rsidRPr="000D67C6" w:rsidRDefault="00790DD4" w:rsidP="00790DD4">
            <w:pPr>
              <w:pStyle w:val="T1TableStyle"/>
              <w:rPr>
                <w:rFonts w:ascii="Arial" w:eastAsia="Verdana" w:hAnsi="Arial" w:cs="Arial"/>
                <w:b/>
                <w:sz w:val="22"/>
                <w:szCs w:val="22"/>
                <w:lang w:val="pt-BR"/>
              </w:rPr>
            </w:pPr>
            <w:r w:rsidRPr="000D67C6">
              <w:rPr>
                <w:rFonts w:ascii="Arial" w:eastAsia="Verdana" w:hAnsi="Arial" w:cs="Arial"/>
                <w:b/>
                <w:sz w:val="22"/>
                <w:szCs w:val="22"/>
                <w:lang w:val="pt-BR"/>
              </w:rPr>
              <w:t>Balance 1 April</w:t>
            </w:r>
          </w:p>
        </w:tc>
        <w:tc>
          <w:tcPr>
            <w:tcW w:w="1701" w:type="dxa"/>
            <w:shd w:val="clear" w:color="auto" w:fill="auto"/>
            <w:tcMar>
              <w:top w:w="20" w:type="dxa"/>
              <w:left w:w="20" w:type="dxa"/>
              <w:bottom w:w="20" w:type="dxa"/>
              <w:right w:w="20" w:type="dxa"/>
            </w:tcMar>
            <w:vAlign w:val="center"/>
          </w:tcPr>
          <w:p w14:paraId="22FBADD0" w14:textId="77777777" w:rsidR="00790DD4" w:rsidRPr="000D67C6" w:rsidRDefault="001226D0"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(15,292)</w:t>
            </w:r>
          </w:p>
        </w:tc>
      </w:tr>
      <w:tr w:rsidR="00790DD4" w:rsidRPr="000D67C6" w14:paraId="0DF79651" w14:textId="77777777" w:rsidTr="0055365B">
        <w:trPr>
          <w:trHeight w:val="300"/>
          <w:jc w:val="center"/>
        </w:trPr>
        <w:tc>
          <w:tcPr>
            <w:tcW w:w="1560" w:type="dxa"/>
            <w:shd w:val="clear" w:color="auto" w:fill="auto"/>
            <w:tcMar>
              <w:top w:w="20" w:type="dxa"/>
              <w:left w:w="20" w:type="dxa"/>
              <w:bottom w:w="20" w:type="dxa"/>
              <w:right w:w="20" w:type="dxa"/>
            </w:tcMar>
            <w:vAlign w:val="center"/>
          </w:tcPr>
          <w:p w14:paraId="594C0832"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283" w:type="dxa"/>
            <w:shd w:val="clear" w:color="auto" w:fill="auto"/>
            <w:tcMar>
              <w:top w:w="20" w:type="dxa"/>
              <w:left w:w="20" w:type="dxa"/>
              <w:bottom w:w="20" w:type="dxa"/>
              <w:right w:w="20" w:type="dxa"/>
            </w:tcMar>
            <w:vAlign w:val="center"/>
          </w:tcPr>
          <w:p w14:paraId="54E352BC" w14:textId="77777777" w:rsidR="00790DD4" w:rsidRPr="000D67C6" w:rsidRDefault="00790DD4" w:rsidP="00790DD4">
            <w:pPr>
              <w:pStyle w:val="T1TableStyle"/>
              <w:jc w:val="right"/>
              <w:rPr>
                <w:rFonts w:ascii="Arial" w:eastAsia="Verdana" w:hAnsi="Arial" w:cs="Arial"/>
                <w:sz w:val="22"/>
                <w:szCs w:val="22"/>
                <w:lang w:val="pt-BR"/>
              </w:rPr>
            </w:pPr>
          </w:p>
        </w:tc>
        <w:tc>
          <w:tcPr>
            <w:tcW w:w="4536" w:type="dxa"/>
            <w:shd w:val="clear" w:color="auto" w:fill="auto"/>
            <w:tcMar>
              <w:top w:w="20" w:type="dxa"/>
              <w:left w:w="20" w:type="dxa"/>
              <w:bottom w:w="20" w:type="dxa"/>
              <w:right w:w="20" w:type="dxa"/>
            </w:tcMar>
            <w:vAlign w:val="center"/>
          </w:tcPr>
          <w:p w14:paraId="2FE9D7B4"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Upward revaluation of assets</w:t>
            </w:r>
          </w:p>
        </w:tc>
        <w:tc>
          <w:tcPr>
            <w:tcW w:w="1701" w:type="dxa"/>
            <w:shd w:val="clear" w:color="auto" w:fill="auto"/>
            <w:tcMar>
              <w:top w:w="20" w:type="dxa"/>
              <w:left w:w="20" w:type="dxa"/>
              <w:bottom w:w="20" w:type="dxa"/>
              <w:right w:w="20" w:type="dxa"/>
            </w:tcMar>
            <w:vAlign w:val="center"/>
          </w:tcPr>
          <w:p w14:paraId="3904F353" w14:textId="77777777" w:rsidR="00790DD4" w:rsidRPr="000D67C6" w:rsidRDefault="001226D0"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r>
      <w:tr w:rsidR="00790DD4" w:rsidRPr="000D67C6" w14:paraId="39084683" w14:textId="77777777" w:rsidTr="0055365B">
        <w:trPr>
          <w:trHeight w:val="948"/>
          <w:jc w:val="center"/>
        </w:trPr>
        <w:tc>
          <w:tcPr>
            <w:tcW w:w="1560" w:type="dxa"/>
            <w:shd w:val="clear" w:color="auto" w:fill="auto"/>
            <w:tcMar>
              <w:top w:w="20" w:type="dxa"/>
              <w:left w:w="20" w:type="dxa"/>
              <w:bottom w:w="20" w:type="dxa"/>
              <w:right w:w="20" w:type="dxa"/>
            </w:tcMar>
            <w:vAlign w:val="center"/>
          </w:tcPr>
          <w:p w14:paraId="6E4E48C3"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283" w:type="dxa"/>
            <w:shd w:val="clear" w:color="auto" w:fill="auto"/>
            <w:tcMar>
              <w:top w:w="20" w:type="dxa"/>
              <w:left w:w="20" w:type="dxa"/>
              <w:bottom w:w="20" w:type="dxa"/>
              <w:right w:w="20" w:type="dxa"/>
            </w:tcMar>
            <w:vAlign w:val="center"/>
          </w:tcPr>
          <w:p w14:paraId="4C4A488A" w14:textId="77777777" w:rsidR="00790DD4" w:rsidRPr="000D67C6" w:rsidRDefault="00790DD4" w:rsidP="00790DD4">
            <w:pPr>
              <w:pStyle w:val="T1TableStyle"/>
              <w:jc w:val="right"/>
              <w:rPr>
                <w:rFonts w:ascii="Arial" w:eastAsia="Verdana" w:hAnsi="Arial" w:cs="Arial"/>
                <w:sz w:val="22"/>
                <w:szCs w:val="22"/>
                <w:lang w:val="pt-BR"/>
              </w:rPr>
            </w:pPr>
          </w:p>
        </w:tc>
        <w:tc>
          <w:tcPr>
            <w:tcW w:w="4536" w:type="dxa"/>
            <w:shd w:val="clear" w:color="auto" w:fill="auto"/>
            <w:tcMar>
              <w:top w:w="20" w:type="dxa"/>
              <w:left w:w="20" w:type="dxa"/>
              <w:bottom w:w="20" w:type="dxa"/>
              <w:right w:w="20" w:type="dxa"/>
            </w:tcMar>
            <w:vAlign w:val="center"/>
          </w:tcPr>
          <w:p w14:paraId="58CDBEF5"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Downward revaluation of assets and impairment losses not charged to the Surplus or Deficit on the Provision of Services</w:t>
            </w:r>
          </w:p>
        </w:tc>
        <w:tc>
          <w:tcPr>
            <w:tcW w:w="1701" w:type="dxa"/>
            <w:shd w:val="clear" w:color="auto" w:fill="auto"/>
            <w:tcMar>
              <w:top w:w="20" w:type="dxa"/>
              <w:left w:w="20" w:type="dxa"/>
              <w:bottom w:w="20" w:type="dxa"/>
              <w:right w:w="20" w:type="dxa"/>
            </w:tcMar>
            <w:vAlign w:val="center"/>
          </w:tcPr>
          <w:p w14:paraId="68239B43" w14:textId="77777777" w:rsidR="00790DD4" w:rsidRPr="000D67C6" w:rsidRDefault="001226D0"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r>
      <w:tr w:rsidR="00790DD4" w:rsidRPr="000D67C6" w14:paraId="1DDC8C74" w14:textId="77777777" w:rsidTr="00474168">
        <w:trPr>
          <w:trHeight w:val="855"/>
          <w:jc w:val="center"/>
        </w:trPr>
        <w:tc>
          <w:tcPr>
            <w:tcW w:w="1560" w:type="dxa"/>
            <w:tcBorders>
              <w:top w:val="single" w:sz="2" w:space="0" w:color="000000"/>
            </w:tcBorders>
            <w:shd w:val="clear" w:color="auto" w:fill="auto"/>
            <w:tcMar>
              <w:top w:w="20" w:type="dxa"/>
              <w:left w:w="20" w:type="dxa"/>
              <w:bottom w:w="20" w:type="dxa"/>
              <w:right w:w="20" w:type="dxa"/>
            </w:tcMar>
            <w:vAlign w:val="center"/>
          </w:tcPr>
          <w:p w14:paraId="0D85DC05" w14:textId="77777777" w:rsidR="00790DD4" w:rsidRPr="000D67C6" w:rsidRDefault="00790DD4"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w:t>
            </w:r>
          </w:p>
        </w:tc>
        <w:tc>
          <w:tcPr>
            <w:tcW w:w="283" w:type="dxa"/>
            <w:tcBorders>
              <w:top w:val="single" w:sz="2" w:space="0" w:color="000000"/>
            </w:tcBorders>
            <w:shd w:val="clear" w:color="auto" w:fill="auto"/>
            <w:tcMar>
              <w:top w:w="20" w:type="dxa"/>
              <w:left w:w="20" w:type="dxa"/>
              <w:bottom w:w="20" w:type="dxa"/>
              <w:right w:w="20" w:type="dxa"/>
            </w:tcMar>
            <w:vAlign w:val="center"/>
          </w:tcPr>
          <w:p w14:paraId="635669C8" w14:textId="77777777" w:rsidR="00790DD4" w:rsidRPr="000D67C6" w:rsidRDefault="00790DD4" w:rsidP="00790DD4">
            <w:pPr>
              <w:pStyle w:val="T1TableStyle"/>
              <w:jc w:val="right"/>
              <w:rPr>
                <w:rFonts w:ascii="Arial" w:eastAsia="Verdana" w:hAnsi="Arial" w:cs="Arial"/>
                <w:b/>
                <w:sz w:val="22"/>
                <w:szCs w:val="22"/>
                <w:lang w:val="pt-BR"/>
              </w:rPr>
            </w:pPr>
          </w:p>
        </w:tc>
        <w:tc>
          <w:tcPr>
            <w:tcW w:w="4536" w:type="dxa"/>
            <w:tcBorders>
              <w:top w:val="single" w:sz="2" w:space="0" w:color="000000"/>
            </w:tcBorders>
            <w:shd w:val="clear" w:color="auto" w:fill="auto"/>
            <w:tcMar>
              <w:top w:w="20" w:type="dxa"/>
              <w:left w:w="20" w:type="dxa"/>
              <w:bottom w:w="20" w:type="dxa"/>
              <w:right w:w="20" w:type="dxa"/>
            </w:tcMar>
            <w:vAlign w:val="center"/>
          </w:tcPr>
          <w:p w14:paraId="0524FFD1" w14:textId="77777777" w:rsidR="00790DD4" w:rsidRPr="000D67C6" w:rsidRDefault="00790DD4" w:rsidP="00790DD4">
            <w:pPr>
              <w:pStyle w:val="T1TableStyle"/>
              <w:rPr>
                <w:rFonts w:ascii="Arial" w:eastAsia="Verdana" w:hAnsi="Arial" w:cs="Arial"/>
                <w:b/>
                <w:sz w:val="22"/>
                <w:szCs w:val="22"/>
                <w:lang w:val="pt-BR"/>
              </w:rPr>
            </w:pPr>
            <w:r w:rsidRPr="000D67C6">
              <w:rPr>
                <w:rFonts w:ascii="Arial" w:eastAsia="Verdana" w:hAnsi="Arial" w:cs="Arial"/>
                <w:b/>
                <w:sz w:val="22"/>
                <w:szCs w:val="22"/>
                <w:lang w:val="pt-BR"/>
              </w:rPr>
              <w:t>Surplus or deficit on revaluation of non-current assets not charged to the Surplus or Deficit on the Provision of Services</w:t>
            </w:r>
          </w:p>
        </w:tc>
        <w:tc>
          <w:tcPr>
            <w:tcW w:w="1701" w:type="dxa"/>
            <w:tcBorders>
              <w:top w:val="single" w:sz="2" w:space="0" w:color="000000"/>
            </w:tcBorders>
            <w:shd w:val="clear" w:color="auto" w:fill="auto"/>
            <w:tcMar>
              <w:top w:w="20" w:type="dxa"/>
              <w:left w:w="20" w:type="dxa"/>
              <w:bottom w:w="20" w:type="dxa"/>
              <w:right w:w="20" w:type="dxa"/>
            </w:tcMar>
            <w:vAlign w:val="center"/>
          </w:tcPr>
          <w:p w14:paraId="7776A673" w14:textId="77777777" w:rsidR="00790DD4" w:rsidRPr="000D67C6" w:rsidRDefault="001226D0"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w:t>
            </w:r>
          </w:p>
        </w:tc>
      </w:tr>
      <w:tr w:rsidR="00790DD4" w:rsidRPr="000D67C6" w14:paraId="50A4A64A" w14:textId="77777777" w:rsidTr="00474168">
        <w:trPr>
          <w:trHeight w:val="660"/>
          <w:jc w:val="center"/>
        </w:trPr>
        <w:tc>
          <w:tcPr>
            <w:tcW w:w="1560" w:type="dxa"/>
            <w:shd w:val="clear" w:color="auto" w:fill="auto"/>
            <w:tcMar>
              <w:top w:w="20" w:type="dxa"/>
              <w:left w:w="20" w:type="dxa"/>
              <w:bottom w:w="20" w:type="dxa"/>
              <w:right w:w="20" w:type="dxa"/>
            </w:tcMar>
            <w:vAlign w:val="center"/>
          </w:tcPr>
          <w:p w14:paraId="31050F97"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393</w:t>
            </w:r>
          </w:p>
        </w:tc>
        <w:tc>
          <w:tcPr>
            <w:tcW w:w="283" w:type="dxa"/>
            <w:shd w:val="clear" w:color="auto" w:fill="auto"/>
            <w:tcMar>
              <w:top w:w="20" w:type="dxa"/>
              <w:left w:w="20" w:type="dxa"/>
              <w:bottom w:w="20" w:type="dxa"/>
              <w:right w:w="20" w:type="dxa"/>
            </w:tcMar>
            <w:vAlign w:val="center"/>
          </w:tcPr>
          <w:p w14:paraId="2A33D857" w14:textId="77777777" w:rsidR="00790DD4" w:rsidRPr="000D67C6" w:rsidRDefault="00790DD4" w:rsidP="00790DD4">
            <w:pPr>
              <w:pStyle w:val="T1TableStyle"/>
              <w:jc w:val="right"/>
              <w:rPr>
                <w:rFonts w:ascii="Arial" w:eastAsia="Verdana" w:hAnsi="Arial" w:cs="Arial"/>
                <w:sz w:val="22"/>
                <w:szCs w:val="22"/>
                <w:lang w:val="pt-BR"/>
              </w:rPr>
            </w:pPr>
          </w:p>
        </w:tc>
        <w:tc>
          <w:tcPr>
            <w:tcW w:w="4536" w:type="dxa"/>
            <w:shd w:val="clear" w:color="auto" w:fill="auto"/>
            <w:tcMar>
              <w:top w:w="20" w:type="dxa"/>
              <w:left w:w="20" w:type="dxa"/>
              <w:bottom w:w="20" w:type="dxa"/>
              <w:right w:w="20" w:type="dxa"/>
            </w:tcMar>
            <w:vAlign w:val="center"/>
          </w:tcPr>
          <w:p w14:paraId="21FF5C32"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Difference between fair value depreciation and historical cost depreciation</w:t>
            </w:r>
          </w:p>
        </w:tc>
        <w:tc>
          <w:tcPr>
            <w:tcW w:w="1701" w:type="dxa"/>
            <w:shd w:val="clear" w:color="auto" w:fill="auto"/>
            <w:tcMar>
              <w:top w:w="20" w:type="dxa"/>
              <w:left w:w="20" w:type="dxa"/>
              <w:bottom w:w="20" w:type="dxa"/>
              <w:right w:w="20" w:type="dxa"/>
            </w:tcMar>
            <w:vAlign w:val="center"/>
          </w:tcPr>
          <w:p w14:paraId="5C80B4CB" w14:textId="77777777" w:rsidR="00790DD4" w:rsidRPr="000D67C6" w:rsidRDefault="001226D0"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394</w:t>
            </w:r>
          </w:p>
        </w:tc>
      </w:tr>
      <w:tr w:rsidR="00790DD4" w:rsidRPr="000D67C6" w14:paraId="5AB79CFD" w14:textId="77777777" w:rsidTr="00474168">
        <w:trPr>
          <w:trHeight w:val="638"/>
          <w:jc w:val="center"/>
        </w:trPr>
        <w:tc>
          <w:tcPr>
            <w:tcW w:w="1560" w:type="dxa"/>
            <w:shd w:val="clear" w:color="auto" w:fill="auto"/>
            <w:tcMar>
              <w:top w:w="20" w:type="dxa"/>
              <w:left w:w="20" w:type="dxa"/>
              <w:bottom w:w="20" w:type="dxa"/>
              <w:right w:w="20" w:type="dxa"/>
            </w:tcMar>
            <w:vAlign w:val="center"/>
          </w:tcPr>
          <w:p w14:paraId="578C36DA" w14:textId="77777777" w:rsidR="00790DD4" w:rsidRPr="000D67C6" w:rsidRDefault="00790DD4"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283" w:type="dxa"/>
            <w:shd w:val="clear" w:color="auto" w:fill="auto"/>
            <w:tcMar>
              <w:top w:w="20" w:type="dxa"/>
              <w:left w:w="20" w:type="dxa"/>
              <w:bottom w:w="20" w:type="dxa"/>
              <w:right w:w="20" w:type="dxa"/>
            </w:tcMar>
            <w:vAlign w:val="center"/>
          </w:tcPr>
          <w:p w14:paraId="39213E75" w14:textId="77777777" w:rsidR="00790DD4" w:rsidRPr="000D67C6" w:rsidRDefault="00790DD4" w:rsidP="00790DD4">
            <w:pPr>
              <w:pStyle w:val="T1TableStyle"/>
              <w:jc w:val="right"/>
              <w:rPr>
                <w:rFonts w:ascii="Arial" w:eastAsia="Verdana" w:hAnsi="Arial" w:cs="Arial"/>
                <w:sz w:val="22"/>
                <w:szCs w:val="22"/>
                <w:lang w:val="pt-BR"/>
              </w:rPr>
            </w:pPr>
          </w:p>
        </w:tc>
        <w:tc>
          <w:tcPr>
            <w:tcW w:w="4536" w:type="dxa"/>
            <w:shd w:val="clear" w:color="auto" w:fill="auto"/>
            <w:tcMar>
              <w:top w:w="20" w:type="dxa"/>
              <w:left w:w="20" w:type="dxa"/>
              <w:bottom w:w="20" w:type="dxa"/>
              <w:right w:w="20" w:type="dxa"/>
            </w:tcMar>
            <w:vAlign w:val="center"/>
          </w:tcPr>
          <w:p w14:paraId="4B65F29C" w14:textId="77777777" w:rsidR="00790DD4" w:rsidRPr="000D67C6" w:rsidRDefault="00790DD4" w:rsidP="00790DD4">
            <w:pPr>
              <w:pStyle w:val="T1TableStyle"/>
              <w:rPr>
                <w:rFonts w:ascii="Arial" w:eastAsia="Verdana" w:hAnsi="Arial" w:cs="Arial"/>
                <w:sz w:val="22"/>
                <w:szCs w:val="22"/>
                <w:lang w:val="pt-BR"/>
              </w:rPr>
            </w:pPr>
            <w:r w:rsidRPr="000D67C6">
              <w:rPr>
                <w:rFonts w:ascii="Arial" w:eastAsia="Verdana" w:hAnsi="Arial" w:cs="Arial"/>
                <w:sz w:val="22"/>
                <w:szCs w:val="22"/>
                <w:lang w:val="pt-BR"/>
              </w:rPr>
              <w:t>Accumulated gains on assets sold or scrapped</w:t>
            </w:r>
          </w:p>
        </w:tc>
        <w:tc>
          <w:tcPr>
            <w:tcW w:w="1701" w:type="dxa"/>
            <w:shd w:val="clear" w:color="auto" w:fill="auto"/>
            <w:tcMar>
              <w:top w:w="20" w:type="dxa"/>
              <w:left w:w="20" w:type="dxa"/>
              <w:bottom w:w="20" w:type="dxa"/>
              <w:right w:w="20" w:type="dxa"/>
            </w:tcMar>
            <w:vAlign w:val="center"/>
          </w:tcPr>
          <w:p w14:paraId="211917ED" w14:textId="77777777" w:rsidR="00790DD4" w:rsidRPr="000D67C6" w:rsidRDefault="001226D0" w:rsidP="00790DD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r>
      <w:tr w:rsidR="00790DD4" w:rsidRPr="000D67C6" w14:paraId="6B62EF16" w14:textId="77777777" w:rsidTr="00474168">
        <w:trPr>
          <w:trHeight w:val="348"/>
          <w:jc w:val="center"/>
        </w:trPr>
        <w:tc>
          <w:tcPr>
            <w:tcW w:w="1560" w:type="dxa"/>
            <w:tcBorders>
              <w:top w:val="single" w:sz="2" w:space="0" w:color="000000"/>
            </w:tcBorders>
            <w:shd w:val="clear" w:color="auto" w:fill="auto"/>
            <w:tcMar>
              <w:top w:w="20" w:type="dxa"/>
              <w:left w:w="20" w:type="dxa"/>
              <w:bottom w:w="20" w:type="dxa"/>
              <w:right w:w="20" w:type="dxa"/>
            </w:tcMar>
            <w:vAlign w:val="center"/>
          </w:tcPr>
          <w:p w14:paraId="510E7119" w14:textId="77777777" w:rsidR="00790DD4" w:rsidRPr="000D67C6" w:rsidRDefault="00790DD4"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393</w:t>
            </w:r>
          </w:p>
        </w:tc>
        <w:tc>
          <w:tcPr>
            <w:tcW w:w="283" w:type="dxa"/>
            <w:tcBorders>
              <w:top w:val="single" w:sz="2" w:space="0" w:color="000000"/>
            </w:tcBorders>
            <w:shd w:val="clear" w:color="auto" w:fill="auto"/>
            <w:tcMar>
              <w:top w:w="20" w:type="dxa"/>
              <w:left w:w="20" w:type="dxa"/>
              <w:bottom w:w="20" w:type="dxa"/>
              <w:right w:w="20" w:type="dxa"/>
            </w:tcMar>
            <w:vAlign w:val="center"/>
          </w:tcPr>
          <w:p w14:paraId="3215A818" w14:textId="77777777" w:rsidR="00790DD4" w:rsidRPr="000D67C6" w:rsidRDefault="00790DD4" w:rsidP="00790DD4">
            <w:pPr>
              <w:pStyle w:val="T1TableStyle"/>
              <w:jc w:val="right"/>
              <w:rPr>
                <w:rFonts w:ascii="Arial" w:eastAsia="Verdana" w:hAnsi="Arial" w:cs="Arial"/>
                <w:b/>
                <w:sz w:val="22"/>
                <w:szCs w:val="22"/>
                <w:lang w:val="pt-BR"/>
              </w:rPr>
            </w:pPr>
          </w:p>
        </w:tc>
        <w:tc>
          <w:tcPr>
            <w:tcW w:w="4536" w:type="dxa"/>
            <w:tcBorders>
              <w:top w:val="single" w:sz="2" w:space="0" w:color="000000"/>
            </w:tcBorders>
            <w:shd w:val="clear" w:color="auto" w:fill="auto"/>
            <w:tcMar>
              <w:top w:w="20" w:type="dxa"/>
              <w:left w:w="20" w:type="dxa"/>
              <w:bottom w:w="20" w:type="dxa"/>
              <w:right w:w="20" w:type="dxa"/>
            </w:tcMar>
            <w:vAlign w:val="center"/>
          </w:tcPr>
          <w:p w14:paraId="03DE7CA9" w14:textId="77777777" w:rsidR="00790DD4" w:rsidRPr="000D67C6" w:rsidRDefault="00790DD4" w:rsidP="00790DD4">
            <w:pPr>
              <w:pStyle w:val="T1TableStyle"/>
              <w:rPr>
                <w:rFonts w:ascii="Arial" w:eastAsia="Verdana" w:hAnsi="Arial" w:cs="Arial"/>
                <w:b/>
                <w:sz w:val="22"/>
                <w:szCs w:val="22"/>
                <w:lang w:val="pt-BR"/>
              </w:rPr>
            </w:pPr>
            <w:r w:rsidRPr="000D67C6">
              <w:rPr>
                <w:rFonts w:ascii="Arial" w:eastAsia="Verdana" w:hAnsi="Arial" w:cs="Arial"/>
                <w:b/>
                <w:sz w:val="22"/>
                <w:szCs w:val="22"/>
                <w:lang w:val="pt-BR"/>
              </w:rPr>
              <w:t>Amount written off to the Capital Adjustment Account</w:t>
            </w:r>
          </w:p>
        </w:tc>
        <w:tc>
          <w:tcPr>
            <w:tcW w:w="1701" w:type="dxa"/>
            <w:tcBorders>
              <w:top w:val="single" w:sz="2" w:space="0" w:color="000000"/>
            </w:tcBorders>
            <w:shd w:val="clear" w:color="auto" w:fill="auto"/>
            <w:tcMar>
              <w:top w:w="20" w:type="dxa"/>
              <w:left w:w="20" w:type="dxa"/>
              <w:bottom w:w="20" w:type="dxa"/>
              <w:right w:w="20" w:type="dxa"/>
            </w:tcMar>
            <w:vAlign w:val="center"/>
          </w:tcPr>
          <w:p w14:paraId="09610E01" w14:textId="77777777" w:rsidR="00790DD4" w:rsidRPr="000D67C6" w:rsidRDefault="001226D0"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394</w:t>
            </w:r>
          </w:p>
        </w:tc>
      </w:tr>
      <w:tr w:rsidR="00790DD4" w:rsidRPr="000D67C6" w14:paraId="373945FC" w14:textId="77777777" w:rsidTr="00474168">
        <w:trPr>
          <w:trHeight w:val="315"/>
          <w:jc w:val="center"/>
        </w:trPr>
        <w:tc>
          <w:tcPr>
            <w:tcW w:w="156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D7B1E12" w14:textId="77777777" w:rsidR="00790DD4" w:rsidRPr="000D67C6" w:rsidRDefault="00790DD4"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(15,292)</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73D74C8" w14:textId="77777777" w:rsidR="00790DD4" w:rsidRPr="000D67C6" w:rsidRDefault="00790DD4" w:rsidP="00790DD4">
            <w:pPr>
              <w:pStyle w:val="T1TableStyle"/>
              <w:jc w:val="right"/>
              <w:rPr>
                <w:rFonts w:ascii="Arial" w:eastAsia="Verdana" w:hAnsi="Arial" w:cs="Arial"/>
                <w:b/>
                <w:sz w:val="22"/>
                <w:szCs w:val="22"/>
                <w:lang w:val="pt-BR"/>
              </w:rPr>
            </w:pPr>
          </w:p>
        </w:tc>
        <w:tc>
          <w:tcPr>
            <w:tcW w:w="453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BB5C0C5" w14:textId="77777777" w:rsidR="00790DD4" w:rsidRPr="000D67C6" w:rsidRDefault="00790DD4" w:rsidP="00790DD4">
            <w:pPr>
              <w:pStyle w:val="T1TableStyle"/>
              <w:rPr>
                <w:rFonts w:ascii="Arial" w:eastAsia="Verdana" w:hAnsi="Arial" w:cs="Arial"/>
                <w:b/>
                <w:sz w:val="22"/>
                <w:szCs w:val="22"/>
                <w:lang w:val="pt-BR"/>
              </w:rPr>
            </w:pPr>
            <w:r w:rsidRPr="000D67C6">
              <w:rPr>
                <w:rFonts w:ascii="Arial" w:eastAsia="Verdana" w:hAnsi="Arial" w:cs="Arial"/>
                <w:b/>
                <w:sz w:val="22"/>
                <w:szCs w:val="22"/>
                <w:lang w:val="pt-BR"/>
              </w:rPr>
              <w:t>Balance 31 March</w:t>
            </w:r>
          </w:p>
        </w:tc>
        <w:tc>
          <w:tcPr>
            <w:tcW w:w="170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6B13488" w14:textId="77777777" w:rsidR="00790DD4" w:rsidRPr="000D67C6" w:rsidRDefault="0046478C" w:rsidP="00790DD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(14,898)</w:t>
            </w:r>
          </w:p>
        </w:tc>
      </w:tr>
    </w:tbl>
    <w:p w14:paraId="1CF471D0" w14:textId="77777777" w:rsidR="00676934" w:rsidRPr="00EE7AF3" w:rsidRDefault="00676934">
      <w:pPr>
        <w:pStyle w:val="T1TableStyle"/>
        <w:rPr>
          <w:rFonts w:ascii="Arial" w:eastAsia="Calibri" w:hAnsi="Arial" w:cs="Arial"/>
          <w:sz w:val="32"/>
          <w:szCs w:val="22"/>
          <w:lang w:val="pt-BR"/>
        </w:rPr>
      </w:pPr>
    </w:p>
    <w:p w14:paraId="68BF08A9" w14:textId="77777777" w:rsidR="00C92FD6" w:rsidRPr="000D67C6" w:rsidRDefault="000903E1" w:rsidP="00676934">
      <w:pPr>
        <w:pStyle w:val="T1TableStyle"/>
        <w:rPr>
          <w:rFonts w:ascii="Arial" w:hAnsi="Arial" w:cs="Arial"/>
          <w:b/>
          <w:sz w:val="28"/>
          <w:lang w:val="pt-BR"/>
        </w:rPr>
      </w:pPr>
      <w:r w:rsidRPr="000D67C6">
        <w:rPr>
          <w:rFonts w:ascii="Arial" w:hAnsi="Arial" w:cs="Arial"/>
          <w:b/>
          <w:sz w:val="28"/>
          <w:lang w:val="pt-BR"/>
        </w:rPr>
        <w:t xml:space="preserve">Note 18b </w:t>
      </w:r>
      <w:r w:rsidR="00F9378E" w:rsidRPr="000D67C6">
        <w:rPr>
          <w:rFonts w:ascii="Arial" w:hAnsi="Arial" w:cs="Arial"/>
          <w:b/>
          <w:sz w:val="28"/>
          <w:lang w:val="pt-BR"/>
        </w:rPr>
        <w:t xml:space="preserve">- </w:t>
      </w:r>
      <w:r w:rsidR="00676934" w:rsidRPr="000D67C6">
        <w:rPr>
          <w:rFonts w:ascii="Arial" w:hAnsi="Arial" w:cs="Arial"/>
          <w:b/>
          <w:sz w:val="28"/>
          <w:lang w:val="pt-BR"/>
        </w:rPr>
        <w:t>Capital Adjustment Account</w:t>
      </w:r>
    </w:p>
    <w:p w14:paraId="03BC1BE8" w14:textId="77777777" w:rsidR="00676934" w:rsidRPr="00EE7AF3" w:rsidRDefault="00676934" w:rsidP="00676934">
      <w:pPr>
        <w:pStyle w:val="T1TableStyle"/>
        <w:rPr>
          <w:rFonts w:ascii="Arial" w:hAnsi="Arial" w:cs="Arial"/>
          <w:b/>
          <w:sz w:val="22"/>
          <w:lang w:val="pt-BR"/>
        </w:rPr>
      </w:pPr>
    </w:p>
    <w:p w14:paraId="628744F5" w14:textId="77777777" w:rsidR="00676934" w:rsidRPr="000D67C6" w:rsidRDefault="00676934" w:rsidP="00676934">
      <w:pPr>
        <w:pStyle w:val="Normal0"/>
        <w:spacing w:line="22" w:lineRule="atLeast"/>
        <w:jc w:val="both"/>
        <w:rPr>
          <w:rFonts w:ascii="Arial" w:eastAsia="Calibri" w:hAnsi="Arial" w:cs="Arial"/>
          <w:sz w:val="22"/>
          <w:szCs w:val="22"/>
          <w:lang w:val="en-GB"/>
        </w:rPr>
      </w:pPr>
      <w:r w:rsidRPr="000D67C6">
        <w:rPr>
          <w:rFonts w:ascii="Arial" w:eastAsia="Calibri" w:hAnsi="Arial" w:cs="Arial"/>
          <w:sz w:val="22"/>
          <w:szCs w:val="22"/>
          <w:lang w:val="en-GB"/>
        </w:rPr>
        <w:t xml:space="preserve">The Capital Adjustment Account absorbs the timing differences arising from the different arrangements for accounting for the consumption of non-current assets and for financing the acquisition, construction or additions to those assets under statutory provisions. The Account is debited with the cost of acquisition, construction or subsequent costs as depreciation, impairment losses and amortisations are charged to the Comprehensive Income and Expenditure Statement (with reconciling postings from the Revaluation Reserve to convert current and fair value figures to a historical cost basis). The Account is credited with the amounts set aside by the Authority as finance for the costs of acquisition, construction and subsequent costs.  </w:t>
      </w:r>
    </w:p>
    <w:p w14:paraId="7A6D5540" w14:textId="77777777" w:rsidR="00676934" w:rsidRPr="000D67C6" w:rsidRDefault="00676934" w:rsidP="00676934">
      <w:pPr>
        <w:pStyle w:val="Normal0"/>
        <w:spacing w:line="22" w:lineRule="atLeast"/>
        <w:jc w:val="both"/>
        <w:rPr>
          <w:rFonts w:ascii="Arial" w:eastAsia="Calibri" w:hAnsi="Arial" w:cs="Arial"/>
          <w:sz w:val="22"/>
          <w:szCs w:val="22"/>
          <w:lang w:val="en-GB"/>
        </w:rPr>
      </w:pPr>
    </w:p>
    <w:p w14:paraId="4F6C67D1" w14:textId="77777777" w:rsidR="0043644C" w:rsidRPr="000D67C6" w:rsidRDefault="00676934" w:rsidP="00676934">
      <w:pPr>
        <w:pStyle w:val="Normal0"/>
        <w:spacing w:line="22" w:lineRule="atLeast"/>
        <w:jc w:val="both"/>
        <w:rPr>
          <w:rFonts w:ascii="Arial" w:eastAsia="Calibri" w:hAnsi="Arial" w:cs="Arial"/>
          <w:sz w:val="22"/>
          <w:szCs w:val="22"/>
          <w:lang w:val="en-GB"/>
        </w:rPr>
      </w:pPr>
      <w:r w:rsidRPr="000D67C6">
        <w:rPr>
          <w:rFonts w:ascii="Arial" w:eastAsia="Calibri" w:hAnsi="Arial" w:cs="Arial"/>
          <w:sz w:val="22"/>
          <w:szCs w:val="22"/>
          <w:lang w:val="en-GB"/>
        </w:rPr>
        <w:t xml:space="preserve">The Account contains accumulated gains and losses on Investment Properties and gains recognised on donated assets that have yet to be consumed by the Authority.  </w:t>
      </w:r>
    </w:p>
    <w:p w14:paraId="0CD7A89A" w14:textId="77777777" w:rsidR="0043644C" w:rsidRPr="000D67C6" w:rsidRDefault="0043644C" w:rsidP="00676934">
      <w:pPr>
        <w:pStyle w:val="Normal0"/>
        <w:spacing w:line="22" w:lineRule="atLeast"/>
        <w:jc w:val="both"/>
        <w:rPr>
          <w:rFonts w:ascii="Arial" w:eastAsia="Calibri" w:hAnsi="Arial" w:cs="Arial"/>
          <w:sz w:val="22"/>
          <w:szCs w:val="22"/>
          <w:lang w:val="en-GB"/>
        </w:rPr>
      </w:pPr>
    </w:p>
    <w:p w14:paraId="486BD018" w14:textId="77777777" w:rsidR="002F5FB5" w:rsidRPr="000D67C6" w:rsidRDefault="00676934" w:rsidP="00676934">
      <w:pPr>
        <w:pStyle w:val="Normal0"/>
        <w:spacing w:line="22" w:lineRule="atLeast"/>
        <w:jc w:val="both"/>
        <w:rPr>
          <w:rFonts w:ascii="Arial" w:eastAsia="Calibri" w:hAnsi="Arial" w:cs="Arial"/>
          <w:sz w:val="22"/>
          <w:szCs w:val="22"/>
          <w:lang w:val="en-GB"/>
        </w:rPr>
      </w:pPr>
      <w:r w:rsidRPr="000D67C6">
        <w:rPr>
          <w:rFonts w:ascii="Arial" w:eastAsia="Calibri" w:hAnsi="Arial" w:cs="Arial"/>
          <w:sz w:val="22"/>
          <w:szCs w:val="22"/>
          <w:lang w:val="en-GB"/>
        </w:rPr>
        <w:t>The Account also contains revaluation gains accumulated on property, plant and equipment before 1 April 2007, the date that the Revaluation Reserve was created to hold such gains.</w:t>
      </w:r>
    </w:p>
    <w:p w14:paraId="08AADDB1" w14:textId="77777777" w:rsidR="00FD35C6" w:rsidRPr="000D67C6" w:rsidRDefault="00FD35C6" w:rsidP="00676934">
      <w:pPr>
        <w:pStyle w:val="Normal0"/>
        <w:spacing w:line="22" w:lineRule="atLeast"/>
        <w:jc w:val="both"/>
        <w:rPr>
          <w:rFonts w:ascii="Arial" w:eastAsia="Calibri" w:hAnsi="Arial" w:cs="Arial"/>
          <w:sz w:val="22"/>
          <w:szCs w:val="22"/>
          <w:lang w:val="en-GB"/>
        </w:rPr>
      </w:pPr>
    </w:p>
    <w:tbl>
      <w:tblPr>
        <w:tblW w:w="0" w:type="auto"/>
        <w:jc w:val="center"/>
        <w:tblLayout w:type="fixed"/>
        <w:tblLook w:val="04A0" w:firstRow="1" w:lastRow="0" w:firstColumn="1" w:lastColumn="0" w:noHBand="0" w:noVBand="1"/>
      </w:tblPr>
      <w:tblGrid>
        <w:gridCol w:w="1276"/>
        <w:gridCol w:w="239"/>
        <w:gridCol w:w="6140"/>
        <w:gridCol w:w="1134"/>
      </w:tblGrid>
      <w:tr w:rsidR="00464E99" w:rsidRPr="000D67C6" w14:paraId="42994850" w14:textId="77777777" w:rsidTr="00AE2D8E">
        <w:trPr>
          <w:trHeight w:val="300"/>
          <w:jc w:val="center"/>
        </w:trPr>
        <w:tc>
          <w:tcPr>
            <w:tcW w:w="1276" w:type="dxa"/>
            <w:shd w:val="clear" w:color="auto" w:fill="auto"/>
            <w:tcMar>
              <w:top w:w="20" w:type="dxa"/>
              <w:left w:w="20" w:type="dxa"/>
              <w:bottom w:w="20" w:type="dxa"/>
              <w:right w:w="20" w:type="dxa"/>
            </w:tcMar>
            <w:vAlign w:val="bottom"/>
          </w:tcPr>
          <w:p w14:paraId="1E077AB0" w14:textId="77777777" w:rsidR="00464E99" w:rsidRPr="000D67C6" w:rsidRDefault="00676934" w:rsidP="00C203F4">
            <w:pPr>
              <w:pStyle w:val="T1TableStyle"/>
              <w:jc w:val="right"/>
              <w:rPr>
                <w:rFonts w:ascii="Arial" w:eastAsia="Verdana" w:hAnsi="Arial" w:cs="Arial"/>
                <w:b/>
                <w:sz w:val="22"/>
                <w:szCs w:val="22"/>
                <w:lang w:val="en-GB"/>
              </w:rPr>
            </w:pPr>
            <w:r w:rsidRPr="000D67C6">
              <w:rPr>
                <w:rFonts w:ascii="Arial" w:eastAsia="Calibri" w:hAnsi="Arial" w:cs="Arial"/>
                <w:sz w:val="22"/>
                <w:szCs w:val="22"/>
                <w:lang w:val="en-GB"/>
              </w:rPr>
              <w:t xml:space="preserve">  </w:t>
            </w:r>
            <w:r w:rsidR="00C203F4" w:rsidRPr="000D67C6">
              <w:rPr>
                <w:rFonts w:ascii="Arial" w:eastAsia="Calibri" w:hAnsi="Arial" w:cs="Arial"/>
                <w:color w:val="5B9BD5" w:themeColor="accent1"/>
                <w:sz w:val="22"/>
                <w:szCs w:val="22"/>
                <w:lang w:val="en-GB"/>
              </w:rPr>
              <w:br w:type="page"/>
            </w:r>
            <w:r w:rsidR="0043644C"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7</w:t>
            </w:r>
            <w:r w:rsidR="00A51CDD"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8</w:t>
            </w:r>
          </w:p>
        </w:tc>
        <w:tc>
          <w:tcPr>
            <w:tcW w:w="239" w:type="dxa"/>
            <w:shd w:val="clear" w:color="auto" w:fill="auto"/>
            <w:tcMar>
              <w:top w:w="20" w:type="dxa"/>
              <w:left w:w="20" w:type="dxa"/>
              <w:bottom w:w="20" w:type="dxa"/>
              <w:right w:w="20" w:type="dxa"/>
            </w:tcMar>
            <w:vAlign w:val="bottom"/>
          </w:tcPr>
          <w:p w14:paraId="1FFA6BEF" w14:textId="77777777" w:rsidR="00464E99" w:rsidRPr="000D67C6" w:rsidRDefault="008F013B" w:rsidP="00C203F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shd w:val="clear" w:color="auto" w:fill="auto"/>
            <w:tcMar>
              <w:top w:w="20" w:type="dxa"/>
              <w:left w:w="20" w:type="dxa"/>
              <w:bottom w:w="20" w:type="dxa"/>
              <w:right w:w="20" w:type="dxa"/>
            </w:tcMar>
            <w:vAlign w:val="bottom"/>
          </w:tcPr>
          <w:p w14:paraId="650B79ED" w14:textId="77777777" w:rsidR="00464E99" w:rsidRPr="000D67C6" w:rsidRDefault="008F013B" w:rsidP="00C203F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shd w:val="clear" w:color="auto" w:fill="auto"/>
            <w:tcMar>
              <w:top w:w="20" w:type="dxa"/>
              <w:left w:w="20" w:type="dxa"/>
              <w:bottom w:w="20" w:type="dxa"/>
              <w:right w:w="20" w:type="dxa"/>
            </w:tcMar>
            <w:vAlign w:val="bottom"/>
          </w:tcPr>
          <w:p w14:paraId="04516B98" w14:textId="77777777" w:rsidR="00464E99" w:rsidRPr="000D67C6" w:rsidRDefault="0043644C" w:rsidP="00C203F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8</w:t>
            </w:r>
            <w:r w:rsidR="00A51CDD"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9</w:t>
            </w:r>
          </w:p>
        </w:tc>
      </w:tr>
      <w:tr w:rsidR="00464E99" w:rsidRPr="000D67C6" w14:paraId="2F821480" w14:textId="77777777" w:rsidTr="00AE2D8E">
        <w:trPr>
          <w:trHeight w:val="300"/>
          <w:jc w:val="center"/>
        </w:trPr>
        <w:tc>
          <w:tcPr>
            <w:tcW w:w="1276" w:type="dxa"/>
            <w:shd w:val="clear" w:color="auto" w:fill="auto"/>
            <w:tcMar>
              <w:top w:w="20" w:type="dxa"/>
              <w:left w:w="20" w:type="dxa"/>
              <w:bottom w:w="20" w:type="dxa"/>
              <w:right w:w="20" w:type="dxa"/>
            </w:tcMar>
          </w:tcPr>
          <w:p w14:paraId="0D77F158"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9" w:type="dxa"/>
            <w:shd w:val="clear" w:color="auto" w:fill="auto"/>
            <w:tcMar>
              <w:top w:w="20" w:type="dxa"/>
              <w:left w:w="20" w:type="dxa"/>
              <w:bottom w:w="20" w:type="dxa"/>
              <w:right w:w="20" w:type="dxa"/>
            </w:tcMar>
          </w:tcPr>
          <w:p w14:paraId="4D726CFF"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shd w:val="clear" w:color="auto" w:fill="auto"/>
            <w:tcMar>
              <w:top w:w="20" w:type="dxa"/>
              <w:left w:w="20" w:type="dxa"/>
              <w:bottom w:w="20" w:type="dxa"/>
              <w:right w:w="20" w:type="dxa"/>
            </w:tcMar>
          </w:tcPr>
          <w:p w14:paraId="39CC5D09"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shd w:val="clear" w:color="auto" w:fill="auto"/>
            <w:tcMar>
              <w:top w:w="20" w:type="dxa"/>
              <w:left w:w="20" w:type="dxa"/>
              <w:bottom w:w="20" w:type="dxa"/>
              <w:right w:w="20" w:type="dxa"/>
            </w:tcMar>
          </w:tcPr>
          <w:p w14:paraId="7019F969"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A255EF" w:rsidRPr="000D67C6" w14:paraId="398C5498" w14:textId="77777777" w:rsidTr="00AE2D8E">
        <w:trPr>
          <w:trHeight w:val="300"/>
          <w:jc w:val="center"/>
        </w:trPr>
        <w:tc>
          <w:tcPr>
            <w:tcW w:w="1276" w:type="dxa"/>
            <w:tcBorders>
              <w:top w:val="single" w:sz="2" w:space="0" w:color="000000"/>
            </w:tcBorders>
            <w:shd w:val="clear" w:color="auto" w:fill="auto"/>
            <w:tcMar>
              <w:top w:w="20" w:type="dxa"/>
              <w:left w:w="20" w:type="dxa"/>
              <w:bottom w:w="20" w:type="dxa"/>
              <w:right w:w="20" w:type="dxa"/>
            </w:tcMar>
            <w:vAlign w:val="center"/>
          </w:tcPr>
          <w:p w14:paraId="301E3815"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(20,328)</w:t>
            </w:r>
          </w:p>
        </w:tc>
        <w:tc>
          <w:tcPr>
            <w:tcW w:w="239" w:type="dxa"/>
            <w:tcBorders>
              <w:top w:val="single" w:sz="2" w:space="0" w:color="000000"/>
            </w:tcBorders>
            <w:shd w:val="clear" w:color="auto" w:fill="auto"/>
            <w:tcMar>
              <w:top w:w="20" w:type="dxa"/>
              <w:left w:w="20" w:type="dxa"/>
              <w:bottom w:w="20" w:type="dxa"/>
              <w:right w:w="20" w:type="dxa"/>
            </w:tcMar>
            <w:vAlign w:val="center"/>
          </w:tcPr>
          <w:p w14:paraId="125A58D2" w14:textId="77777777" w:rsidR="00A255EF" w:rsidRPr="000D67C6" w:rsidRDefault="00A255EF" w:rsidP="00A255EF">
            <w:pPr>
              <w:pStyle w:val="T1TableStyle"/>
              <w:jc w:val="center"/>
              <w:rPr>
                <w:rFonts w:ascii="Arial" w:eastAsia="Verdana" w:hAnsi="Arial" w:cs="Arial"/>
                <w:b/>
                <w:sz w:val="22"/>
                <w:szCs w:val="22"/>
                <w:lang w:val="en-GB"/>
              </w:rPr>
            </w:pPr>
          </w:p>
        </w:tc>
        <w:tc>
          <w:tcPr>
            <w:tcW w:w="6140" w:type="dxa"/>
            <w:tcBorders>
              <w:top w:val="single" w:sz="2" w:space="0" w:color="000000"/>
            </w:tcBorders>
            <w:shd w:val="clear" w:color="auto" w:fill="auto"/>
            <w:tcMar>
              <w:top w:w="20" w:type="dxa"/>
              <w:left w:w="20" w:type="dxa"/>
              <w:bottom w:w="20" w:type="dxa"/>
              <w:right w:w="20" w:type="dxa"/>
            </w:tcMar>
            <w:vAlign w:val="center"/>
          </w:tcPr>
          <w:p w14:paraId="2F0E25F0"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Balance 1 April</w:t>
            </w:r>
          </w:p>
        </w:tc>
        <w:tc>
          <w:tcPr>
            <w:tcW w:w="1134" w:type="dxa"/>
            <w:tcBorders>
              <w:top w:val="single" w:sz="2" w:space="0" w:color="000000"/>
            </w:tcBorders>
            <w:shd w:val="clear" w:color="auto" w:fill="auto"/>
            <w:tcMar>
              <w:top w:w="20" w:type="dxa"/>
              <w:left w:w="20" w:type="dxa"/>
              <w:bottom w:w="20" w:type="dxa"/>
              <w:right w:w="20" w:type="dxa"/>
            </w:tcMar>
            <w:vAlign w:val="center"/>
          </w:tcPr>
          <w:p w14:paraId="4CD24420" w14:textId="77777777" w:rsidR="00A255EF" w:rsidRPr="000D67C6" w:rsidRDefault="006775FD"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(21,316)</w:t>
            </w:r>
          </w:p>
        </w:tc>
      </w:tr>
      <w:tr w:rsidR="00A255EF" w:rsidRPr="000D67C6" w14:paraId="59E92F41" w14:textId="77777777" w:rsidTr="00AE2D8E">
        <w:trPr>
          <w:trHeight w:val="602"/>
          <w:jc w:val="center"/>
        </w:trPr>
        <w:tc>
          <w:tcPr>
            <w:tcW w:w="1276" w:type="dxa"/>
            <w:shd w:val="clear" w:color="auto" w:fill="auto"/>
            <w:tcMar>
              <w:top w:w="20" w:type="dxa"/>
              <w:left w:w="20" w:type="dxa"/>
              <w:bottom w:w="20" w:type="dxa"/>
              <w:right w:w="20" w:type="dxa"/>
            </w:tcMar>
            <w:vAlign w:val="center"/>
          </w:tcPr>
          <w:p w14:paraId="5796244F"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2,732</w:t>
            </w:r>
          </w:p>
        </w:tc>
        <w:tc>
          <w:tcPr>
            <w:tcW w:w="239" w:type="dxa"/>
            <w:shd w:val="clear" w:color="auto" w:fill="auto"/>
            <w:tcMar>
              <w:top w:w="20" w:type="dxa"/>
              <w:left w:w="20" w:type="dxa"/>
              <w:bottom w:w="20" w:type="dxa"/>
              <w:right w:w="20" w:type="dxa"/>
            </w:tcMar>
            <w:vAlign w:val="center"/>
          </w:tcPr>
          <w:p w14:paraId="35FBC36A"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168495BF"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Charges for depreciation and impairment of non-current assets</w:t>
            </w:r>
          </w:p>
        </w:tc>
        <w:tc>
          <w:tcPr>
            <w:tcW w:w="1134" w:type="dxa"/>
            <w:shd w:val="clear" w:color="auto" w:fill="auto"/>
            <w:tcMar>
              <w:top w:w="20" w:type="dxa"/>
              <w:left w:w="20" w:type="dxa"/>
              <w:bottom w:w="20" w:type="dxa"/>
              <w:right w:w="20" w:type="dxa"/>
            </w:tcMar>
            <w:vAlign w:val="center"/>
          </w:tcPr>
          <w:p w14:paraId="77718ADD" w14:textId="496E354C" w:rsidR="00A255EF" w:rsidRPr="000D67C6" w:rsidRDefault="006775FD"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w:t>
            </w:r>
            <w:r w:rsidR="00D03962" w:rsidRPr="000D67C6">
              <w:rPr>
                <w:rFonts w:ascii="Arial" w:eastAsia="Verdana" w:hAnsi="Arial" w:cs="Arial"/>
                <w:sz w:val="22"/>
                <w:szCs w:val="22"/>
                <w:lang w:val="en-GB"/>
              </w:rPr>
              <w:t>835</w:t>
            </w:r>
          </w:p>
        </w:tc>
      </w:tr>
      <w:tr w:rsidR="00A255EF" w:rsidRPr="000D67C6" w14:paraId="48B283E9" w14:textId="77777777" w:rsidTr="00AE2D8E">
        <w:trPr>
          <w:trHeight w:val="512"/>
          <w:jc w:val="center"/>
        </w:trPr>
        <w:tc>
          <w:tcPr>
            <w:tcW w:w="1276" w:type="dxa"/>
            <w:shd w:val="clear" w:color="auto" w:fill="auto"/>
            <w:tcMar>
              <w:top w:w="20" w:type="dxa"/>
              <w:left w:w="20" w:type="dxa"/>
              <w:bottom w:w="20" w:type="dxa"/>
              <w:right w:w="20" w:type="dxa"/>
            </w:tcMar>
            <w:vAlign w:val="center"/>
          </w:tcPr>
          <w:p w14:paraId="61C6AAE6"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800</w:t>
            </w:r>
          </w:p>
        </w:tc>
        <w:tc>
          <w:tcPr>
            <w:tcW w:w="239" w:type="dxa"/>
            <w:shd w:val="clear" w:color="auto" w:fill="auto"/>
            <w:tcMar>
              <w:top w:w="20" w:type="dxa"/>
              <w:left w:w="20" w:type="dxa"/>
              <w:bottom w:w="20" w:type="dxa"/>
              <w:right w:w="20" w:type="dxa"/>
            </w:tcMar>
            <w:vAlign w:val="center"/>
          </w:tcPr>
          <w:p w14:paraId="1D97350A" w14:textId="77777777" w:rsidR="00A255EF" w:rsidRPr="000D67C6" w:rsidRDefault="00A255EF" w:rsidP="00A255EF">
            <w:pPr>
              <w:pStyle w:val="T1TableStyle"/>
              <w:jc w:val="center"/>
              <w:rPr>
                <w:rFonts w:ascii="Arial" w:eastAsia="Verdana" w:hAnsi="Arial" w:cs="Arial"/>
                <w:sz w:val="22"/>
                <w:szCs w:val="22"/>
                <w:lang w:val="en-GB"/>
              </w:rPr>
            </w:pPr>
          </w:p>
        </w:tc>
        <w:tc>
          <w:tcPr>
            <w:tcW w:w="6140" w:type="dxa"/>
            <w:shd w:val="clear" w:color="auto" w:fill="auto"/>
            <w:tcMar>
              <w:top w:w="20" w:type="dxa"/>
              <w:left w:w="20" w:type="dxa"/>
              <w:bottom w:w="20" w:type="dxa"/>
              <w:right w:w="20" w:type="dxa"/>
            </w:tcMar>
            <w:vAlign w:val="center"/>
          </w:tcPr>
          <w:p w14:paraId="4CDA814C"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Revenue Expenditure Funded from Capital Under Statute -</w:t>
            </w:r>
          </w:p>
          <w:p w14:paraId="759F1114"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Joint Public Service Centre</w:t>
            </w:r>
          </w:p>
        </w:tc>
        <w:tc>
          <w:tcPr>
            <w:tcW w:w="1134" w:type="dxa"/>
            <w:shd w:val="clear" w:color="auto" w:fill="auto"/>
            <w:tcMar>
              <w:top w:w="20" w:type="dxa"/>
              <w:left w:w="20" w:type="dxa"/>
              <w:bottom w:w="20" w:type="dxa"/>
              <w:right w:w="20" w:type="dxa"/>
            </w:tcMar>
            <w:vAlign w:val="center"/>
          </w:tcPr>
          <w:p w14:paraId="725F2F9D" w14:textId="77777777" w:rsidR="00A255EF" w:rsidRPr="000D67C6" w:rsidRDefault="006775FD"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A255EF" w:rsidRPr="000D67C6" w14:paraId="660680BA" w14:textId="77777777" w:rsidTr="00AE2D8E">
        <w:trPr>
          <w:trHeight w:val="459"/>
          <w:jc w:val="center"/>
        </w:trPr>
        <w:tc>
          <w:tcPr>
            <w:tcW w:w="1276" w:type="dxa"/>
            <w:shd w:val="clear" w:color="auto" w:fill="auto"/>
            <w:tcMar>
              <w:top w:w="20" w:type="dxa"/>
              <w:left w:w="20" w:type="dxa"/>
              <w:bottom w:w="20" w:type="dxa"/>
              <w:right w:w="20" w:type="dxa"/>
            </w:tcMar>
            <w:vAlign w:val="center"/>
          </w:tcPr>
          <w:p w14:paraId="037B4E73"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55</w:t>
            </w:r>
          </w:p>
        </w:tc>
        <w:tc>
          <w:tcPr>
            <w:tcW w:w="239" w:type="dxa"/>
            <w:shd w:val="clear" w:color="auto" w:fill="auto"/>
            <w:tcMar>
              <w:top w:w="20" w:type="dxa"/>
              <w:left w:w="20" w:type="dxa"/>
              <w:bottom w:w="20" w:type="dxa"/>
              <w:right w:w="20" w:type="dxa"/>
            </w:tcMar>
            <w:vAlign w:val="center"/>
          </w:tcPr>
          <w:p w14:paraId="2C7D4C39"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5DE1F442"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Amortisation of intangible assets</w:t>
            </w:r>
          </w:p>
        </w:tc>
        <w:tc>
          <w:tcPr>
            <w:tcW w:w="1134" w:type="dxa"/>
            <w:shd w:val="clear" w:color="auto" w:fill="auto"/>
            <w:tcMar>
              <w:top w:w="20" w:type="dxa"/>
              <w:left w:w="20" w:type="dxa"/>
              <w:bottom w:w="20" w:type="dxa"/>
              <w:right w:w="20" w:type="dxa"/>
            </w:tcMar>
            <w:vAlign w:val="center"/>
          </w:tcPr>
          <w:p w14:paraId="406461BE" w14:textId="77777777" w:rsidR="00A255EF" w:rsidRPr="000D67C6" w:rsidRDefault="006775FD" w:rsidP="006775FD">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107</w:t>
            </w:r>
          </w:p>
        </w:tc>
      </w:tr>
      <w:tr w:rsidR="00A255EF" w:rsidRPr="000D67C6" w14:paraId="67A0653E" w14:textId="77777777" w:rsidTr="00AE2D8E">
        <w:trPr>
          <w:trHeight w:val="832"/>
          <w:jc w:val="center"/>
        </w:trPr>
        <w:tc>
          <w:tcPr>
            <w:tcW w:w="1276" w:type="dxa"/>
            <w:shd w:val="clear" w:color="auto" w:fill="auto"/>
            <w:tcMar>
              <w:top w:w="20" w:type="dxa"/>
              <w:left w:w="20" w:type="dxa"/>
              <w:bottom w:w="20" w:type="dxa"/>
              <w:right w:w="20" w:type="dxa"/>
            </w:tcMar>
            <w:vAlign w:val="center"/>
          </w:tcPr>
          <w:p w14:paraId="22853D15"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9" w:type="dxa"/>
            <w:shd w:val="clear" w:color="auto" w:fill="auto"/>
            <w:tcMar>
              <w:top w:w="20" w:type="dxa"/>
              <w:left w:w="20" w:type="dxa"/>
              <w:bottom w:w="20" w:type="dxa"/>
              <w:right w:w="20" w:type="dxa"/>
            </w:tcMar>
            <w:vAlign w:val="center"/>
          </w:tcPr>
          <w:p w14:paraId="6C851C7A"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49A269F5"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Amounts of non-current assets written off on disposal or sale as part of the gain/loss on disposal to the Comprehensive Income and Expenditure Statement</w:t>
            </w:r>
          </w:p>
        </w:tc>
        <w:tc>
          <w:tcPr>
            <w:tcW w:w="1134" w:type="dxa"/>
            <w:shd w:val="clear" w:color="auto" w:fill="auto"/>
            <w:tcMar>
              <w:top w:w="20" w:type="dxa"/>
              <w:left w:w="20" w:type="dxa"/>
              <w:bottom w:w="20" w:type="dxa"/>
              <w:right w:w="20" w:type="dxa"/>
            </w:tcMar>
            <w:vAlign w:val="center"/>
          </w:tcPr>
          <w:p w14:paraId="76C7BCBC" w14:textId="77777777" w:rsidR="00A255EF" w:rsidRPr="000D67C6" w:rsidRDefault="00913537"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147</w:t>
            </w:r>
          </w:p>
        </w:tc>
      </w:tr>
      <w:tr w:rsidR="00A255EF" w:rsidRPr="000D67C6" w14:paraId="6B020749" w14:textId="77777777" w:rsidTr="00AE2D8E">
        <w:trPr>
          <w:trHeight w:val="416"/>
          <w:jc w:val="center"/>
        </w:trPr>
        <w:tc>
          <w:tcPr>
            <w:tcW w:w="1276" w:type="dxa"/>
            <w:tcBorders>
              <w:top w:val="single" w:sz="2" w:space="0" w:color="000000"/>
            </w:tcBorders>
            <w:shd w:val="clear" w:color="auto" w:fill="auto"/>
            <w:tcMar>
              <w:top w:w="20" w:type="dxa"/>
              <w:left w:w="20" w:type="dxa"/>
              <w:bottom w:w="20" w:type="dxa"/>
              <w:right w:w="20" w:type="dxa"/>
            </w:tcMar>
            <w:vAlign w:val="center"/>
          </w:tcPr>
          <w:p w14:paraId="0F58D990"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3,587</w:t>
            </w:r>
          </w:p>
        </w:tc>
        <w:tc>
          <w:tcPr>
            <w:tcW w:w="239" w:type="dxa"/>
            <w:tcBorders>
              <w:top w:val="single" w:sz="2" w:space="0" w:color="000000"/>
            </w:tcBorders>
            <w:shd w:val="clear" w:color="auto" w:fill="auto"/>
            <w:tcMar>
              <w:top w:w="20" w:type="dxa"/>
              <w:left w:w="20" w:type="dxa"/>
              <w:bottom w:w="20" w:type="dxa"/>
              <w:right w:w="20" w:type="dxa"/>
            </w:tcMar>
            <w:vAlign w:val="center"/>
          </w:tcPr>
          <w:p w14:paraId="5E9F1B37" w14:textId="77777777" w:rsidR="00A255EF" w:rsidRPr="000D67C6" w:rsidRDefault="00A255EF" w:rsidP="00A255E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tcBorders>
            <w:shd w:val="clear" w:color="auto" w:fill="auto"/>
            <w:tcMar>
              <w:top w:w="20" w:type="dxa"/>
              <w:left w:w="20" w:type="dxa"/>
              <w:bottom w:w="20" w:type="dxa"/>
              <w:right w:w="20" w:type="dxa"/>
            </w:tcMar>
            <w:vAlign w:val="center"/>
          </w:tcPr>
          <w:p w14:paraId="18E3E5C6"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Reversal of Items relating to capital expenditure debited or credited to the Comprehensive Income and </w:t>
            </w:r>
            <w:r w:rsidR="00AE2D8E" w:rsidRPr="000D67C6">
              <w:rPr>
                <w:rFonts w:ascii="Arial" w:eastAsia="Verdana" w:hAnsi="Arial" w:cs="Arial"/>
                <w:sz w:val="22"/>
                <w:szCs w:val="22"/>
                <w:lang w:val="en-GB"/>
              </w:rPr>
              <w:t>E</w:t>
            </w:r>
            <w:r w:rsidRPr="000D67C6">
              <w:rPr>
                <w:rFonts w:ascii="Arial" w:eastAsia="Verdana" w:hAnsi="Arial" w:cs="Arial"/>
                <w:sz w:val="22"/>
                <w:szCs w:val="22"/>
                <w:lang w:val="en-GB"/>
              </w:rPr>
              <w:t>xpenditure Statement</w:t>
            </w:r>
          </w:p>
        </w:tc>
        <w:tc>
          <w:tcPr>
            <w:tcW w:w="1134" w:type="dxa"/>
            <w:tcBorders>
              <w:top w:val="single" w:sz="2" w:space="0" w:color="000000"/>
            </w:tcBorders>
            <w:shd w:val="clear" w:color="auto" w:fill="auto"/>
            <w:tcMar>
              <w:top w:w="20" w:type="dxa"/>
              <w:left w:w="20" w:type="dxa"/>
              <w:bottom w:w="20" w:type="dxa"/>
              <w:right w:w="20" w:type="dxa"/>
            </w:tcMar>
            <w:vAlign w:val="center"/>
          </w:tcPr>
          <w:p w14:paraId="79F299C5" w14:textId="352C82F2" w:rsidR="00A255EF" w:rsidRPr="000D67C6" w:rsidRDefault="007E3749"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3,0</w:t>
            </w:r>
            <w:r w:rsidR="00D03962" w:rsidRPr="000D67C6">
              <w:rPr>
                <w:rFonts w:ascii="Arial" w:eastAsia="Verdana" w:hAnsi="Arial" w:cs="Arial"/>
                <w:b/>
                <w:sz w:val="22"/>
                <w:szCs w:val="22"/>
                <w:lang w:val="en-GB"/>
              </w:rPr>
              <w:t>89</w:t>
            </w:r>
          </w:p>
        </w:tc>
      </w:tr>
      <w:tr w:rsidR="00A255EF" w:rsidRPr="000D67C6" w14:paraId="32EE9D5B" w14:textId="77777777" w:rsidTr="0002364F">
        <w:trPr>
          <w:trHeight w:val="379"/>
          <w:jc w:val="center"/>
        </w:trPr>
        <w:tc>
          <w:tcPr>
            <w:tcW w:w="1276" w:type="dxa"/>
            <w:tcBorders>
              <w:bottom w:val="single" w:sz="2" w:space="0" w:color="000000"/>
            </w:tcBorders>
            <w:shd w:val="clear" w:color="auto" w:fill="auto"/>
            <w:tcMar>
              <w:top w:w="20" w:type="dxa"/>
              <w:left w:w="20" w:type="dxa"/>
              <w:bottom w:w="20" w:type="dxa"/>
              <w:right w:w="20" w:type="dxa"/>
            </w:tcMar>
            <w:vAlign w:val="center"/>
          </w:tcPr>
          <w:p w14:paraId="47DE6AF0"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(393)</w:t>
            </w:r>
          </w:p>
        </w:tc>
        <w:tc>
          <w:tcPr>
            <w:tcW w:w="239" w:type="dxa"/>
            <w:tcBorders>
              <w:bottom w:val="single" w:sz="2" w:space="0" w:color="000000"/>
            </w:tcBorders>
            <w:shd w:val="clear" w:color="auto" w:fill="auto"/>
            <w:tcMar>
              <w:top w:w="20" w:type="dxa"/>
              <w:left w:w="20" w:type="dxa"/>
              <w:bottom w:w="20" w:type="dxa"/>
              <w:right w:w="20" w:type="dxa"/>
            </w:tcMar>
            <w:vAlign w:val="center"/>
          </w:tcPr>
          <w:p w14:paraId="3AB956EC"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tcBorders>
              <w:bottom w:val="single" w:sz="2" w:space="0" w:color="000000"/>
            </w:tcBorders>
            <w:shd w:val="clear" w:color="auto" w:fill="auto"/>
            <w:tcMar>
              <w:top w:w="20" w:type="dxa"/>
              <w:left w:w="20" w:type="dxa"/>
              <w:bottom w:w="20" w:type="dxa"/>
              <w:right w:w="20" w:type="dxa"/>
            </w:tcMar>
            <w:vAlign w:val="center"/>
          </w:tcPr>
          <w:p w14:paraId="73487E7D"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Adjusting Amounts written out of the Revaluation Reserve</w:t>
            </w:r>
          </w:p>
        </w:tc>
        <w:tc>
          <w:tcPr>
            <w:tcW w:w="1134" w:type="dxa"/>
            <w:tcBorders>
              <w:bottom w:val="single" w:sz="2" w:space="0" w:color="000000"/>
            </w:tcBorders>
            <w:shd w:val="clear" w:color="auto" w:fill="auto"/>
            <w:tcMar>
              <w:top w:w="20" w:type="dxa"/>
              <w:left w:w="20" w:type="dxa"/>
              <w:bottom w:w="20" w:type="dxa"/>
              <w:right w:w="20" w:type="dxa"/>
            </w:tcMar>
            <w:vAlign w:val="center"/>
          </w:tcPr>
          <w:p w14:paraId="3F296AAF" w14:textId="77777777" w:rsidR="00A255EF" w:rsidRPr="000D67C6" w:rsidRDefault="00EC408B"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(394)</w:t>
            </w:r>
          </w:p>
        </w:tc>
      </w:tr>
      <w:tr w:rsidR="00A255EF" w:rsidRPr="000D67C6" w14:paraId="2C59D439" w14:textId="77777777" w:rsidTr="0002364F">
        <w:trPr>
          <w:trHeight w:val="661"/>
          <w:jc w:val="center"/>
        </w:trPr>
        <w:tc>
          <w:tcPr>
            <w:tcW w:w="1276" w:type="dxa"/>
            <w:tcBorders>
              <w:top w:val="single" w:sz="2" w:space="0" w:color="000000"/>
              <w:bottom w:val="single" w:sz="4" w:space="0" w:color="auto"/>
            </w:tcBorders>
            <w:shd w:val="clear" w:color="auto" w:fill="auto"/>
            <w:tcMar>
              <w:top w:w="20" w:type="dxa"/>
              <w:left w:w="20" w:type="dxa"/>
              <w:bottom w:w="20" w:type="dxa"/>
              <w:right w:w="20" w:type="dxa"/>
            </w:tcMar>
            <w:vAlign w:val="center"/>
          </w:tcPr>
          <w:p w14:paraId="0717877A"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3,194</w:t>
            </w:r>
          </w:p>
        </w:tc>
        <w:tc>
          <w:tcPr>
            <w:tcW w:w="239" w:type="dxa"/>
            <w:tcBorders>
              <w:top w:val="single" w:sz="2" w:space="0" w:color="000000"/>
              <w:bottom w:val="single" w:sz="4" w:space="0" w:color="auto"/>
            </w:tcBorders>
            <w:shd w:val="clear" w:color="auto" w:fill="auto"/>
            <w:tcMar>
              <w:top w:w="20" w:type="dxa"/>
              <w:left w:w="20" w:type="dxa"/>
              <w:bottom w:w="20" w:type="dxa"/>
              <w:right w:w="20" w:type="dxa"/>
            </w:tcMar>
            <w:vAlign w:val="center"/>
          </w:tcPr>
          <w:p w14:paraId="2CB4F783" w14:textId="77777777" w:rsidR="00A255EF" w:rsidRPr="000D67C6" w:rsidRDefault="00A255EF" w:rsidP="00A255E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bottom w:val="single" w:sz="4" w:space="0" w:color="auto"/>
            </w:tcBorders>
            <w:shd w:val="clear" w:color="auto" w:fill="auto"/>
            <w:tcMar>
              <w:top w:w="20" w:type="dxa"/>
              <w:left w:w="20" w:type="dxa"/>
              <w:bottom w:w="20" w:type="dxa"/>
              <w:right w:w="20" w:type="dxa"/>
            </w:tcMar>
            <w:vAlign w:val="center"/>
          </w:tcPr>
          <w:p w14:paraId="35882C2A"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Net written out amount of the cost of non-current assets consumed in the year</w:t>
            </w:r>
          </w:p>
        </w:tc>
        <w:tc>
          <w:tcPr>
            <w:tcW w:w="1134" w:type="dxa"/>
            <w:tcBorders>
              <w:top w:val="single" w:sz="2" w:space="0" w:color="000000"/>
              <w:bottom w:val="single" w:sz="4" w:space="0" w:color="auto"/>
            </w:tcBorders>
            <w:shd w:val="clear" w:color="auto" w:fill="auto"/>
            <w:tcMar>
              <w:top w:w="20" w:type="dxa"/>
              <w:left w:w="20" w:type="dxa"/>
              <w:bottom w:w="20" w:type="dxa"/>
              <w:right w:w="20" w:type="dxa"/>
            </w:tcMar>
            <w:vAlign w:val="center"/>
          </w:tcPr>
          <w:p w14:paraId="44131D5A" w14:textId="5CE59F32" w:rsidR="00A255EF" w:rsidRPr="000D67C6" w:rsidRDefault="00455C82"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2,6</w:t>
            </w:r>
            <w:r w:rsidR="00E37835" w:rsidRPr="000D67C6">
              <w:rPr>
                <w:rFonts w:ascii="Arial" w:eastAsia="Verdana" w:hAnsi="Arial" w:cs="Arial"/>
                <w:b/>
                <w:sz w:val="22"/>
                <w:szCs w:val="22"/>
                <w:lang w:val="en-GB"/>
              </w:rPr>
              <w:t>9</w:t>
            </w:r>
            <w:r w:rsidR="00D03962" w:rsidRPr="000D67C6">
              <w:rPr>
                <w:rFonts w:ascii="Arial" w:eastAsia="Verdana" w:hAnsi="Arial" w:cs="Arial"/>
                <w:b/>
                <w:sz w:val="22"/>
                <w:szCs w:val="22"/>
                <w:lang w:val="en-GB"/>
              </w:rPr>
              <w:t>5</w:t>
            </w:r>
          </w:p>
        </w:tc>
      </w:tr>
      <w:tr w:rsidR="00A255EF" w:rsidRPr="000D67C6" w14:paraId="7087EBD5" w14:textId="77777777" w:rsidTr="0002364F">
        <w:trPr>
          <w:trHeight w:val="397"/>
          <w:jc w:val="center"/>
        </w:trPr>
        <w:tc>
          <w:tcPr>
            <w:tcW w:w="1276" w:type="dxa"/>
            <w:tcBorders>
              <w:top w:val="single" w:sz="4" w:space="0" w:color="auto"/>
            </w:tcBorders>
            <w:shd w:val="clear" w:color="auto" w:fill="auto"/>
            <w:tcMar>
              <w:top w:w="20" w:type="dxa"/>
              <w:left w:w="20" w:type="dxa"/>
              <w:bottom w:w="20" w:type="dxa"/>
              <w:right w:w="20" w:type="dxa"/>
            </w:tcMar>
            <w:vAlign w:val="center"/>
          </w:tcPr>
          <w:p w14:paraId="0D2F4FF9"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w:t>
            </w:r>
          </w:p>
        </w:tc>
        <w:tc>
          <w:tcPr>
            <w:tcW w:w="239" w:type="dxa"/>
            <w:tcBorders>
              <w:top w:val="single" w:sz="4" w:space="0" w:color="auto"/>
            </w:tcBorders>
            <w:shd w:val="clear" w:color="auto" w:fill="auto"/>
            <w:tcMar>
              <w:top w:w="20" w:type="dxa"/>
              <w:left w:w="20" w:type="dxa"/>
              <w:bottom w:w="20" w:type="dxa"/>
              <w:right w:w="20" w:type="dxa"/>
            </w:tcMar>
            <w:vAlign w:val="center"/>
          </w:tcPr>
          <w:p w14:paraId="6B1BBEF3"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tcBorders>
              <w:top w:val="single" w:sz="4" w:space="0" w:color="auto"/>
            </w:tcBorders>
            <w:shd w:val="clear" w:color="auto" w:fill="auto"/>
            <w:tcMar>
              <w:top w:w="20" w:type="dxa"/>
              <w:left w:w="20" w:type="dxa"/>
              <w:bottom w:w="20" w:type="dxa"/>
              <w:right w:w="20" w:type="dxa"/>
            </w:tcMar>
            <w:vAlign w:val="center"/>
          </w:tcPr>
          <w:p w14:paraId="227952A9"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Use of Capital Receipts Reserve to finance new capital expenditure</w:t>
            </w:r>
          </w:p>
        </w:tc>
        <w:tc>
          <w:tcPr>
            <w:tcW w:w="1134" w:type="dxa"/>
            <w:tcBorders>
              <w:top w:val="single" w:sz="4" w:space="0" w:color="auto"/>
            </w:tcBorders>
            <w:shd w:val="clear" w:color="auto" w:fill="auto"/>
            <w:tcMar>
              <w:top w:w="20" w:type="dxa"/>
              <w:left w:w="20" w:type="dxa"/>
              <w:bottom w:w="20" w:type="dxa"/>
              <w:right w:w="20" w:type="dxa"/>
            </w:tcMar>
            <w:vAlign w:val="center"/>
          </w:tcPr>
          <w:p w14:paraId="2364E3E7" w14:textId="77777777" w:rsidR="00A255EF" w:rsidRPr="000D67C6" w:rsidRDefault="00E37835"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C374D9" w:rsidRPr="000D67C6">
              <w:rPr>
                <w:rFonts w:ascii="Arial" w:eastAsia="Verdana" w:hAnsi="Arial" w:cs="Arial"/>
                <w:sz w:val="22"/>
                <w:szCs w:val="22"/>
                <w:lang w:val="en-GB"/>
              </w:rPr>
              <w:t>118</w:t>
            </w:r>
            <w:r w:rsidRPr="000D67C6">
              <w:rPr>
                <w:rFonts w:ascii="Arial" w:eastAsia="Verdana" w:hAnsi="Arial" w:cs="Arial"/>
                <w:sz w:val="22"/>
                <w:szCs w:val="22"/>
                <w:lang w:val="en-GB"/>
              </w:rPr>
              <w:t>)</w:t>
            </w:r>
          </w:p>
        </w:tc>
      </w:tr>
      <w:tr w:rsidR="00A255EF" w:rsidRPr="000D67C6" w14:paraId="641E9575" w14:textId="77777777" w:rsidTr="00AE2D8E">
        <w:trPr>
          <w:trHeight w:val="838"/>
          <w:jc w:val="center"/>
        </w:trPr>
        <w:tc>
          <w:tcPr>
            <w:tcW w:w="1276" w:type="dxa"/>
            <w:shd w:val="clear" w:color="auto" w:fill="auto"/>
            <w:tcMar>
              <w:top w:w="20" w:type="dxa"/>
              <w:left w:w="20" w:type="dxa"/>
              <w:bottom w:w="20" w:type="dxa"/>
              <w:right w:w="20" w:type="dxa"/>
            </w:tcMar>
            <w:vAlign w:val="center"/>
          </w:tcPr>
          <w:p w14:paraId="296F3F32"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(979)</w:t>
            </w:r>
          </w:p>
        </w:tc>
        <w:tc>
          <w:tcPr>
            <w:tcW w:w="239" w:type="dxa"/>
            <w:shd w:val="clear" w:color="auto" w:fill="auto"/>
            <w:tcMar>
              <w:top w:w="20" w:type="dxa"/>
              <w:left w:w="20" w:type="dxa"/>
              <w:bottom w:w="20" w:type="dxa"/>
              <w:right w:w="20" w:type="dxa"/>
            </w:tcMar>
            <w:vAlign w:val="center"/>
          </w:tcPr>
          <w:p w14:paraId="2BD81B89"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1CA51D5B"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Capital Grants and Contributions credited to the Comprehensive Income and Expenditure Statement that have been applied to capital financing</w:t>
            </w:r>
          </w:p>
        </w:tc>
        <w:tc>
          <w:tcPr>
            <w:tcW w:w="1134" w:type="dxa"/>
            <w:shd w:val="clear" w:color="auto" w:fill="auto"/>
            <w:tcMar>
              <w:top w:w="20" w:type="dxa"/>
              <w:left w:w="20" w:type="dxa"/>
              <w:bottom w:w="20" w:type="dxa"/>
              <w:right w:w="20" w:type="dxa"/>
            </w:tcMar>
            <w:vAlign w:val="center"/>
          </w:tcPr>
          <w:p w14:paraId="0563E396" w14:textId="77777777" w:rsidR="00A255EF" w:rsidRPr="000D67C6" w:rsidRDefault="00E37835"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C65F76" w:rsidRPr="000D67C6">
              <w:rPr>
                <w:rFonts w:ascii="Arial" w:eastAsia="Verdana" w:hAnsi="Arial" w:cs="Arial"/>
                <w:sz w:val="22"/>
                <w:szCs w:val="22"/>
                <w:lang w:val="en-GB"/>
              </w:rPr>
              <w:t>369</w:t>
            </w:r>
            <w:r w:rsidRPr="000D67C6">
              <w:rPr>
                <w:rFonts w:ascii="Arial" w:eastAsia="Verdana" w:hAnsi="Arial" w:cs="Arial"/>
                <w:sz w:val="22"/>
                <w:szCs w:val="22"/>
                <w:lang w:val="en-GB"/>
              </w:rPr>
              <w:t>)</w:t>
            </w:r>
          </w:p>
        </w:tc>
      </w:tr>
      <w:tr w:rsidR="00A255EF" w:rsidRPr="000D67C6" w14:paraId="1CC0B4F8" w14:textId="77777777" w:rsidTr="00AE2D8E">
        <w:trPr>
          <w:trHeight w:val="527"/>
          <w:jc w:val="center"/>
        </w:trPr>
        <w:tc>
          <w:tcPr>
            <w:tcW w:w="1276" w:type="dxa"/>
            <w:shd w:val="clear" w:color="auto" w:fill="auto"/>
            <w:tcMar>
              <w:top w:w="20" w:type="dxa"/>
              <w:left w:w="20" w:type="dxa"/>
              <w:bottom w:w="20" w:type="dxa"/>
              <w:right w:w="20" w:type="dxa"/>
            </w:tcMar>
            <w:vAlign w:val="center"/>
          </w:tcPr>
          <w:p w14:paraId="04588A8A"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(1,862)</w:t>
            </w:r>
          </w:p>
        </w:tc>
        <w:tc>
          <w:tcPr>
            <w:tcW w:w="239" w:type="dxa"/>
            <w:shd w:val="clear" w:color="auto" w:fill="auto"/>
            <w:tcMar>
              <w:top w:w="20" w:type="dxa"/>
              <w:left w:w="20" w:type="dxa"/>
              <w:bottom w:w="20" w:type="dxa"/>
              <w:right w:w="20" w:type="dxa"/>
            </w:tcMar>
            <w:vAlign w:val="center"/>
          </w:tcPr>
          <w:p w14:paraId="53C78C39"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295B5A79"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Statutory provision for the financing of capital investment charged against the General Fund</w:t>
            </w:r>
          </w:p>
        </w:tc>
        <w:tc>
          <w:tcPr>
            <w:tcW w:w="1134" w:type="dxa"/>
            <w:shd w:val="clear" w:color="auto" w:fill="auto"/>
            <w:tcMar>
              <w:top w:w="20" w:type="dxa"/>
              <w:left w:w="20" w:type="dxa"/>
              <w:bottom w:w="20" w:type="dxa"/>
              <w:right w:w="20" w:type="dxa"/>
            </w:tcMar>
            <w:vAlign w:val="center"/>
          </w:tcPr>
          <w:p w14:paraId="30AA9FC9" w14:textId="77777777" w:rsidR="00A255EF" w:rsidRPr="000D67C6" w:rsidRDefault="00E37835"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C65F76" w:rsidRPr="000D67C6">
              <w:rPr>
                <w:rFonts w:ascii="Arial" w:eastAsia="Verdana" w:hAnsi="Arial" w:cs="Arial"/>
                <w:sz w:val="22"/>
                <w:szCs w:val="22"/>
                <w:lang w:val="en-GB"/>
              </w:rPr>
              <w:t>1,941</w:t>
            </w:r>
            <w:r w:rsidRPr="000D67C6">
              <w:rPr>
                <w:rFonts w:ascii="Arial" w:eastAsia="Verdana" w:hAnsi="Arial" w:cs="Arial"/>
                <w:sz w:val="22"/>
                <w:szCs w:val="22"/>
                <w:lang w:val="en-GB"/>
              </w:rPr>
              <w:t>)</w:t>
            </w:r>
          </w:p>
        </w:tc>
      </w:tr>
      <w:tr w:rsidR="00A255EF" w:rsidRPr="000D67C6" w14:paraId="0C87645D" w14:textId="77777777" w:rsidTr="00AE2D8E">
        <w:trPr>
          <w:trHeight w:val="527"/>
          <w:jc w:val="center"/>
        </w:trPr>
        <w:tc>
          <w:tcPr>
            <w:tcW w:w="1276" w:type="dxa"/>
            <w:shd w:val="clear" w:color="auto" w:fill="auto"/>
            <w:tcMar>
              <w:top w:w="20" w:type="dxa"/>
              <w:left w:w="20" w:type="dxa"/>
              <w:bottom w:w="20" w:type="dxa"/>
              <w:right w:w="20" w:type="dxa"/>
            </w:tcMar>
            <w:vAlign w:val="center"/>
          </w:tcPr>
          <w:p w14:paraId="27EB447E"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(1,320)</w:t>
            </w:r>
          </w:p>
        </w:tc>
        <w:tc>
          <w:tcPr>
            <w:tcW w:w="239" w:type="dxa"/>
            <w:shd w:val="clear" w:color="auto" w:fill="auto"/>
            <w:tcMar>
              <w:top w:w="20" w:type="dxa"/>
              <w:left w:w="20" w:type="dxa"/>
              <w:bottom w:w="20" w:type="dxa"/>
              <w:right w:w="20" w:type="dxa"/>
            </w:tcMar>
            <w:vAlign w:val="center"/>
          </w:tcPr>
          <w:p w14:paraId="07AF6AAC" w14:textId="77777777" w:rsidR="00A255EF" w:rsidRPr="000D67C6" w:rsidRDefault="00A255EF" w:rsidP="00A255EF">
            <w:pPr>
              <w:pStyle w:val="T1TableStyle"/>
              <w:jc w:val="center"/>
              <w:rPr>
                <w:rFonts w:ascii="Arial" w:eastAsia="Verdana" w:hAnsi="Arial" w:cs="Arial"/>
                <w:sz w:val="22"/>
                <w:szCs w:val="22"/>
                <w:lang w:val="en-GB"/>
              </w:rPr>
            </w:pPr>
          </w:p>
        </w:tc>
        <w:tc>
          <w:tcPr>
            <w:tcW w:w="6140" w:type="dxa"/>
            <w:shd w:val="clear" w:color="auto" w:fill="auto"/>
            <w:tcMar>
              <w:top w:w="20" w:type="dxa"/>
              <w:left w:w="20" w:type="dxa"/>
              <w:bottom w:w="20" w:type="dxa"/>
              <w:right w:w="20" w:type="dxa"/>
            </w:tcMar>
            <w:vAlign w:val="center"/>
          </w:tcPr>
          <w:p w14:paraId="6F9BF43D"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Capital Expenditure charged against the General Fund</w:t>
            </w:r>
          </w:p>
        </w:tc>
        <w:tc>
          <w:tcPr>
            <w:tcW w:w="1134" w:type="dxa"/>
            <w:shd w:val="clear" w:color="auto" w:fill="auto"/>
            <w:tcMar>
              <w:top w:w="20" w:type="dxa"/>
              <w:left w:w="20" w:type="dxa"/>
              <w:bottom w:w="20" w:type="dxa"/>
              <w:right w:w="20" w:type="dxa"/>
            </w:tcMar>
            <w:vAlign w:val="center"/>
          </w:tcPr>
          <w:p w14:paraId="4CF5CB5C" w14:textId="77777777" w:rsidR="00A255EF" w:rsidRPr="000D67C6" w:rsidRDefault="00E37835"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145AC1" w:rsidRPr="000D67C6">
              <w:rPr>
                <w:rFonts w:ascii="Arial" w:eastAsia="Verdana" w:hAnsi="Arial" w:cs="Arial"/>
                <w:sz w:val="22"/>
                <w:szCs w:val="22"/>
                <w:lang w:val="en-GB"/>
              </w:rPr>
              <w:t>332)</w:t>
            </w:r>
          </w:p>
        </w:tc>
      </w:tr>
      <w:tr w:rsidR="00A255EF" w:rsidRPr="000D67C6" w14:paraId="1A94726A" w14:textId="77777777" w:rsidTr="00AE2D8E">
        <w:trPr>
          <w:trHeight w:val="450"/>
          <w:jc w:val="center"/>
        </w:trPr>
        <w:tc>
          <w:tcPr>
            <w:tcW w:w="1276" w:type="dxa"/>
            <w:tcBorders>
              <w:top w:val="single" w:sz="2" w:space="0" w:color="000000"/>
            </w:tcBorders>
            <w:shd w:val="clear" w:color="auto" w:fill="auto"/>
            <w:tcMar>
              <w:top w:w="20" w:type="dxa"/>
              <w:left w:w="20" w:type="dxa"/>
              <w:bottom w:w="20" w:type="dxa"/>
              <w:right w:w="20" w:type="dxa"/>
            </w:tcMar>
            <w:vAlign w:val="center"/>
          </w:tcPr>
          <w:p w14:paraId="4121F264"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(4,182)</w:t>
            </w:r>
          </w:p>
        </w:tc>
        <w:tc>
          <w:tcPr>
            <w:tcW w:w="239" w:type="dxa"/>
            <w:tcBorders>
              <w:top w:val="single" w:sz="2" w:space="0" w:color="000000"/>
            </w:tcBorders>
            <w:shd w:val="clear" w:color="auto" w:fill="auto"/>
            <w:tcMar>
              <w:top w:w="20" w:type="dxa"/>
              <w:left w:w="20" w:type="dxa"/>
              <w:bottom w:w="20" w:type="dxa"/>
              <w:right w:w="20" w:type="dxa"/>
            </w:tcMar>
            <w:vAlign w:val="center"/>
          </w:tcPr>
          <w:p w14:paraId="4E5CBF6B" w14:textId="77777777" w:rsidR="00A255EF" w:rsidRPr="000D67C6" w:rsidRDefault="00A255EF" w:rsidP="00A255E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tcBorders>
            <w:shd w:val="clear" w:color="auto" w:fill="auto"/>
            <w:tcMar>
              <w:top w:w="20" w:type="dxa"/>
              <w:left w:w="20" w:type="dxa"/>
              <w:bottom w:w="20" w:type="dxa"/>
              <w:right w:w="20" w:type="dxa"/>
            </w:tcMar>
            <w:vAlign w:val="center"/>
          </w:tcPr>
          <w:p w14:paraId="57284496"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Capital financing applied in year:</w:t>
            </w:r>
          </w:p>
        </w:tc>
        <w:tc>
          <w:tcPr>
            <w:tcW w:w="1134" w:type="dxa"/>
            <w:tcBorders>
              <w:top w:val="single" w:sz="2" w:space="0" w:color="000000"/>
            </w:tcBorders>
            <w:shd w:val="clear" w:color="auto" w:fill="auto"/>
            <w:tcMar>
              <w:top w:w="20" w:type="dxa"/>
              <w:left w:w="20" w:type="dxa"/>
              <w:bottom w:w="20" w:type="dxa"/>
              <w:right w:w="20" w:type="dxa"/>
            </w:tcMar>
            <w:vAlign w:val="center"/>
          </w:tcPr>
          <w:p w14:paraId="3EDC0ABB" w14:textId="77777777" w:rsidR="00A255EF" w:rsidRPr="000D67C6" w:rsidRDefault="00C65F76"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(2,760)</w:t>
            </w:r>
          </w:p>
        </w:tc>
      </w:tr>
      <w:tr w:rsidR="00A255EF" w:rsidRPr="000D67C6" w14:paraId="08D5EDA4" w14:textId="77777777" w:rsidTr="00AE2D8E">
        <w:trPr>
          <w:trHeight w:val="385"/>
          <w:jc w:val="center"/>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BF6151D"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(21,316)</w:t>
            </w:r>
          </w:p>
        </w:tc>
        <w:tc>
          <w:tcPr>
            <w:tcW w:w="23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A94D3C0" w14:textId="77777777" w:rsidR="00A255EF" w:rsidRPr="000D67C6" w:rsidRDefault="00A255EF" w:rsidP="00A255E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8C3AE6"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Balance 31 March </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0BC74B3" w14:textId="1D48DF2C" w:rsidR="00A255EF" w:rsidRPr="000D67C6" w:rsidRDefault="00C65F76"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w:t>
            </w:r>
            <w:r w:rsidR="00D04B56" w:rsidRPr="000D67C6">
              <w:rPr>
                <w:rFonts w:ascii="Arial" w:eastAsia="Verdana" w:hAnsi="Arial" w:cs="Arial"/>
                <w:b/>
                <w:sz w:val="22"/>
                <w:szCs w:val="22"/>
                <w:lang w:val="en-GB"/>
              </w:rPr>
              <w:t>1,</w:t>
            </w:r>
            <w:r w:rsidR="00537FD5" w:rsidRPr="000D67C6">
              <w:rPr>
                <w:rFonts w:ascii="Arial" w:eastAsia="Verdana" w:hAnsi="Arial" w:cs="Arial"/>
                <w:b/>
                <w:sz w:val="22"/>
                <w:szCs w:val="22"/>
                <w:lang w:val="en-GB"/>
              </w:rPr>
              <w:t>381</w:t>
            </w:r>
            <w:r w:rsidRPr="000D67C6">
              <w:rPr>
                <w:rFonts w:ascii="Arial" w:eastAsia="Verdana" w:hAnsi="Arial" w:cs="Arial"/>
                <w:b/>
                <w:sz w:val="22"/>
                <w:szCs w:val="22"/>
                <w:lang w:val="en-GB"/>
              </w:rPr>
              <w:t>)</w:t>
            </w:r>
          </w:p>
        </w:tc>
      </w:tr>
    </w:tbl>
    <w:p w14:paraId="120A74BD" w14:textId="77777777" w:rsidR="008F013B" w:rsidRPr="000D67C6" w:rsidRDefault="008F013B" w:rsidP="008C348E">
      <w:pPr>
        <w:pStyle w:val="T1TableStyle"/>
        <w:spacing w:line="22" w:lineRule="atLeast"/>
        <w:rPr>
          <w:rFonts w:ascii="Arial" w:eastAsia="Calibri" w:hAnsi="Arial" w:cs="Arial"/>
          <w:sz w:val="22"/>
          <w:szCs w:val="22"/>
          <w:lang w:val="en-GB"/>
        </w:rPr>
      </w:pPr>
    </w:p>
    <w:p w14:paraId="362D2711" w14:textId="77777777" w:rsidR="008F013B" w:rsidRPr="000D67C6" w:rsidRDefault="008F013B" w:rsidP="008C348E">
      <w:pPr>
        <w:pStyle w:val="Normal0"/>
        <w:spacing w:line="22" w:lineRule="atLeast"/>
        <w:rPr>
          <w:rFonts w:ascii="Arial" w:eastAsia="Calibri" w:hAnsi="Arial" w:cs="Arial"/>
          <w:sz w:val="22"/>
          <w:szCs w:val="22"/>
          <w:lang w:val="en-GB"/>
        </w:rPr>
      </w:pPr>
    </w:p>
    <w:p w14:paraId="7D4077B0" w14:textId="77777777" w:rsidR="0066768C" w:rsidRPr="000D67C6" w:rsidRDefault="0066768C">
      <w:pPr>
        <w:rPr>
          <w:rFonts w:ascii="Arial" w:hAnsi="Arial" w:cs="Arial"/>
          <w:b/>
          <w:sz w:val="28"/>
          <w:lang w:val="pt-BR"/>
        </w:rPr>
      </w:pPr>
      <w:r w:rsidRPr="000D67C6">
        <w:rPr>
          <w:rFonts w:ascii="Arial" w:hAnsi="Arial" w:cs="Arial"/>
          <w:b/>
          <w:sz w:val="28"/>
          <w:lang w:val="pt-BR"/>
        </w:rPr>
        <w:br w:type="page"/>
      </w:r>
    </w:p>
    <w:p w14:paraId="2D3C83D7" w14:textId="77777777" w:rsidR="00682F7B" w:rsidRPr="000D67C6" w:rsidRDefault="00F9378E" w:rsidP="00A94D2F">
      <w:pPr>
        <w:pStyle w:val="T1TableStyle"/>
        <w:rPr>
          <w:rFonts w:ascii="Arial" w:hAnsi="Arial" w:cs="Arial"/>
          <w:b/>
          <w:sz w:val="28"/>
          <w:lang w:val="pt-BR"/>
        </w:rPr>
      </w:pPr>
      <w:r w:rsidRPr="000D67C6">
        <w:rPr>
          <w:rFonts w:ascii="Arial" w:hAnsi="Arial" w:cs="Arial"/>
          <w:b/>
          <w:sz w:val="28"/>
          <w:lang w:val="pt-BR"/>
        </w:rPr>
        <w:t xml:space="preserve">Note 18c - </w:t>
      </w:r>
      <w:r w:rsidR="00A94D2F" w:rsidRPr="000D67C6">
        <w:rPr>
          <w:rFonts w:ascii="Arial" w:hAnsi="Arial" w:cs="Arial"/>
          <w:b/>
          <w:sz w:val="28"/>
          <w:lang w:val="pt-BR"/>
        </w:rPr>
        <w:t>Pension Reserve</w:t>
      </w:r>
    </w:p>
    <w:p w14:paraId="059A8DF9" w14:textId="77777777" w:rsidR="00682F7B" w:rsidRPr="000D67C6" w:rsidRDefault="00682F7B" w:rsidP="00A94D2F">
      <w:pPr>
        <w:pStyle w:val="T1TableStyle"/>
        <w:rPr>
          <w:rFonts w:ascii="Arial" w:hAnsi="Arial" w:cs="Arial"/>
          <w:b/>
          <w:sz w:val="22"/>
          <w:szCs w:val="22"/>
          <w:lang w:val="pt-BR"/>
        </w:rPr>
      </w:pPr>
    </w:p>
    <w:p w14:paraId="15454C25" w14:textId="77777777" w:rsidR="00A94D2F" w:rsidRPr="000D67C6" w:rsidRDefault="00A94D2F" w:rsidP="00A94D2F">
      <w:pPr>
        <w:pStyle w:val="Normal0"/>
        <w:spacing w:line="22" w:lineRule="atLeast"/>
        <w:jc w:val="both"/>
        <w:rPr>
          <w:rFonts w:ascii="Arial" w:eastAsia="Calibri" w:hAnsi="Arial" w:cs="Arial"/>
          <w:sz w:val="22"/>
          <w:szCs w:val="22"/>
          <w:lang w:val="en-GB"/>
        </w:rPr>
      </w:pPr>
      <w:r w:rsidRPr="000D67C6">
        <w:rPr>
          <w:rFonts w:ascii="Arial" w:eastAsia="Calibri" w:hAnsi="Arial" w:cs="Arial"/>
          <w:sz w:val="22"/>
          <w:szCs w:val="22"/>
          <w:lang w:val="en-GB"/>
        </w:rPr>
        <w:t xml:space="preserve">The Pensions Reserve absorbs the timing differences arising from the different arrangements for accounting for post-employment benefits and for funding benefits in accordance with statutory provisions. The Authority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w:t>
      </w:r>
    </w:p>
    <w:p w14:paraId="1E86F43F" w14:textId="77777777" w:rsidR="00A94D2F" w:rsidRPr="000D67C6" w:rsidRDefault="00A94D2F" w:rsidP="00A94D2F">
      <w:pPr>
        <w:pStyle w:val="Normal0"/>
        <w:spacing w:line="22" w:lineRule="atLeast"/>
        <w:jc w:val="both"/>
        <w:rPr>
          <w:rFonts w:ascii="Arial" w:eastAsia="Calibri" w:hAnsi="Arial" w:cs="Arial"/>
          <w:sz w:val="22"/>
          <w:szCs w:val="22"/>
          <w:lang w:val="en-GB"/>
        </w:rPr>
      </w:pPr>
    </w:p>
    <w:p w14:paraId="3A54CF55" w14:textId="77777777" w:rsidR="00682F7B" w:rsidRPr="000D67C6" w:rsidRDefault="00A94D2F" w:rsidP="003777DD">
      <w:pPr>
        <w:pStyle w:val="Normal0"/>
        <w:spacing w:after="160" w:line="259" w:lineRule="auto"/>
        <w:jc w:val="both"/>
        <w:rPr>
          <w:rFonts w:ascii="Arial" w:eastAsia="Calibri" w:hAnsi="Arial" w:cs="Arial"/>
          <w:sz w:val="22"/>
          <w:szCs w:val="22"/>
          <w:lang w:val="en-GB"/>
        </w:rPr>
      </w:pPr>
      <w:r w:rsidRPr="000D67C6">
        <w:rPr>
          <w:rFonts w:ascii="Arial" w:eastAsia="Calibri" w:hAnsi="Arial" w:cs="Arial"/>
          <w:sz w:val="22"/>
          <w:szCs w:val="22"/>
          <w:lang w:val="en-GB"/>
        </w:rPr>
        <w:t>However, statutory arrangements require benefits earned to be financed as the Authority makes employer’s contributions to pension funds or eventually pays any pensions for which it is directly responsible. The debit balance on the Pensions Reserve therefore shows a substantial shortfall in the benefits earned by past and current employees and the resources the Authority has set aside to meet them. The statutory arrangements will ensure that funding will have been set aside by the time the benefits come to be paid.</w:t>
      </w:r>
    </w:p>
    <w:tbl>
      <w:tblPr>
        <w:tblW w:w="0" w:type="auto"/>
        <w:jc w:val="center"/>
        <w:tblLayout w:type="fixed"/>
        <w:tblLook w:val="04A0" w:firstRow="1" w:lastRow="0" w:firstColumn="1" w:lastColumn="0" w:noHBand="0" w:noVBand="1"/>
      </w:tblPr>
      <w:tblGrid>
        <w:gridCol w:w="1335"/>
        <w:gridCol w:w="180"/>
        <w:gridCol w:w="6140"/>
        <w:gridCol w:w="1276"/>
      </w:tblGrid>
      <w:tr w:rsidR="00464E99" w:rsidRPr="000D67C6" w14:paraId="2BC0F7B2" w14:textId="77777777" w:rsidTr="00A94D2F">
        <w:trPr>
          <w:trHeight w:val="300"/>
          <w:jc w:val="center"/>
        </w:trPr>
        <w:tc>
          <w:tcPr>
            <w:tcW w:w="1335" w:type="dxa"/>
            <w:shd w:val="clear" w:color="auto" w:fill="auto"/>
            <w:tcMar>
              <w:top w:w="20" w:type="dxa"/>
              <w:left w:w="20" w:type="dxa"/>
              <w:bottom w:w="20" w:type="dxa"/>
              <w:right w:w="20" w:type="dxa"/>
            </w:tcMar>
            <w:vAlign w:val="bottom"/>
          </w:tcPr>
          <w:p w14:paraId="62A2BD6E" w14:textId="77777777" w:rsidR="00682F7B" w:rsidRPr="000D67C6" w:rsidRDefault="00682F7B" w:rsidP="00C625D5">
            <w:pPr>
              <w:pStyle w:val="T1TableStyle"/>
              <w:jc w:val="right"/>
              <w:rPr>
                <w:rFonts w:ascii="Arial" w:eastAsia="Verdana" w:hAnsi="Arial" w:cs="Arial"/>
                <w:b/>
                <w:sz w:val="22"/>
                <w:szCs w:val="22"/>
                <w:lang w:val="en-GB"/>
              </w:rPr>
            </w:pPr>
          </w:p>
          <w:p w14:paraId="1849FEBA" w14:textId="77777777" w:rsidR="00464E99" w:rsidRPr="000D67C6" w:rsidRDefault="00A51CDD" w:rsidP="00C625D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8</w:t>
            </w:r>
          </w:p>
        </w:tc>
        <w:tc>
          <w:tcPr>
            <w:tcW w:w="180" w:type="dxa"/>
            <w:shd w:val="clear" w:color="auto" w:fill="auto"/>
            <w:tcMar>
              <w:top w:w="20" w:type="dxa"/>
              <w:left w:w="20" w:type="dxa"/>
              <w:bottom w:w="20" w:type="dxa"/>
              <w:right w:w="20" w:type="dxa"/>
            </w:tcMar>
            <w:vAlign w:val="bottom"/>
          </w:tcPr>
          <w:p w14:paraId="69BDF046" w14:textId="77777777" w:rsidR="00464E99" w:rsidRPr="000D67C6" w:rsidRDefault="008F013B" w:rsidP="00C625D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shd w:val="clear" w:color="auto" w:fill="auto"/>
            <w:tcMar>
              <w:top w:w="20" w:type="dxa"/>
              <w:left w:w="20" w:type="dxa"/>
              <w:bottom w:w="20" w:type="dxa"/>
              <w:right w:w="20" w:type="dxa"/>
            </w:tcMar>
            <w:vAlign w:val="bottom"/>
          </w:tcPr>
          <w:p w14:paraId="36B78AF1" w14:textId="77777777" w:rsidR="00464E99" w:rsidRPr="000D67C6" w:rsidRDefault="008F013B" w:rsidP="00C625D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shd w:val="clear" w:color="auto" w:fill="auto"/>
            <w:tcMar>
              <w:top w:w="20" w:type="dxa"/>
              <w:left w:w="20" w:type="dxa"/>
              <w:bottom w:w="20" w:type="dxa"/>
              <w:right w:w="20" w:type="dxa"/>
            </w:tcMar>
            <w:vAlign w:val="bottom"/>
          </w:tcPr>
          <w:p w14:paraId="3A5A0D67" w14:textId="77777777" w:rsidR="00464E99" w:rsidRPr="000D67C6" w:rsidRDefault="00B04E30" w:rsidP="00C625D5">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8</w:t>
            </w:r>
            <w:r w:rsidR="00A51CDD"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9</w:t>
            </w:r>
          </w:p>
        </w:tc>
      </w:tr>
      <w:tr w:rsidR="00464E99" w:rsidRPr="000D67C6" w14:paraId="073F8A2C" w14:textId="77777777" w:rsidTr="00A94D2F">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14:paraId="24EB21E3"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6B7FBA1C"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bottom w:val="single" w:sz="2" w:space="0" w:color="000000"/>
            </w:tcBorders>
            <w:shd w:val="clear" w:color="auto" w:fill="auto"/>
            <w:tcMar>
              <w:top w:w="20" w:type="dxa"/>
              <w:left w:w="20" w:type="dxa"/>
              <w:bottom w:w="20" w:type="dxa"/>
              <w:right w:w="20" w:type="dxa"/>
            </w:tcMar>
          </w:tcPr>
          <w:p w14:paraId="1E13AA4D"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737915A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A255EF" w:rsidRPr="000D67C6" w14:paraId="7A3046EE" w14:textId="77777777" w:rsidTr="003777DD">
        <w:trPr>
          <w:trHeight w:val="300"/>
          <w:jc w:val="center"/>
        </w:trPr>
        <w:tc>
          <w:tcPr>
            <w:tcW w:w="1335" w:type="dxa"/>
            <w:shd w:val="clear" w:color="auto" w:fill="auto"/>
            <w:tcMar>
              <w:top w:w="20" w:type="dxa"/>
              <w:left w:w="20" w:type="dxa"/>
              <w:bottom w:w="20" w:type="dxa"/>
              <w:right w:w="20" w:type="dxa"/>
            </w:tcMar>
            <w:vAlign w:val="center"/>
          </w:tcPr>
          <w:p w14:paraId="2BA474F4"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474,770</w:t>
            </w:r>
          </w:p>
        </w:tc>
        <w:tc>
          <w:tcPr>
            <w:tcW w:w="180" w:type="dxa"/>
            <w:shd w:val="clear" w:color="auto" w:fill="auto"/>
            <w:tcMar>
              <w:top w:w="20" w:type="dxa"/>
              <w:left w:w="20" w:type="dxa"/>
              <w:bottom w:w="20" w:type="dxa"/>
              <w:right w:w="20" w:type="dxa"/>
            </w:tcMar>
            <w:vAlign w:val="center"/>
          </w:tcPr>
          <w:p w14:paraId="5F278C9B"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0B49F998"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Balance 1 April </w:t>
            </w:r>
          </w:p>
        </w:tc>
        <w:tc>
          <w:tcPr>
            <w:tcW w:w="1276" w:type="dxa"/>
            <w:shd w:val="clear" w:color="auto" w:fill="auto"/>
            <w:tcMar>
              <w:top w:w="20" w:type="dxa"/>
              <w:left w:w="20" w:type="dxa"/>
              <w:bottom w:w="20" w:type="dxa"/>
              <w:right w:w="20" w:type="dxa"/>
            </w:tcMar>
            <w:vAlign w:val="center"/>
          </w:tcPr>
          <w:p w14:paraId="2FF8E32F" w14:textId="77777777" w:rsidR="00A255EF" w:rsidRPr="000D67C6" w:rsidRDefault="006518D5"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504,242</w:t>
            </w:r>
          </w:p>
        </w:tc>
      </w:tr>
      <w:tr w:rsidR="00B636EB" w:rsidRPr="000D67C6" w14:paraId="396C6E3E" w14:textId="77777777" w:rsidTr="003777DD">
        <w:trPr>
          <w:trHeight w:val="397"/>
          <w:jc w:val="center"/>
        </w:trPr>
        <w:tc>
          <w:tcPr>
            <w:tcW w:w="1335" w:type="dxa"/>
            <w:shd w:val="clear" w:color="auto" w:fill="auto"/>
            <w:tcMar>
              <w:top w:w="20" w:type="dxa"/>
              <w:left w:w="20" w:type="dxa"/>
              <w:bottom w:w="20" w:type="dxa"/>
              <w:right w:w="20" w:type="dxa"/>
            </w:tcMar>
            <w:vAlign w:val="center"/>
          </w:tcPr>
          <w:p w14:paraId="291E15E5" w14:textId="77777777"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18,555</w:t>
            </w:r>
          </w:p>
        </w:tc>
        <w:tc>
          <w:tcPr>
            <w:tcW w:w="180" w:type="dxa"/>
            <w:shd w:val="clear" w:color="auto" w:fill="auto"/>
            <w:tcMar>
              <w:top w:w="20" w:type="dxa"/>
              <w:left w:w="20" w:type="dxa"/>
              <w:bottom w:w="20" w:type="dxa"/>
              <w:right w:w="20" w:type="dxa"/>
            </w:tcMar>
            <w:vAlign w:val="center"/>
          </w:tcPr>
          <w:p w14:paraId="023AA85E" w14:textId="77777777" w:rsidR="00B636EB" w:rsidRPr="000D67C6" w:rsidRDefault="00B636EB" w:rsidP="00B636E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1F59DE24" w14:textId="77777777" w:rsidR="00B636EB" w:rsidRPr="000D67C6" w:rsidRDefault="00B636EB" w:rsidP="00B636EB">
            <w:pPr>
              <w:pStyle w:val="T1TableStyle"/>
              <w:rPr>
                <w:rFonts w:ascii="Arial" w:eastAsia="Verdana" w:hAnsi="Arial" w:cs="Arial"/>
                <w:sz w:val="22"/>
                <w:szCs w:val="22"/>
                <w:lang w:val="en-GB"/>
              </w:rPr>
            </w:pPr>
            <w:r w:rsidRPr="000D67C6">
              <w:rPr>
                <w:rFonts w:ascii="Arial" w:eastAsia="Verdana" w:hAnsi="Arial" w:cs="Arial"/>
                <w:sz w:val="22"/>
                <w:szCs w:val="22"/>
                <w:lang w:val="en-GB"/>
              </w:rPr>
              <w:t>Remeasurements of the net defined benefit (liability)/asset</w:t>
            </w:r>
          </w:p>
        </w:tc>
        <w:tc>
          <w:tcPr>
            <w:tcW w:w="1276" w:type="dxa"/>
            <w:shd w:val="clear" w:color="auto" w:fill="auto"/>
            <w:tcMar>
              <w:top w:w="20" w:type="dxa"/>
              <w:left w:w="20" w:type="dxa"/>
              <w:bottom w:w="20" w:type="dxa"/>
              <w:right w:w="20" w:type="dxa"/>
            </w:tcMar>
            <w:vAlign w:val="center"/>
          </w:tcPr>
          <w:p w14:paraId="55ABC333" w14:textId="2D8BEA26"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(1,837)</w:t>
            </w:r>
          </w:p>
        </w:tc>
      </w:tr>
      <w:tr w:rsidR="00B636EB" w:rsidRPr="000D67C6" w14:paraId="5DDAC9F7" w14:textId="77777777" w:rsidTr="003777DD">
        <w:trPr>
          <w:trHeight w:val="644"/>
          <w:jc w:val="center"/>
        </w:trPr>
        <w:tc>
          <w:tcPr>
            <w:tcW w:w="1335" w:type="dxa"/>
            <w:shd w:val="clear" w:color="auto" w:fill="auto"/>
            <w:tcMar>
              <w:top w:w="20" w:type="dxa"/>
              <w:left w:w="20" w:type="dxa"/>
              <w:bottom w:w="20" w:type="dxa"/>
              <w:right w:w="20" w:type="dxa"/>
            </w:tcMar>
            <w:vAlign w:val="center"/>
          </w:tcPr>
          <w:p w14:paraId="0FCE1DE3" w14:textId="77777777"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25,921</w:t>
            </w:r>
          </w:p>
        </w:tc>
        <w:tc>
          <w:tcPr>
            <w:tcW w:w="180" w:type="dxa"/>
            <w:shd w:val="clear" w:color="auto" w:fill="auto"/>
            <w:tcMar>
              <w:top w:w="20" w:type="dxa"/>
              <w:left w:w="20" w:type="dxa"/>
              <w:bottom w:w="20" w:type="dxa"/>
              <w:right w:w="20" w:type="dxa"/>
            </w:tcMar>
            <w:vAlign w:val="center"/>
          </w:tcPr>
          <w:p w14:paraId="715D4D60" w14:textId="77777777" w:rsidR="00B636EB" w:rsidRPr="000D67C6" w:rsidRDefault="00B636EB" w:rsidP="00B636E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236E59C2" w14:textId="77777777" w:rsidR="00B636EB" w:rsidRPr="000D67C6" w:rsidRDefault="00B636EB" w:rsidP="00B636EB">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Reversal of items relating to retirement benefits debited or credited to the Surplus or Deficit on the Provision of Services in the Comprehensive Income and Expenditure Statement </w:t>
            </w:r>
          </w:p>
        </w:tc>
        <w:tc>
          <w:tcPr>
            <w:tcW w:w="1276" w:type="dxa"/>
            <w:shd w:val="clear" w:color="auto" w:fill="auto"/>
            <w:tcMar>
              <w:top w:w="20" w:type="dxa"/>
              <w:left w:w="20" w:type="dxa"/>
              <w:bottom w:w="20" w:type="dxa"/>
              <w:right w:w="20" w:type="dxa"/>
            </w:tcMar>
            <w:vAlign w:val="center"/>
          </w:tcPr>
          <w:p w14:paraId="5B7620F2" w14:textId="00D2D486" w:rsidR="00B636EB" w:rsidRPr="000D67C6" w:rsidRDefault="000E6136" w:rsidP="00B636EB">
            <w:pPr>
              <w:pStyle w:val="T1TableStyle"/>
              <w:jc w:val="right"/>
              <w:rPr>
                <w:rFonts w:ascii="Arial" w:eastAsia="Verdana" w:hAnsi="Arial" w:cs="Arial"/>
                <w:sz w:val="22"/>
                <w:szCs w:val="22"/>
                <w:lang w:val="en-GB"/>
              </w:rPr>
            </w:pPr>
            <w:r>
              <w:rPr>
                <w:rFonts w:ascii="Arial" w:eastAsia="Verdana" w:hAnsi="Arial" w:cs="Arial"/>
                <w:sz w:val="22"/>
                <w:szCs w:val="22"/>
                <w:lang w:val="en-GB"/>
              </w:rPr>
              <w:t>51</w:t>
            </w:r>
            <w:r w:rsidR="00B636EB" w:rsidRPr="000D67C6">
              <w:rPr>
                <w:rFonts w:ascii="Arial" w:eastAsia="Verdana" w:hAnsi="Arial" w:cs="Arial"/>
                <w:sz w:val="22"/>
                <w:szCs w:val="22"/>
                <w:lang w:val="en-GB"/>
              </w:rPr>
              <w:t>,</w:t>
            </w:r>
            <w:r w:rsidR="008C4FCE">
              <w:rPr>
                <w:rFonts w:ascii="Arial" w:eastAsia="Verdana" w:hAnsi="Arial" w:cs="Arial"/>
                <w:sz w:val="22"/>
                <w:szCs w:val="22"/>
                <w:lang w:val="en-GB"/>
              </w:rPr>
              <w:t>659</w:t>
            </w:r>
          </w:p>
        </w:tc>
      </w:tr>
      <w:tr w:rsidR="00B636EB" w:rsidRPr="000D67C6" w14:paraId="7781F66D" w14:textId="77777777" w:rsidTr="003777DD">
        <w:trPr>
          <w:trHeight w:val="526"/>
          <w:jc w:val="center"/>
        </w:trPr>
        <w:tc>
          <w:tcPr>
            <w:tcW w:w="1335" w:type="dxa"/>
            <w:shd w:val="clear" w:color="auto" w:fill="auto"/>
            <w:tcMar>
              <w:top w:w="20" w:type="dxa"/>
              <w:left w:w="20" w:type="dxa"/>
              <w:bottom w:w="20" w:type="dxa"/>
              <w:right w:w="20" w:type="dxa"/>
            </w:tcMar>
            <w:vAlign w:val="center"/>
          </w:tcPr>
          <w:p w14:paraId="2D82F1B5" w14:textId="77777777"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(15,004)</w:t>
            </w:r>
          </w:p>
        </w:tc>
        <w:tc>
          <w:tcPr>
            <w:tcW w:w="180" w:type="dxa"/>
            <w:shd w:val="clear" w:color="auto" w:fill="auto"/>
            <w:tcMar>
              <w:top w:w="20" w:type="dxa"/>
              <w:left w:w="20" w:type="dxa"/>
              <w:bottom w:w="20" w:type="dxa"/>
              <w:right w:w="20" w:type="dxa"/>
            </w:tcMar>
            <w:vAlign w:val="center"/>
          </w:tcPr>
          <w:p w14:paraId="137F7297" w14:textId="77777777" w:rsidR="00B636EB" w:rsidRPr="000D67C6" w:rsidRDefault="00B636EB" w:rsidP="00B636E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1B5BC96C" w14:textId="77777777" w:rsidR="00B636EB" w:rsidRPr="000D67C6" w:rsidRDefault="00B636EB" w:rsidP="00B636EB">
            <w:pPr>
              <w:pStyle w:val="T1TableStyle"/>
              <w:rPr>
                <w:rFonts w:ascii="Arial" w:eastAsia="Verdana" w:hAnsi="Arial" w:cs="Arial"/>
                <w:sz w:val="22"/>
                <w:szCs w:val="22"/>
                <w:lang w:val="en-GB"/>
              </w:rPr>
            </w:pPr>
            <w:r w:rsidRPr="000D67C6">
              <w:rPr>
                <w:rFonts w:ascii="Arial" w:eastAsia="Verdana" w:hAnsi="Arial" w:cs="Arial"/>
                <w:sz w:val="22"/>
                <w:szCs w:val="22"/>
                <w:lang w:val="en-GB"/>
              </w:rPr>
              <w:t>Employer's pensions contributions and direct payments to pensioners payable in the year</w:t>
            </w:r>
          </w:p>
        </w:tc>
        <w:tc>
          <w:tcPr>
            <w:tcW w:w="1276" w:type="dxa"/>
            <w:shd w:val="clear" w:color="auto" w:fill="auto"/>
            <w:tcMar>
              <w:top w:w="20" w:type="dxa"/>
              <w:left w:w="20" w:type="dxa"/>
              <w:bottom w:w="20" w:type="dxa"/>
              <w:right w:w="20" w:type="dxa"/>
            </w:tcMar>
            <w:vAlign w:val="center"/>
          </w:tcPr>
          <w:p w14:paraId="2B4B0169" w14:textId="71941155"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(14,399)</w:t>
            </w:r>
          </w:p>
        </w:tc>
      </w:tr>
      <w:tr w:rsidR="00B636EB" w:rsidRPr="000D67C6" w14:paraId="14C2FE00" w14:textId="77777777" w:rsidTr="003777DD">
        <w:trPr>
          <w:trHeight w:val="300"/>
          <w:jc w:val="center"/>
        </w:trPr>
        <w:tc>
          <w:tcPr>
            <w:tcW w:w="1335" w:type="dxa"/>
            <w:shd w:val="clear" w:color="auto" w:fill="auto"/>
            <w:tcMar>
              <w:top w:w="20" w:type="dxa"/>
              <w:left w:w="20" w:type="dxa"/>
              <w:bottom w:w="20" w:type="dxa"/>
              <w:right w:w="20" w:type="dxa"/>
            </w:tcMar>
            <w:vAlign w:val="center"/>
          </w:tcPr>
          <w:p w14:paraId="4FD7B945" w14:textId="77777777"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80" w:type="dxa"/>
            <w:shd w:val="clear" w:color="auto" w:fill="auto"/>
            <w:tcMar>
              <w:top w:w="20" w:type="dxa"/>
              <w:left w:w="20" w:type="dxa"/>
              <w:bottom w:w="20" w:type="dxa"/>
              <w:right w:w="20" w:type="dxa"/>
            </w:tcMar>
            <w:vAlign w:val="center"/>
          </w:tcPr>
          <w:p w14:paraId="21EB67B5" w14:textId="77777777" w:rsidR="00B636EB" w:rsidRPr="000D67C6" w:rsidRDefault="00B636EB" w:rsidP="00B636E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5EF643D9" w14:textId="77777777" w:rsidR="00B636EB" w:rsidRPr="000D67C6" w:rsidRDefault="00B636EB" w:rsidP="00B636EB">
            <w:pPr>
              <w:pStyle w:val="T1TableStyle"/>
              <w:rPr>
                <w:rFonts w:ascii="Arial" w:eastAsia="Verdana" w:hAnsi="Arial" w:cs="Arial"/>
                <w:sz w:val="22"/>
                <w:szCs w:val="22"/>
                <w:lang w:val="en-GB"/>
              </w:rPr>
            </w:pPr>
            <w:r w:rsidRPr="000D67C6">
              <w:rPr>
                <w:rFonts w:ascii="Arial" w:eastAsia="Verdana" w:hAnsi="Arial" w:cs="Arial"/>
                <w:sz w:val="22"/>
                <w:szCs w:val="22"/>
                <w:lang w:val="en-GB"/>
              </w:rPr>
              <w:t>Other movements</w:t>
            </w:r>
          </w:p>
        </w:tc>
        <w:tc>
          <w:tcPr>
            <w:tcW w:w="1276" w:type="dxa"/>
            <w:shd w:val="clear" w:color="auto" w:fill="auto"/>
            <w:tcMar>
              <w:top w:w="20" w:type="dxa"/>
              <w:left w:w="20" w:type="dxa"/>
              <w:bottom w:w="20" w:type="dxa"/>
              <w:right w:w="20" w:type="dxa"/>
            </w:tcMar>
            <w:vAlign w:val="center"/>
          </w:tcPr>
          <w:p w14:paraId="2895C568" w14:textId="6EB3E280" w:rsidR="00B636EB" w:rsidRPr="000D67C6" w:rsidRDefault="00B636EB" w:rsidP="00B636E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B636EB" w:rsidRPr="000D67C6" w14:paraId="2F6F267B" w14:textId="77777777" w:rsidTr="003777DD">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79709F6" w14:textId="77777777" w:rsidR="00B636EB" w:rsidRPr="000D67C6" w:rsidRDefault="00B636EB" w:rsidP="00EE7AF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504,242</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865F28B" w14:textId="77777777" w:rsidR="00B636EB" w:rsidRPr="000D67C6" w:rsidRDefault="00B636EB" w:rsidP="00EE7AF3">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A167F9D" w14:textId="77777777" w:rsidR="00B636EB" w:rsidRPr="000D67C6" w:rsidRDefault="00B636EB" w:rsidP="00EE7AF3">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Balance 31 March </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C2A5797" w14:textId="2E63E225" w:rsidR="00B636EB" w:rsidRPr="000D67C6" w:rsidRDefault="00B636EB" w:rsidP="00EE7AF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53</w:t>
            </w:r>
            <w:r w:rsidR="00237828">
              <w:rPr>
                <w:rFonts w:ascii="Arial" w:eastAsia="Verdana" w:hAnsi="Arial" w:cs="Arial"/>
                <w:b/>
                <w:sz w:val="22"/>
                <w:szCs w:val="22"/>
                <w:lang w:val="en-GB"/>
              </w:rPr>
              <w:t>9</w:t>
            </w:r>
            <w:r w:rsidRPr="000D67C6">
              <w:rPr>
                <w:rFonts w:ascii="Arial" w:eastAsia="Verdana" w:hAnsi="Arial" w:cs="Arial"/>
                <w:b/>
                <w:sz w:val="22"/>
                <w:szCs w:val="22"/>
                <w:lang w:val="en-GB"/>
              </w:rPr>
              <w:t>,</w:t>
            </w:r>
            <w:r w:rsidR="00ED63E9">
              <w:rPr>
                <w:rFonts w:ascii="Arial" w:eastAsia="Verdana" w:hAnsi="Arial" w:cs="Arial"/>
                <w:b/>
                <w:sz w:val="22"/>
                <w:szCs w:val="22"/>
                <w:lang w:val="en-GB"/>
              </w:rPr>
              <w:t>6</w:t>
            </w:r>
            <w:r w:rsidRPr="000D67C6">
              <w:rPr>
                <w:rFonts w:ascii="Arial" w:eastAsia="Verdana" w:hAnsi="Arial" w:cs="Arial"/>
                <w:b/>
                <w:sz w:val="22"/>
                <w:szCs w:val="22"/>
                <w:lang w:val="en-GB"/>
              </w:rPr>
              <w:t>65</w:t>
            </w:r>
          </w:p>
        </w:tc>
      </w:tr>
    </w:tbl>
    <w:p w14:paraId="6AD31A50" w14:textId="77777777" w:rsidR="00EE7AF3" w:rsidRPr="00EE7AF3" w:rsidRDefault="00EE7AF3" w:rsidP="00EE7AF3">
      <w:pPr>
        <w:pStyle w:val="Heading1"/>
        <w:spacing w:before="0"/>
        <w:rPr>
          <w:rFonts w:ascii="Arial" w:hAnsi="Arial" w:cs="Arial"/>
          <w:sz w:val="36"/>
          <w:lang w:val="pt-BR"/>
        </w:rPr>
      </w:pPr>
    </w:p>
    <w:p w14:paraId="3E7E8703" w14:textId="1360275F" w:rsidR="00353677" w:rsidRPr="000D67C6" w:rsidRDefault="00106882" w:rsidP="00EE7AF3">
      <w:pPr>
        <w:pStyle w:val="Heading1"/>
        <w:spacing w:before="0"/>
        <w:rPr>
          <w:rFonts w:ascii="Arial" w:hAnsi="Arial" w:cs="Arial"/>
          <w:sz w:val="28"/>
          <w:lang w:val="pt-BR"/>
        </w:rPr>
      </w:pPr>
      <w:r w:rsidRPr="000D67C6">
        <w:rPr>
          <w:rFonts w:ascii="Arial" w:hAnsi="Arial" w:cs="Arial"/>
          <w:sz w:val="28"/>
          <w:lang w:val="pt-BR"/>
        </w:rPr>
        <w:t xml:space="preserve">Note 18d - </w:t>
      </w:r>
      <w:r w:rsidR="00353677" w:rsidRPr="000D67C6">
        <w:rPr>
          <w:rFonts w:ascii="Arial" w:hAnsi="Arial" w:cs="Arial"/>
          <w:sz w:val="28"/>
          <w:lang w:val="pt-BR"/>
        </w:rPr>
        <w:t>Accumulated Absences Account</w:t>
      </w:r>
    </w:p>
    <w:p w14:paraId="170E4F64" w14:textId="77777777" w:rsidR="008F013B" w:rsidRPr="000D67C6" w:rsidRDefault="008F013B" w:rsidP="008C348E">
      <w:pPr>
        <w:pStyle w:val="Normal0"/>
        <w:spacing w:line="22" w:lineRule="atLeast"/>
        <w:jc w:val="both"/>
        <w:rPr>
          <w:rFonts w:ascii="Arial" w:eastAsia="Calibri" w:hAnsi="Arial" w:cs="Arial"/>
          <w:color w:val="5B9BD5" w:themeColor="accent1"/>
          <w:sz w:val="22"/>
          <w:szCs w:val="22"/>
          <w:lang w:val="en-GB"/>
        </w:rPr>
      </w:pPr>
    </w:p>
    <w:p w14:paraId="27552C23" w14:textId="565210F0" w:rsidR="00353677" w:rsidRDefault="00353677" w:rsidP="000C4305">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The Accumulated Absences Account absorbs the differences that would otherwise arise on the General Fund Balance from accruing for compensated absences earned but not taken in the year, e</w:t>
      </w:r>
      <w:r w:rsidR="00294166" w:rsidRPr="000D67C6">
        <w:rPr>
          <w:rFonts w:ascii="Arial" w:eastAsia="Calibri" w:hAnsi="Arial" w:cs="Arial"/>
          <w:sz w:val="22"/>
          <w:szCs w:val="22"/>
          <w:lang w:val="en-GB"/>
        </w:rPr>
        <w:t>.</w:t>
      </w:r>
      <w:r w:rsidRPr="000D67C6">
        <w:rPr>
          <w:rFonts w:ascii="Arial" w:eastAsia="Calibri" w:hAnsi="Arial" w:cs="Arial"/>
          <w:sz w:val="22"/>
          <w:szCs w:val="22"/>
          <w:lang w:val="en-GB"/>
        </w:rPr>
        <w:t>g</w:t>
      </w:r>
      <w:r w:rsidR="00294166" w:rsidRPr="000D67C6">
        <w:rPr>
          <w:rFonts w:ascii="Arial" w:eastAsia="Calibri" w:hAnsi="Arial" w:cs="Arial"/>
          <w:sz w:val="22"/>
          <w:szCs w:val="22"/>
          <w:lang w:val="en-GB"/>
        </w:rPr>
        <w:t>.</w:t>
      </w:r>
      <w:r w:rsidRPr="000D67C6">
        <w:rPr>
          <w:rFonts w:ascii="Arial" w:eastAsia="Calibri" w:hAnsi="Arial" w:cs="Arial"/>
          <w:sz w:val="22"/>
          <w:szCs w:val="22"/>
          <w:lang w:val="en-GB"/>
        </w:rPr>
        <w:t xml:space="preserve"> annual leave entitlement carried forward at 31 March. Statutory arrangements require that the impact on the General Fund Balance is neutralised by transfers to or from the Account.</w:t>
      </w:r>
    </w:p>
    <w:p w14:paraId="2560A453" w14:textId="77777777" w:rsidR="000C4305" w:rsidRPr="000C4305" w:rsidRDefault="000C4305" w:rsidP="000C4305">
      <w:pPr>
        <w:pStyle w:val="Normal0"/>
        <w:spacing w:line="259" w:lineRule="auto"/>
        <w:jc w:val="both"/>
        <w:rPr>
          <w:rFonts w:ascii="Arial" w:eastAsia="Calibri" w:hAnsi="Arial" w:cs="Arial"/>
          <w:color w:val="5B9BD5" w:themeColor="accent1"/>
          <w:sz w:val="20"/>
          <w:szCs w:val="22"/>
          <w:lang w:val="en-GB"/>
        </w:rPr>
      </w:pPr>
    </w:p>
    <w:tbl>
      <w:tblPr>
        <w:tblW w:w="0" w:type="auto"/>
        <w:jc w:val="center"/>
        <w:tblLayout w:type="fixed"/>
        <w:tblLook w:val="04A0" w:firstRow="1" w:lastRow="0" w:firstColumn="1" w:lastColumn="0" w:noHBand="0" w:noVBand="1"/>
      </w:tblPr>
      <w:tblGrid>
        <w:gridCol w:w="1335"/>
        <w:gridCol w:w="180"/>
        <w:gridCol w:w="6140"/>
        <w:gridCol w:w="1276"/>
      </w:tblGrid>
      <w:tr w:rsidR="00464E99" w:rsidRPr="000D67C6" w14:paraId="12A08C28" w14:textId="77777777" w:rsidTr="00353677">
        <w:trPr>
          <w:trHeight w:val="300"/>
          <w:jc w:val="center"/>
        </w:trPr>
        <w:tc>
          <w:tcPr>
            <w:tcW w:w="1335" w:type="dxa"/>
            <w:shd w:val="clear" w:color="auto" w:fill="auto"/>
            <w:tcMar>
              <w:top w:w="20" w:type="dxa"/>
              <w:left w:w="20" w:type="dxa"/>
              <w:bottom w:w="20" w:type="dxa"/>
              <w:right w:w="20" w:type="dxa"/>
            </w:tcMar>
            <w:vAlign w:val="bottom"/>
          </w:tcPr>
          <w:p w14:paraId="098AF1F1" w14:textId="77777777" w:rsidR="00682F7B" w:rsidRPr="000D67C6" w:rsidRDefault="00A51CDD" w:rsidP="0035367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8</w:t>
            </w:r>
          </w:p>
        </w:tc>
        <w:tc>
          <w:tcPr>
            <w:tcW w:w="180" w:type="dxa"/>
            <w:shd w:val="clear" w:color="auto" w:fill="auto"/>
            <w:tcMar>
              <w:top w:w="20" w:type="dxa"/>
              <w:left w:w="20" w:type="dxa"/>
              <w:bottom w:w="20" w:type="dxa"/>
              <w:right w:w="20" w:type="dxa"/>
            </w:tcMar>
            <w:vAlign w:val="bottom"/>
          </w:tcPr>
          <w:p w14:paraId="32705902" w14:textId="77777777" w:rsidR="00464E99" w:rsidRPr="000D67C6" w:rsidRDefault="008F013B" w:rsidP="0035367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shd w:val="clear" w:color="auto" w:fill="auto"/>
            <w:tcMar>
              <w:top w:w="20" w:type="dxa"/>
              <w:left w:w="20" w:type="dxa"/>
              <w:bottom w:w="20" w:type="dxa"/>
              <w:right w:w="20" w:type="dxa"/>
            </w:tcMar>
            <w:vAlign w:val="bottom"/>
          </w:tcPr>
          <w:p w14:paraId="1B136CE2" w14:textId="77777777" w:rsidR="00464E99" w:rsidRPr="000D67C6" w:rsidRDefault="008F013B" w:rsidP="0035367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shd w:val="clear" w:color="auto" w:fill="auto"/>
            <w:tcMar>
              <w:top w:w="20" w:type="dxa"/>
              <w:left w:w="20" w:type="dxa"/>
              <w:bottom w:w="20" w:type="dxa"/>
              <w:right w:w="20" w:type="dxa"/>
            </w:tcMar>
            <w:vAlign w:val="bottom"/>
          </w:tcPr>
          <w:p w14:paraId="5344D4B2" w14:textId="77777777" w:rsidR="008C6811" w:rsidRPr="000D67C6" w:rsidRDefault="00A51CDD" w:rsidP="0035367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A255EF" w:rsidRPr="000D67C6">
              <w:rPr>
                <w:rFonts w:ascii="Arial" w:eastAsia="Verdana" w:hAnsi="Arial" w:cs="Arial"/>
                <w:b/>
                <w:sz w:val="22"/>
                <w:szCs w:val="22"/>
                <w:lang w:val="en-GB"/>
              </w:rPr>
              <w:t>8</w:t>
            </w:r>
            <w:r w:rsidR="0043644C" w:rsidRPr="000D67C6">
              <w:rPr>
                <w:rFonts w:ascii="Arial" w:eastAsia="Verdana" w:hAnsi="Arial" w:cs="Arial"/>
                <w:b/>
                <w:sz w:val="22"/>
                <w:szCs w:val="22"/>
                <w:lang w:val="en-GB"/>
              </w:rPr>
              <w:t>/1</w:t>
            </w:r>
            <w:r w:rsidR="00A255EF" w:rsidRPr="000D67C6">
              <w:rPr>
                <w:rFonts w:ascii="Arial" w:eastAsia="Verdana" w:hAnsi="Arial" w:cs="Arial"/>
                <w:b/>
                <w:sz w:val="22"/>
                <w:szCs w:val="22"/>
                <w:lang w:val="en-GB"/>
              </w:rPr>
              <w:t>9</w:t>
            </w:r>
          </w:p>
        </w:tc>
      </w:tr>
      <w:tr w:rsidR="00464E99" w:rsidRPr="000D67C6" w14:paraId="1F2AAA60" w14:textId="77777777" w:rsidTr="00353677">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14:paraId="342D85B1"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516EA2C1"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bottom w:val="single" w:sz="2" w:space="0" w:color="000000"/>
            </w:tcBorders>
            <w:shd w:val="clear" w:color="auto" w:fill="auto"/>
            <w:tcMar>
              <w:top w:w="20" w:type="dxa"/>
              <w:left w:w="20" w:type="dxa"/>
              <w:bottom w:w="20" w:type="dxa"/>
              <w:right w:w="20" w:type="dxa"/>
            </w:tcMar>
          </w:tcPr>
          <w:p w14:paraId="1C669C95"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2791CB22"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A255EF" w:rsidRPr="000D67C6" w14:paraId="35F632E2" w14:textId="77777777" w:rsidTr="003777DD">
        <w:trPr>
          <w:trHeight w:val="300"/>
          <w:jc w:val="center"/>
        </w:trPr>
        <w:tc>
          <w:tcPr>
            <w:tcW w:w="1335" w:type="dxa"/>
            <w:shd w:val="clear" w:color="auto" w:fill="auto"/>
            <w:tcMar>
              <w:top w:w="20" w:type="dxa"/>
              <w:left w:w="20" w:type="dxa"/>
              <w:bottom w:w="20" w:type="dxa"/>
              <w:right w:w="20" w:type="dxa"/>
            </w:tcMar>
            <w:vAlign w:val="center"/>
          </w:tcPr>
          <w:p w14:paraId="42D6E23E"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651</w:t>
            </w:r>
          </w:p>
        </w:tc>
        <w:tc>
          <w:tcPr>
            <w:tcW w:w="180" w:type="dxa"/>
            <w:shd w:val="clear" w:color="auto" w:fill="auto"/>
            <w:tcMar>
              <w:top w:w="20" w:type="dxa"/>
              <w:left w:w="20" w:type="dxa"/>
              <w:bottom w:w="20" w:type="dxa"/>
              <w:right w:w="20" w:type="dxa"/>
            </w:tcMar>
            <w:vAlign w:val="center"/>
          </w:tcPr>
          <w:p w14:paraId="48B2354C"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shd w:val="clear" w:color="auto" w:fill="auto"/>
            <w:tcMar>
              <w:top w:w="20" w:type="dxa"/>
              <w:left w:w="20" w:type="dxa"/>
              <w:bottom w:w="20" w:type="dxa"/>
              <w:right w:w="20" w:type="dxa"/>
            </w:tcMar>
            <w:vAlign w:val="center"/>
          </w:tcPr>
          <w:p w14:paraId="77B3771A"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Balance 1 April </w:t>
            </w:r>
          </w:p>
        </w:tc>
        <w:tc>
          <w:tcPr>
            <w:tcW w:w="1276" w:type="dxa"/>
            <w:shd w:val="clear" w:color="auto" w:fill="auto"/>
            <w:tcMar>
              <w:top w:w="20" w:type="dxa"/>
              <w:left w:w="20" w:type="dxa"/>
              <w:bottom w:w="20" w:type="dxa"/>
              <w:right w:w="20" w:type="dxa"/>
            </w:tcMar>
            <w:vAlign w:val="center"/>
          </w:tcPr>
          <w:p w14:paraId="3AED2020" w14:textId="77777777" w:rsidR="00A255EF" w:rsidRPr="000D67C6" w:rsidRDefault="00680F31"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682</w:t>
            </w:r>
          </w:p>
        </w:tc>
      </w:tr>
      <w:tr w:rsidR="00A255EF" w:rsidRPr="000D67C6" w14:paraId="782ED772" w14:textId="77777777" w:rsidTr="003777DD">
        <w:trPr>
          <w:trHeight w:val="687"/>
          <w:jc w:val="center"/>
        </w:trPr>
        <w:tc>
          <w:tcPr>
            <w:tcW w:w="1335" w:type="dxa"/>
            <w:tcBorders>
              <w:top w:val="single" w:sz="2" w:space="0" w:color="000000"/>
              <w:bottom w:val="single" w:sz="2" w:space="0" w:color="000000"/>
            </w:tcBorders>
            <w:shd w:val="clear" w:color="auto" w:fill="auto"/>
            <w:tcMar>
              <w:top w:w="20" w:type="dxa"/>
              <w:left w:w="20" w:type="dxa"/>
              <w:bottom w:w="20" w:type="dxa"/>
              <w:right w:w="20" w:type="dxa"/>
            </w:tcMar>
            <w:vAlign w:val="center"/>
          </w:tcPr>
          <w:p w14:paraId="410AD7FA" w14:textId="77777777" w:rsidR="00A255EF" w:rsidRPr="000D67C6" w:rsidRDefault="00A255EF"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31</w:t>
            </w:r>
          </w:p>
        </w:tc>
        <w:tc>
          <w:tcPr>
            <w:tcW w:w="180" w:type="dxa"/>
            <w:tcBorders>
              <w:top w:val="single" w:sz="2" w:space="0" w:color="000000"/>
              <w:bottom w:val="single" w:sz="2" w:space="0" w:color="000000"/>
            </w:tcBorders>
            <w:shd w:val="clear" w:color="auto" w:fill="auto"/>
            <w:tcMar>
              <w:top w:w="20" w:type="dxa"/>
              <w:left w:w="20" w:type="dxa"/>
              <w:bottom w:w="20" w:type="dxa"/>
              <w:right w:w="20" w:type="dxa"/>
            </w:tcMar>
            <w:vAlign w:val="center"/>
          </w:tcPr>
          <w:p w14:paraId="580C5D6C" w14:textId="77777777" w:rsidR="00A255EF" w:rsidRPr="000D67C6" w:rsidRDefault="00A255EF" w:rsidP="00A255EF">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6140" w:type="dxa"/>
            <w:tcBorders>
              <w:top w:val="single" w:sz="2" w:space="0" w:color="000000"/>
              <w:bottom w:val="single" w:sz="2" w:space="0" w:color="000000"/>
            </w:tcBorders>
            <w:shd w:val="clear" w:color="auto" w:fill="auto"/>
            <w:tcMar>
              <w:top w:w="20" w:type="dxa"/>
              <w:left w:w="20" w:type="dxa"/>
              <w:bottom w:w="20" w:type="dxa"/>
              <w:right w:w="20" w:type="dxa"/>
            </w:tcMar>
            <w:vAlign w:val="center"/>
          </w:tcPr>
          <w:p w14:paraId="6D68DCA3" w14:textId="77777777" w:rsidR="00A255EF" w:rsidRPr="000D67C6" w:rsidRDefault="00A255EF" w:rsidP="00A255EF">
            <w:pPr>
              <w:pStyle w:val="T1TableStyle"/>
              <w:rPr>
                <w:rFonts w:ascii="Arial" w:eastAsia="Verdana" w:hAnsi="Arial" w:cs="Arial"/>
                <w:sz w:val="22"/>
                <w:szCs w:val="22"/>
                <w:lang w:val="en-GB"/>
              </w:rPr>
            </w:pPr>
            <w:r w:rsidRPr="000D67C6">
              <w:rPr>
                <w:rFonts w:ascii="Arial" w:eastAsia="Verdana" w:hAnsi="Arial" w:cs="Arial"/>
                <w:sz w:val="22"/>
                <w:szCs w:val="22"/>
                <w:lang w:val="en-GB"/>
              </w:rPr>
              <w:t>Amount by which officer remuneration charged to the Comprehensive Income and Expenditure Statement on an accruals basis is different from remuneration chargeable in year in accordance with statutory requirements</w:t>
            </w:r>
          </w:p>
        </w:tc>
        <w:tc>
          <w:tcPr>
            <w:tcW w:w="1276" w:type="dxa"/>
            <w:tcBorders>
              <w:top w:val="single" w:sz="2" w:space="0" w:color="000000"/>
              <w:bottom w:val="single" w:sz="2" w:space="0" w:color="000000"/>
            </w:tcBorders>
            <w:shd w:val="clear" w:color="auto" w:fill="auto"/>
            <w:tcMar>
              <w:top w:w="20" w:type="dxa"/>
              <w:left w:w="20" w:type="dxa"/>
              <w:bottom w:w="20" w:type="dxa"/>
              <w:right w:w="20" w:type="dxa"/>
            </w:tcMar>
            <w:vAlign w:val="center"/>
          </w:tcPr>
          <w:p w14:paraId="6AE54256" w14:textId="77777777" w:rsidR="00A255EF" w:rsidRPr="000D67C6" w:rsidRDefault="00FE28C1" w:rsidP="00A255EF">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w:t>
            </w:r>
          </w:p>
        </w:tc>
      </w:tr>
      <w:tr w:rsidR="00A255EF" w:rsidRPr="000D67C6" w14:paraId="6AD2EE99" w14:textId="77777777" w:rsidTr="003777DD">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80C3A82" w14:textId="77777777" w:rsidR="00A255EF" w:rsidRPr="000D67C6" w:rsidRDefault="00A255EF"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682</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2D5E13" w14:textId="77777777" w:rsidR="00A255EF" w:rsidRPr="000D67C6" w:rsidRDefault="00A255EF" w:rsidP="00A255E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614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F7ED85F" w14:textId="77777777" w:rsidR="00A255EF" w:rsidRPr="000D67C6" w:rsidRDefault="00A255EF" w:rsidP="00A255EF">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Balance 31 March </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03F6358" w14:textId="77777777" w:rsidR="00A255EF" w:rsidRPr="000D67C6" w:rsidRDefault="00FE28C1" w:rsidP="00A255E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686</w:t>
            </w:r>
          </w:p>
        </w:tc>
      </w:tr>
    </w:tbl>
    <w:p w14:paraId="3918564C" w14:textId="77777777" w:rsidR="008F013B" w:rsidRPr="000D67C6" w:rsidRDefault="008F013B" w:rsidP="008F013B">
      <w:pPr>
        <w:pStyle w:val="T1TableStyle"/>
        <w:rPr>
          <w:rFonts w:ascii="Arial" w:eastAsia="Calibri" w:hAnsi="Arial" w:cs="Arial"/>
          <w:sz w:val="22"/>
          <w:szCs w:val="22"/>
          <w:lang w:val="en-GB"/>
        </w:rPr>
      </w:pPr>
    </w:p>
    <w:p w14:paraId="75B37F0B" w14:textId="77777777" w:rsidR="008F013B" w:rsidRPr="000D67C6" w:rsidRDefault="008F013B" w:rsidP="008F013B">
      <w:pPr>
        <w:pStyle w:val="Normal0"/>
        <w:spacing w:after="160" w:line="259" w:lineRule="auto"/>
        <w:rPr>
          <w:rFonts w:ascii="Arial" w:eastAsia="Calibri" w:hAnsi="Arial" w:cs="Arial"/>
          <w:sz w:val="22"/>
          <w:szCs w:val="22"/>
          <w:lang w:val="en-GB"/>
        </w:rPr>
      </w:pPr>
    </w:p>
    <w:p w14:paraId="021DB63F" w14:textId="77777777" w:rsidR="008F013B" w:rsidRPr="000D67C6" w:rsidRDefault="00353677" w:rsidP="008F013B">
      <w:pPr>
        <w:pStyle w:val="Heading1"/>
        <w:spacing w:line="259" w:lineRule="auto"/>
        <w:rPr>
          <w:rFonts w:ascii="Arial" w:hAnsi="Arial" w:cs="Arial"/>
          <w:sz w:val="28"/>
          <w:lang w:val="pt-BR"/>
        </w:rPr>
      </w:pPr>
      <w:r w:rsidRPr="000D67C6">
        <w:rPr>
          <w:rFonts w:ascii="Arial" w:hAnsi="Arial" w:cs="Arial"/>
          <w:sz w:val="28"/>
          <w:lang w:val="pt-BR"/>
        </w:rPr>
        <w:t>N</w:t>
      </w:r>
      <w:r w:rsidR="002F5FB5" w:rsidRPr="000D67C6">
        <w:rPr>
          <w:rFonts w:ascii="Arial" w:hAnsi="Arial" w:cs="Arial"/>
          <w:sz w:val="28"/>
          <w:lang w:val="pt-BR"/>
        </w:rPr>
        <w:t>ote 19</w:t>
      </w:r>
      <w:r w:rsidR="008F013B" w:rsidRPr="000D67C6">
        <w:rPr>
          <w:rFonts w:ascii="Arial" w:hAnsi="Arial" w:cs="Arial"/>
          <w:sz w:val="28"/>
          <w:lang w:val="pt-BR"/>
        </w:rPr>
        <w:t xml:space="preserve"> - Cash Flow from Operating Activities</w:t>
      </w:r>
    </w:p>
    <w:tbl>
      <w:tblPr>
        <w:tblW w:w="0" w:type="auto"/>
        <w:tblLayout w:type="fixed"/>
        <w:tblLook w:val="04A0" w:firstRow="1" w:lastRow="0" w:firstColumn="1" w:lastColumn="0" w:noHBand="0" w:noVBand="1"/>
      </w:tblPr>
      <w:tblGrid>
        <w:gridCol w:w="1488"/>
        <w:gridCol w:w="237"/>
        <w:gridCol w:w="5930"/>
        <w:gridCol w:w="1276"/>
      </w:tblGrid>
      <w:tr w:rsidR="00464E99" w:rsidRPr="000D67C6" w14:paraId="24FD3923" w14:textId="77777777" w:rsidTr="00B937D4">
        <w:trPr>
          <w:trHeight w:hRule="exact" w:val="300"/>
        </w:trPr>
        <w:tc>
          <w:tcPr>
            <w:tcW w:w="1488" w:type="dxa"/>
            <w:shd w:val="clear" w:color="auto" w:fill="auto"/>
            <w:tcMar>
              <w:top w:w="20" w:type="dxa"/>
              <w:left w:w="20" w:type="dxa"/>
              <w:bottom w:w="20" w:type="dxa"/>
              <w:right w:w="20" w:type="dxa"/>
            </w:tcMar>
            <w:vAlign w:val="bottom"/>
          </w:tcPr>
          <w:p w14:paraId="48E53C11" w14:textId="77777777" w:rsidR="00464E99" w:rsidRPr="000D67C6" w:rsidRDefault="00464E99" w:rsidP="008F013B">
            <w:pPr>
              <w:pStyle w:val="T1TableStyle"/>
              <w:jc w:val="center"/>
              <w:rPr>
                <w:rFonts w:ascii="Arial" w:eastAsia="Verdana" w:hAnsi="Arial" w:cs="Arial"/>
                <w:b/>
                <w:sz w:val="22"/>
                <w:szCs w:val="22"/>
                <w:lang w:val="pt-BR"/>
              </w:rPr>
            </w:pPr>
          </w:p>
        </w:tc>
        <w:tc>
          <w:tcPr>
            <w:tcW w:w="237" w:type="dxa"/>
            <w:shd w:val="clear" w:color="auto" w:fill="auto"/>
            <w:tcMar>
              <w:top w:w="20" w:type="dxa"/>
              <w:left w:w="20" w:type="dxa"/>
              <w:bottom w:w="20" w:type="dxa"/>
              <w:right w:w="20" w:type="dxa"/>
            </w:tcMar>
          </w:tcPr>
          <w:p w14:paraId="1D3E4653"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shd w:val="clear" w:color="auto" w:fill="auto"/>
            <w:tcMar>
              <w:top w:w="20" w:type="dxa"/>
              <w:left w:w="20" w:type="dxa"/>
              <w:bottom w:w="20" w:type="dxa"/>
              <w:right w:w="20" w:type="dxa"/>
            </w:tcMar>
          </w:tcPr>
          <w:p w14:paraId="791CA914"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shd w:val="clear" w:color="auto" w:fill="auto"/>
            <w:tcMar>
              <w:top w:w="20" w:type="dxa"/>
              <w:left w:w="20" w:type="dxa"/>
              <w:bottom w:w="20" w:type="dxa"/>
              <w:right w:w="20" w:type="dxa"/>
            </w:tcMar>
            <w:vAlign w:val="bottom"/>
          </w:tcPr>
          <w:p w14:paraId="5B8F56AE"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r>
      <w:tr w:rsidR="00464E99" w:rsidRPr="000D67C6" w14:paraId="5C8320F9" w14:textId="77777777" w:rsidTr="00B937D4">
        <w:trPr>
          <w:trHeight w:val="300"/>
        </w:trPr>
        <w:tc>
          <w:tcPr>
            <w:tcW w:w="8931" w:type="dxa"/>
            <w:gridSpan w:val="4"/>
            <w:shd w:val="clear" w:color="auto" w:fill="auto"/>
            <w:tcMar>
              <w:top w:w="20" w:type="dxa"/>
              <w:left w:w="20" w:type="dxa"/>
              <w:bottom w:w="20" w:type="dxa"/>
              <w:right w:w="20" w:type="dxa"/>
            </w:tcMar>
            <w:vAlign w:val="bottom"/>
          </w:tcPr>
          <w:p w14:paraId="2185CB15" w14:textId="77777777" w:rsidR="00464E99" w:rsidRPr="000D67C6" w:rsidRDefault="008F013B" w:rsidP="008F013B">
            <w:pPr>
              <w:pStyle w:val="T1TableStyle"/>
              <w:rPr>
                <w:rFonts w:ascii="Arial" w:eastAsia="Verdana" w:hAnsi="Arial" w:cs="Arial"/>
                <w:sz w:val="22"/>
                <w:szCs w:val="22"/>
                <w:lang w:val="pt-BR"/>
              </w:rPr>
            </w:pPr>
            <w:r w:rsidRPr="000D67C6">
              <w:rPr>
                <w:rFonts w:ascii="Arial" w:eastAsia="Verdana" w:hAnsi="Arial" w:cs="Arial"/>
                <w:sz w:val="22"/>
                <w:szCs w:val="22"/>
                <w:lang w:val="pt-BR"/>
              </w:rPr>
              <w:t>The cash flows for operating activities include the following items:</w:t>
            </w:r>
          </w:p>
          <w:p w14:paraId="24CCB687" w14:textId="77777777" w:rsidR="00774A2D" w:rsidRPr="000D67C6" w:rsidRDefault="00774A2D" w:rsidP="008F013B">
            <w:pPr>
              <w:pStyle w:val="T1TableStyle"/>
              <w:rPr>
                <w:rFonts w:ascii="Arial" w:eastAsia="Verdana" w:hAnsi="Arial" w:cs="Arial"/>
                <w:sz w:val="22"/>
                <w:szCs w:val="22"/>
                <w:lang w:val="pt-BR"/>
              </w:rPr>
            </w:pPr>
          </w:p>
        </w:tc>
      </w:tr>
      <w:tr w:rsidR="00464E99" w:rsidRPr="000D67C6" w14:paraId="3C539198" w14:textId="77777777" w:rsidTr="00B937D4">
        <w:trPr>
          <w:trHeight w:val="300"/>
        </w:trPr>
        <w:tc>
          <w:tcPr>
            <w:tcW w:w="1488" w:type="dxa"/>
            <w:shd w:val="clear" w:color="auto" w:fill="auto"/>
            <w:tcMar>
              <w:top w:w="20" w:type="dxa"/>
              <w:left w:w="20" w:type="dxa"/>
              <w:bottom w:w="20" w:type="dxa"/>
              <w:right w:w="20" w:type="dxa"/>
            </w:tcMar>
            <w:vAlign w:val="bottom"/>
          </w:tcPr>
          <w:p w14:paraId="2D94D8AF" w14:textId="77777777" w:rsidR="00464E99" w:rsidRPr="000D67C6" w:rsidRDefault="00A51CD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237" w:type="dxa"/>
            <w:shd w:val="clear" w:color="auto" w:fill="auto"/>
            <w:tcMar>
              <w:top w:w="20" w:type="dxa"/>
              <w:left w:w="20" w:type="dxa"/>
              <w:bottom w:w="20" w:type="dxa"/>
              <w:right w:w="20" w:type="dxa"/>
            </w:tcMar>
            <w:vAlign w:val="bottom"/>
          </w:tcPr>
          <w:p w14:paraId="42497E73" w14:textId="77777777" w:rsidR="00464E99" w:rsidRPr="000D67C6" w:rsidRDefault="008F013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shd w:val="clear" w:color="auto" w:fill="auto"/>
            <w:tcMar>
              <w:top w:w="20" w:type="dxa"/>
              <w:left w:w="20" w:type="dxa"/>
              <w:bottom w:w="20" w:type="dxa"/>
              <w:right w:w="20" w:type="dxa"/>
            </w:tcMar>
            <w:vAlign w:val="bottom"/>
          </w:tcPr>
          <w:p w14:paraId="1884E98E" w14:textId="77777777" w:rsidR="00464E99" w:rsidRPr="000D67C6" w:rsidRDefault="008F013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shd w:val="clear" w:color="auto" w:fill="auto"/>
            <w:tcMar>
              <w:top w:w="20" w:type="dxa"/>
              <w:left w:w="20" w:type="dxa"/>
              <w:bottom w:w="20" w:type="dxa"/>
              <w:right w:w="20" w:type="dxa"/>
            </w:tcMar>
            <w:vAlign w:val="bottom"/>
          </w:tcPr>
          <w:p w14:paraId="3E00B604" w14:textId="77777777" w:rsidR="00464E99" w:rsidRPr="000D67C6" w:rsidRDefault="00774A2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9</w:t>
            </w:r>
          </w:p>
        </w:tc>
      </w:tr>
      <w:tr w:rsidR="00464E99" w:rsidRPr="000D67C6" w14:paraId="7148E0D3" w14:textId="77777777" w:rsidTr="00B937D4">
        <w:trPr>
          <w:trHeight w:val="300"/>
        </w:trPr>
        <w:tc>
          <w:tcPr>
            <w:tcW w:w="1488" w:type="dxa"/>
            <w:tcBorders>
              <w:bottom w:val="single" w:sz="2" w:space="0" w:color="000000"/>
            </w:tcBorders>
            <w:shd w:val="clear" w:color="auto" w:fill="auto"/>
            <w:tcMar>
              <w:top w:w="20" w:type="dxa"/>
              <w:left w:w="20" w:type="dxa"/>
              <w:bottom w:w="20" w:type="dxa"/>
              <w:right w:w="20" w:type="dxa"/>
            </w:tcMar>
          </w:tcPr>
          <w:p w14:paraId="6D053B66"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37" w:type="dxa"/>
            <w:tcBorders>
              <w:bottom w:val="single" w:sz="2" w:space="0" w:color="000000"/>
            </w:tcBorders>
            <w:shd w:val="clear" w:color="auto" w:fill="auto"/>
            <w:tcMar>
              <w:top w:w="20" w:type="dxa"/>
              <w:left w:w="20" w:type="dxa"/>
              <w:bottom w:w="20" w:type="dxa"/>
              <w:right w:w="20" w:type="dxa"/>
            </w:tcMar>
          </w:tcPr>
          <w:p w14:paraId="7CC4A752"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tcBorders>
              <w:bottom w:val="single" w:sz="2" w:space="0" w:color="000000"/>
            </w:tcBorders>
            <w:shd w:val="clear" w:color="auto" w:fill="auto"/>
            <w:tcMar>
              <w:top w:w="20" w:type="dxa"/>
              <w:left w:w="20" w:type="dxa"/>
              <w:bottom w:w="20" w:type="dxa"/>
              <w:right w:w="20" w:type="dxa"/>
            </w:tcMar>
          </w:tcPr>
          <w:p w14:paraId="1F53EAF4"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71695759"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51CDD" w:rsidRPr="000D67C6" w14:paraId="359FF4A5" w14:textId="77777777" w:rsidTr="00B937D4">
        <w:trPr>
          <w:trHeight w:val="303"/>
        </w:trPr>
        <w:tc>
          <w:tcPr>
            <w:tcW w:w="1488" w:type="dxa"/>
            <w:shd w:val="clear" w:color="auto" w:fill="auto"/>
            <w:tcMar>
              <w:top w:w="20" w:type="dxa"/>
              <w:left w:w="20" w:type="dxa"/>
              <w:bottom w:w="20" w:type="dxa"/>
              <w:right w:w="20" w:type="dxa"/>
            </w:tcMar>
          </w:tcPr>
          <w:p w14:paraId="13E5E349" w14:textId="77777777" w:rsidR="00A51CDD" w:rsidRPr="000D67C6" w:rsidRDefault="00A51CDD" w:rsidP="00A51CD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(35)</w:t>
            </w:r>
          </w:p>
        </w:tc>
        <w:tc>
          <w:tcPr>
            <w:tcW w:w="237" w:type="dxa"/>
            <w:shd w:val="clear" w:color="auto" w:fill="auto"/>
            <w:tcMar>
              <w:top w:w="20" w:type="dxa"/>
              <w:left w:w="20" w:type="dxa"/>
              <w:bottom w:w="20" w:type="dxa"/>
              <w:right w:w="20" w:type="dxa"/>
            </w:tcMar>
          </w:tcPr>
          <w:p w14:paraId="754D18E5" w14:textId="77777777" w:rsidR="00A51CDD" w:rsidRPr="000D67C6" w:rsidRDefault="00A51CDD" w:rsidP="00A51CDD">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tcPr>
          <w:p w14:paraId="29C0FDEE" w14:textId="77777777" w:rsidR="00A51CDD" w:rsidRPr="000D67C6" w:rsidRDefault="00A51CDD" w:rsidP="00A51CDD">
            <w:pPr>
              <w:pStyle w:val="T1TableStyle"/>
              <w:rPr>
                <w:rFonts w:ascii="Arial" w:eastAsia="Verdana" w:hAnsi="Arial" w:cs="Arial"/>
                <w:sz w:val="22"/>
                <w:szCs w:val="22"/>
                <w:lang w:val="pt-BR"/>
              </w:rPr>
            </w:pPr>
            <w:r w:rsidRPr="000D67C6">
              <w:rPr>
                <w:rFonts w:ascii="Arial" w:eastAsia="Verdana" w:hAnsi="Arial" w:cs="Arial"/>
                <w:sz w:val="22"/>
                <w:szCs w:val="22"/>
                <w:lang w:val="pt-BR"/>
              </w:rPr>
              <w:t>Interest received</w:t>
            </w:r>
          </w:p>
        </w:tc>
        <w:tc>
          <w:tcPr>
            <w:tcW w:w="1276" w:type="dxa"/>
            <w:shd w:val="clear" w:color="auto" w:fill="auto"/>
            <w:tcMar>
              <w:top w:w="20" w:type="dxa"/>
              <w:left w:w="20" w:type="dxa"/>
              <w:bottom w:w="20" w:type="dxa"/>
              <w:right w:w="20" w:type="dxa"/>
            </w:tcMar>
          </w:tcPr>
          <w:p w14:paraId="6BDA6D4C" w14:textId="77777777" w:rsidR="00A51CDD" w:rsidRPr="000D67C6" w:rsidRDefault="00E9757C" w:rsidP="00A51CD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(42)</w:t>
            </w:r>
          </w:p>
        </w:tc>
      </w:tr>
      <w:tr w:rsidR="00A51CDD" w:rsidRPr="000D67C6" w14:paraId="5F38F380" w14:textId="77777777" w:rsidTr="00B937D4">
        <w:trPr>
          <w:trHeight w:val="303"/>
        </w:trPr>
        <w:tc>
          <w:tcPr>
            <w:tcW w:w="1488" w:type="dxa"/>
            <w:shd w:val="clear" w:color="auto" w:fill="auto"/>
            <w:tcMar>
              <w:top w:w="20" w:type="dxa"/>
              <w:left w:w="20" w:type="dxa"/>
              <w:bottom w:w="20" w:type="dxa"/>
              <w:right w:w="20" w:type="dxa"/>
            </w:tcMar>
          </w:tcPr>
          <w:p w14:paraId="5479377B" w14:textId="77777777" w:rsidR="00A51CDD" w:rsidRPr="000D67C6" w:rsidRDefault="00A255EF" w:rsidP="00A51CD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77</w:t>
            </w:r>
            <w:r w:rsidR="00A51CDD" w:rsidRPr="000D67C6">
              <w:rPr>
                <w:rFonts w:ascii="Arial" w:eastAsia="Verdana" w:hAnsi="Arial" w:cs="Arial"/>
                <w:sz w:val="22"/>
                <w:szCs w:val="22"/>
                <w:lang w:val="pt-BR"/>
              </w:rPr>
              <w:t>5</w:t>
            </w:r>
          </w:p>
        </w:tc>
        <w:tc>
          <w:tcPr>
            <w:tcW w:w="237" w:type="dxa"/>
            <w:shd w:val="clear" w:color="auto" w:fill="auto"/>
            <w:tcMar>
              <w:top w:w="20" w:type="dxa"/>
              <w:left w:w="20" w:type="dxa"/>
              <w:bottom w:w="20" w:type="dxa"/>
              <w:right w:w="20" w:type="dxa"/>
            </w:tcMar>
          </w:tcPr>
          <w:p w14:paraId="495245D8" w14:textId="77777777" w:rsidR="00A51CDD" w:rsidRPr="000D67C6" w:rsidRDefault="00A51CDD" w:rsidP="00A51CDD">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tcPr>
          <w:p w14:paraId="744E5957" w14:textId="77777777" w:rsidR="00A51CDD" w:rsidRPr="000D67C6" w:rsidRDefault="00A51CDD" w:rsidP="00A51CDD">
            <w:pPr>
              <w:pStyle w:val="T1TableStyle"/>
              <w:rPr>
                <w:rFonts w:ascii="Arial" w:eastAsia="Verdana" w:hAnsi="Arial" w:cs="Arial"/>
                <w:sz w:val="22"/>
                <w:szCs w:val="22"/>
                <w:lang w:val="pt-BR"/>
              </w:rPr>
            </w:pPr>
            <w:r w:rsidRPr="000D67C6">
              <w:rPr>
                <w:rFonts w:ascii="Arial" w:eastAsia="Verdana" w:hAnsi="Arial" w:cs="Arial"/>
                <w:sz w:val="22"/>
                <w:szCs w:val="22"/>
                <w:lang w:val="pt-BR"/>
              </w:rPr>
              <w:t>Interest paid</w:t>
            </w:r>
          </w:p>
        </w:tc>
        <w:tc>
          <w:tcPr>
            <w:tcW w:w="1276" w:type="dxa"/>
            <w:shd w:val="clear" w:color="auto" w:fill="auto"/>
            <w:tcMar>
              <w:top w:w="20" w:type="dxa"/>
              <w:left w:w="20" w:type="dxa"/>
              <w:bottom w:w="20" w:type="dxa"/>
              <w:right w:w="20" w:type="dxa"/>
            </w:tcMar>
          </w:tcPr>
          <w:p w14:paraId="7CC651B1" w14:textId="77777777" w:rsidR="00A51CDD" w:rsidRPr="000D67C6" w:rsidRDefault="00BD5DBA" w:rsidP="00A51CD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740</w:t>
            </w:r>
          </w:p>
        </w:tc>
      </w:tr>
      <w:tr w:rsidR="00464E99" w:rsidRPr="000D67C6" w14:paraId="2136F6CD" w14:textId="77777777" w:rsidTr="00B937D4">
        <w:trPr>
          <w:trHeight w:hRule="exact" w:val="300"/>
        </w:trPr>
        <w:tc>
          <w:tcPr>
            <w:tcW w:w="1488" w:type="dxa"/>
            <w:shd w:val="clear" w:color="auto" w:fill="auto"/>
            <w:tcMar>
              <w:top w:w="20" w:type="dxa"/>
              <w:left w:w="20" w:type="dxa"/>
              <w:bottom w:w="20" w:type="dxa"/>
              <w:right w:w="20" w:type="dxa"/>
            </w:tcMar>
          </w:tcPr>
          <w:p w14:paraId="26E26D9D"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237" w:type="dxa"/>
            <w:shd w:val="clear" w:color="auto" w:fill="auto"/>
            <w:tcMar>
              <w:top w:w="20" w:type="dxa"/>
              <w:left w:w="20" w:type="dxa"/>
              <w:bottom w:w="20" w:type="dxa"/>
              <w:right w:w="20" w:type="dxa"/>
            </w:tcMar>
          </w:tcPr>
          <w:p w14:paraId="5793DA07"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shd w:val="clear" w:color="auto" w:fill="auto"/>
            <w:tcMar>
              <w:top w:w="20" w:type="dxa"/>
              <w:left w:w="20" w:type="dxa"/>
              <w:bottom w:w="20" w:type="dxa"/>
              <w:right w:w="20" w:type="dxa"/>
            </w:tcMar>
          </w:tcPr>
          <w:p w14:paraId="5E202F02" w14:textId="77777777" w:rsidR="00464E99" w:rsidRPr="000D67C6" w:rsidRDefault="008F013B" w:rsidP="008F013B">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shd w:val="clear" w:color="auto" w:fill="auto"/>
            <w:tcMar>
              <w:top w:w="20" w:type="dxa"/>
              <w:left w:w="20" w:type="dxa"/>
              <w:bottom w:w="20" w:type="dxa"/>
              <w:right w:w="20" w:type="dxa"/>
            </w:tcMar>
          </w:tcPr>
          <w:p w14:paraId="13B85238" w14:textId="77777777" w:rsidR="00464E99" w:rsidRPr="000D67C6" w:rsidRDefault="00464E99" w:rsidP="008F013B">
            <w:pPr>
              <w:pStyle w:val="T1TableStyle"/>
              <w:jc w:val="center"/>
              <w:rPr>
                <w:rFonts w:ascii="Arial" w:eastAsia="Verdana" w:hAnsi="Arial" w:cs="Arial"/>
                <w:b/>
                <w:sz w:val="22"/>
                <w:szCs w:val="22"/>
                <w:lang w:val="pt-BR"/>
              </w:rPr>
            </w:pPr>
          </w:p>
        </w:tc>
      </w:tr>
      <w:tr w:rsidR="00464E99" w:rsidRPr="000D67C6" w14:paraId="70396D79" w14:textId="77777777" w:rsidTr="00B937D4">
        <w:trPr>
          <w:trHeight w:val="300"/>
        </w:trPr>
        <w:tc>
          <w:tcPr>
            <w:tcW w:w="8931" w:type="dxa"/>
            <w:gridSpan w:val="4"/>
            <w:shd w:val="clear" w:color="auto" w:fill="auto"/>
            <w:tcMar>
              <w:top w:w="20" w:type="dxa"/>
              <w:left w:w="20" w:type="dxa"/>
              <w:bottom w:w="20" w:type="dxa"/>
              <w:right w:w="20" w:type="dxa"/>
            </w:tcMar>
            <w:vAlign w:val="bottom"/>
          </w:tcPr>
          <w:p w14:paraId="54A6E2C0" w14:textId="77777777" w:rsidR="00464E99" w:rsidRPr="000D67C6" w:rsidRDefault="008F013B" w:rsidP="008F013B">
            <w:pPr>
              <w:pStyle w:val="T1TableStyle"/>
              <w:rPr>
                <w:rFonts w:ascii="Arial" w:eastAsia="Verdana" w:hAnsi="Arial" w:cs="Arial"/>
                <w:sz w:val="22"/>
                <w:szCs w:val="22"/>
                <w:lang w:val="pt-BR"/>
              </w:rPr>
            </w:pPr>
            <w:r w:rsidRPr="000D67C6">
              <w:rPr>
                <w:rFonts w:ascii="Arial" w:eastAsia="Verdana" w:hAnsi="Arial" w:cs="Arial"/>
                <w:sz w:val="22"/>
                <w:szCs w:val="22"/>
                <w:lang w:val="pt-BR"/>
              </w:rPr>
              <w:t>The surplus or deficit on the provision of services has been adjusted for the following non-cash movements:</w:t>
            </w:r>
          </w:p>
          <w:p w14:paraId="2155B625" w14:textId="77777777" w:rsidR="00887C7E" w:rsidRPr="000D67C6" w:rsidRDefault="00887C7E" w:rsidP="008F013B">
            <w:pPr>
              <w:pStyle w:val="T1TableStyle"/>
              <w:rPr>
                <w:rFonts w:ascii="Arial" w:eastAsia="Verdana" w:hAnsi="Arial" w:cs="Arial"/>
                <w:sz w:val="22"/>
                <w:szCs w:val="22"/>
                <w:lang w:val="pt-BR"/>
              </w:rPr>
            </w:pPr>
          </w:p>
        </w:tc>
      </w:tr>
      <w:tr w:rsidR="00464E99" w:rsidRPr="000D67C6" w14:paraId="3901A117" w14:textId="77777777" w:rsidTr="00B937D4">
        <w:trPr>
          <w:trHeight w:val="300"/>
        </w:trPr>
        <w:tc>
          <w:tcPr>
            <w:tcW w:w="1488" w:type="dxa"/>
            <w:shd w:val="clear" w:color="auto" w:fill="auto"/>
            <w:tcMar>
              <w:top w:w="20" w:type="dxa"/>
              <w:left w:w="20" w:type="dxa"/>
              <w:bottom w:w="20" w:type="dxa"/>
              <w:right w:w="20" w:type="dxa"/>
            </w:tcMar>
            <w:vAlign w:val="bottom"/>
          </w:tcPr>
          <w:p w14:paraId="6629B876" w14:textId="77777777" w:rsidR="00464E99" w:rsidRPr="000D67C6" w:rsidRDefault="00774A2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237" w:type="dxa"/>
            <w:shd w:val="clear" w:color="auto" w:fill="auto"/>
            <w:tcMar>
              <w:top w:w="20" w:type="dxa"/>
              <w:left w:w="20" w:type="dxa"/>
              <w:bottom w:w="20" w:type="dxa"/>
              <w:right w:w="20" w:type="dxa"/>
            </w:tcMar>
            <w:vAlign w:val="bottom"/>
          </w:tcPr>
          <w:p w14:paraId="69966A4B" w14:textId="77777777" w:rsidR="00464E99" w:rsidRPr="000D67C6" w:rsidRDefault="00464E99" w:rsidP="008F013B">
            <w:pPr>
              <w:pStyle w:val="T1TableStyle"/>
              <w:rPr>
                <w:rFonts w:ascii="Arial" w:eastAsia="Verdana" w:hAnsi="Arial" w:cs="Arial"/>
                <w:sz w:val="22"/>
                <w:szCs w:val="22"/>
                <w:lang w:val="pt-BR"/>
              </w:rPr>
            </w:pPr>
          </w:p>
        </w:tc>
        <w:tc>
          <w:tcPr>
            <w:tcW w:w="5930" w:type="dxa"/>
            <w:shd w:val="clear" w:color="auto" w:fill="auto"/>
            <w:tcMar>
              <w:top w:w="20" w:type="dxa"/>
              <w:left w:w="20" w:type="dxa"/>
              <w:bottom w:w="20" w:type="dxa"/>
              <w:right w:w="20" w:type="dxa"/>
            </w:tcMar>
            <w:vAlign w:val="bottom"/>
          </w:tcPr>
          <w:p w14:paraId="4A78C0DF" w14:textId="77777777" w:rsidR="00464E99" w:rsidRPr="000D67C6" w:rsidRDefault="00464E99" w:rsidP="008F013B">
            <w:pPr>
              <w:pStyle w:val="T1TableStyle"/>
              <w:rPr>
                <w:rFonts w:ascii="Arial" w:eastAsia="Verdana" w:hAnsi="Arial" w:cs="Arial"/>
                <w:sz w:val="22"/>
                <w:szCs w:val="22"/>
                <w:lang w:val="pt-BR"/>
              </w:rPr>
            </w:pPr>
          </w:p>
        </w:tc>
        <w:tc>
          <w:tcPr>
            <w:tcW w:w="1276" w:type="dxa"/>
            <w:shd w:val="clear" w:color="auto" w:fill="auto"/>
            <w:tcMar>
              <w:top w:w="20" w:type="dxa"/>
              <w:left w:w="20" w:type="dxa"/>
              <w:bottom w:w="20" w:type="dxa"/>
              <w:right w:w="20" w:type="dxa"/>
            </w:tcMar>
            <w:vAlign w:val="bottom"/>
          </w:tcPr>
          <w:p w14:paraId="158C0DFF" w14:textId="77777777" w:rsidR="00464E99" w:rsidRPr="000D67C6" w:rsidRDefault="00774A2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9</w:t>
            </w:r>
          </w:p>
        </w:tc>
      </w:tr>
      <w:tr w:rsidR="00464E99" w:rsidRPr="000D67C6" w14:paraId="6F99143F" w14:textId="77777777" w:rsidTr="00B937D4">
        <w:trPr>
          <w:trHeight w:val="300"/>
        </w:trPr>
        <w:tc>
          <w:tcPr>
            <w:tcW w:w="1488" w:type="dxa"/>
            <w:tcBorders>
              <w:bottom w:val="single" w:sz="2" w:space="0" w:color="000000"/>
            </w:tcBorders>
            <w:shd w:val="clear" w:color="auto" w:fill="auto"/>
            <w:tcMar>
              <w:top w:w="20" w:type="dxa"/>
              <w:left w:w="20" w:type="dxa"/>
              <w:bottom w:w="20" w:type="dxa"/>
              <w:right w:w="20" w:type="dxa"/>
            </w:tcMar>
          </w:tcPr>
          <w:p w14:paraId="0E8DC4B4"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37" w:type="dxa"/>
            <w:tcBorders>
              <w:bottom w:val="single" w:sz="2" w:space="0" w:color="000000"/>
            </w:tcBorders>
            <w:shd w:val="clear" w:color="auto" w:fill="auto"/>
            <w:tcMar>
              <w:top w:w="20" w:type="dxa"/>
              <w:left w:w="20" w:type="dxa"/>
              <w:bottom w:w="20" w:type="dxa"/>
              <w:right w:w="20" w:type="dxa"/>
            </w:tcMar>
          </w:tcPr>
          <w:p w14:paraId="6FBFDC98"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tcBorders>
              <w:bottom w:val="single" w:sz="2" w:space="0" w:color="000000"/>
            </w:tcBorders>
            <w:shd w:val="clear" w:color="auto" w:fill="auto"/>
            <w:tcMar>
              <w:top w:w="20" w:type="dxa"/>
              <w:left w:w="20" w:type="dxa"/>
              <w:bottom w:w="20" w:type="dxa"/>
              <w:right w:w="20" w:type="dxa"/>
            </w:tcMar>
          </w:tcPr>
          <w:p w14:paraId="2E7E9DB1"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4A746D7C"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255EF" w:rsidRPr="000D67C6" w14:paraId="3C5265EC" w14:textId="77777777" w:rsidTr="000B2098">
        <w:trPr>
          <w:trHeight w:val="414"/>
        </w:trPr>
        <w:tc>
          <w:tcPr>
            <w:tcW w:w="1488" w:type="dxa"/>
            <w:shd w:val="clear" w:color="auto" w:fill="auto"/>
            <w:tcMar>
              <w:top w:w="20" w:type="dxa"/>
              <w:left w:w="20" w:type="dxa"/>
              <w:bottom w:w="20" w:type="dxa"/>
              <w:right w:w="20" w:type="dxa"/>
            </w:tcMar>
            <w:vAlign w:val="center"/>
          </w:tcPr>
          <w:p w14:paraId="5EAAABCC"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(2,702)</w:t>
            </w:r>
          </w:p>
        </w:tc>
        <w:tc>
          <w:tcPr>
            <w:tcW w:w="237" w:type="dxa"/>
            <w:shd w:val="clear" w:color="auto" w:fill="auto"/>
            <w:tcMar>
              <w:top w:w="20" w:type="dxa"/>
              <w:left w:w="20" w:type="dxa"/>
              <w:bottom w:w="20" w:type="dxa"/>
              <w:right w:w="20" w:type="dxa"/>
            </w:tcMar>
            <w:vAlign w:val="center"/>
          </w:tcPr>
          <w:p w14:paraId="548D9523"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569F4C5C"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Depreciation</w:t>
            </w:r>
          </w:p>
        </w:tc>
        <w:tc>
          <w:tcPr>
            <w:tcW w:w="1276" w:type="dxa"/>
            <w:shd w:val="clear" w:color="auto" w:fill="auto"/>
            <w:tcMar>
              <w:top w:w="20" w:type="dxa"/>
              <w:left w:w="20" w:type="dxa"/>
              <w:bottom w:w="20" w:type="dxa"/>
              <w:right w:w="20" w:type="dxa"/>
            </w:tcMar>
            <w:vAlign w:val="center"/>
          </w:tcPr>
          <w:p w14:paraId="38414DCC" w14:textId="77EA98A0" w:rsidR="00A255EF" w:rsidRPr="000D67C6" w:rsidRDefault="00BD5DB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w:t>
            </w:r>
            <w:r w:rsidR="00592FD4" w:rsidRPr="000D67C6">
              <w:rPr>
                <w:rFonts w:ascii="Arial" w:eastAsia="Verdana" w:hAnsi="Arial" w:cs="Arial"/>
                <w:sz w:val="22"/>
                <w:szCs w:val="22"/>
                <w:lang w:val="pt-BR"/>
              </w:rPr>
              <w:t>78</w:t>
            </w:r>
            <w:r w:rsidR="00B47405" w:rsidRPr="000D67C6">
              <w:rPr>
                <w:rFonts w:ascii="Arial" w:eastAsia="Verdana" w:hAnsi="Arial" w:cs="Arial"/>
                <w:sz w:val="22"/>
                <w:szCs w:val="22"/>
                <w:lang w:val="pt-BR"/>
              </w:rPr>
              <w:t>4</w:t>
            </w:r>
            <w:r w:rsidRPr="000D67C6">
              <w:rPr>
                <w:rFonts w:ascii="Arial" w:eastAsia="Verdana" w:hAnsi="Arial" w:cs="Arial"/>
                <w:sz w:val="22"/>
                <w:szCs w:val="22"/>
                <w:lang w:val="pt-BR"/>
              </w:rPr>
              <w:t>)</w:t>
            </w:r>
          </w:p>
        </w:tc>
      </w:tr>
      <w:tr w:rsidR="00A255EF" w:rsidRPr="000D67C6" w14:paraId="352143C1" w14:textId="77777777" w:rsidTr="000B2098">
        <w:trPr>
          <w:trHeight w:val="414"/>
        </w:trPr>
        <w:tc>
          <w:tcPr>
            <w:tcW w:w="1488" w:type="dxa"/>
            <w:shd w:val="clear" w:color="auto" w:fill="auto"/>
            <w:tcMar>
              <w:top w:w="20" w:type="dxa"/>
              <w:left w:w="20" w:type="dxa"/>
              <w:bottom w:w="20" w:type="dxa"/>
              <w:right w:w="20" w:type="dxa"/>
            </w:tcMar>
            <w:vAlign w:val="center"/>
          </w:tcPr>
          <w:p w14:paraId="401CEE45"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(30)</w:t>
            </w:r>
          </w:p>
        </w:tc>
        <w:tc>
          <w:tcPr>
            <w:tcW w:w="237" w:type="dxa"/>
            <w:shd w:val="clear" w:color="auto" w:fill="auto"/>
            <w:tcMar>
              <w:top w:w="20" w:type="dxa"/>
              <w:left w:w="20" w:type="dxa"/>
              <w:bottom w:w="20" w:type="dxa"/>
              <w:right w:w="20" w:type="dxa"/>
            </w:tcMar>
            <w:vAlign w:val="center"/>
          </w:tcPr>
          <w:p w14:paraId="30ED973F"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25D01EFC"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Impairment and downward valuations</w:t>
            </w:r>
          </w:p>
        </w:tc>
        <w:tc>
          <w:tcPr>
            <w:tcW w:w="1276" w:type="dxa"/>
            <w:shd w:val="clear" w:color="auto" w:fill="auto"/>
            <w:tcMar>
              <w:top w:w="20" w:type="dxa"/>
              <w:left w:w="20" w:type="dxa"/>
              <w:bottom w:w="20" w:type="dxa"/>
              <w:right w:w="20" w:type="dxa"/>
            </w:tcMar>
            <w:vAlign w:val="center"/>
          </w:tcPr>
          <w:p w14:paraId="3C416DE2" w14:textId="4D9AD43F" w:rsidR="00A255EF" w:rsidRPr="000D67C6" w:rsidRDefault="00B47405"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(51)</w:t>
            </w:r>
          </w:p>
        </w:tc>
      </w:tr>
      <w:tr w:rsidR="00A255EF" w:rsidRPr="000D67C6" w14:paraId="7324E095" w14:textId="77777777" w:rsidTr="000B2098">
        <w:trPr>
          <w:trHeight w:val="414"/>
        </w:trPr>
        <w:tc>
          <w:tcPr>
            <w:tcW w:w="1488" w:type="dxa"/>
            <w:shd w:val="clear" w:color="auto" w:fill="auto"/>
            <w:tcMar>
              <w:top w:w="20" w:type="dxa"/>
              <w:left w:w="20" w:type="dxa"/>
              <w:bottom w:w="20" w:type="dxa"/>
              <w:right w:w="20" w:type="dxa"/>
            </w:tcMar>
            <w:vAlign w:val="center"/>
          </w:tcPr>
          <w:p w14:paraId="583115FC"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(55)</w:t>
            </w:r>
          </w:p>
        </w:tc>
        <w:tc>
          <w:tcPr>
            <w:tcW w:w="237" w:type="dxa"/>
            <w:shd w:val="clear" w:color="auto" w:fill="auto"/>
            <w:tcMar>
              <w:top w:w="20" w:type="dxa"/>
              <w:left w:w="20" w:type="dxa"/>
              <w:bottom w:w="20" w:type="dxa"/>
              <w:right w:w="20" w:type="dxa"/>
            </w:tcMar>
            <w:vAlign w:val="center"/>
          </w:tcPr>
          <w:p w14:paraId="6E253A56"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253BF49F"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Amortisation</w:t>
            </w:r>
          </w:p>
        </w:tc>
        <w:tc>
          <w:tcPr>
            <w:tcW w:w="1276" w:type="dxa"/>
            <w:shd w:val="clear" w:color="auto" w:fill="auto"/>
            <w:tcMar>
              <w:top w:w="20" w:type="dxa"/>
              <w:left w:w="20" w:type="dxa"/>
              <w:bottom w:w="20" w:type="dxa"/>
              <w:right w:w="20" w:type="dxa"/>
            </w:tcMar>
            <w:vAlign w:val="center"/>
          </w:tcPr>
          <w:p w14:paraId="08244983" w14:textId="77777777" w:rsidR="00A255EF" w:rsidRPr="000D67C6" w:rsidRDefault="00BD5DB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(107)</w:t>
            </w:r>
          </w:p>
        </w:tc>
      </w:tr>
      <w:tr w:rsidR="00A255EF" w:rsidRPr="000D67C6" w14:paraId="2D395FCF" w14:textId="77777777" w:rsidTr="000B2098">
        <w:trPr>
          <w:trHeight w:val="414"/>
        </w:trPr>
        <w:tc>
          <w:tcPr>
            <w:tcW w:w="1488" w:type="dxa"/>
            <w:shd w:val="clear" w:color="auto" w:fill="auto"/>
            <w:tcMar>
              <w:top w:w="20" w:type="dxa"/>
              <w:left w:w="20" w:type="dxa"/>
              <w:bottom w:w="20" w:type="dxa"/>
              <w:right w:w="20" w:type="dxa"/>
            </w:tcMar>
            <w:vAlign w:val="center"/>
          </w:tcPr>
          <w:p w14:paraId="68C8A498"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(1,890)</w:t>
            </w:r>
          </w:p>
        </w:tc>
        <w:tc>
          <w:tcPr>
            <w:tcW w:w="237" w:type="dxa"/>
            <w:shd w:val="clear" w:color="auto" w:fill="auto"/>
            <w:tcMar>
              <w:top w:w="20" w:type="dxa"/>
              <w:left w:w="20" w:type="dxa"/>
              <w:bottom w:w="20" w:type="dxa"/>
              <w:right w:w="20" w:type="dxa"/>
            </w:tcMar>
            <w:vAlign w:val="center"/>
          </w:tcPr>
          <w:p w14:paraId="745F4DC8"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0737E773"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(Increase)/decrease in creditors</w:t>
            </w:r>
          </w:p>
        </w:tc>
        <w:tc>
          <w:tcPr>
            <w:tcW w:w="1276" w:type="dxa"/>
            <w:shd w:val="clear" w:color="auto" w:fill="auto"/>
            <w:tcMar>
              <w:top w:w="20" w:type="dxa"/>
              <w:left w:w="20" w:type="dxa"/>
              <w:bottom w:w="20" w:type="dxa"/>
              <w:right w:w="20" w:type="dxa"/>
            </w:tcMar>
            <w:vAlign w:val="center"/>
          </w:tcPr>
          <w:p w14:paraId="06B6C893" w14:textId="77777777" w:rsidR="00A255EF" w:rsidRPr="000D67C6" w:rsidRDefault="00563C1B"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758</w:t>
            </w:r>
          </w:p>
        </w:tc>
      </w:tr>
      <w:tr w:rsidR="00A255EF" w:rsidRPr="000D67C6" w14:paraId="1DA70425" w14:textId="77777777" w:rsidTr="000B2098">
        <w:trPr>
          <w:trHeight w:val="414"/>
        </w:trPr>
        <w:tc>
          <w:tcPr>
            <w:tcW w:w="1488" w:type="dxa"/>
            <w:shd w:val="clear" w:color="auto" w:fill="auto"/>
            <w:tcMar>
              <w:top w:w="20" w:type="dxa"/>
              <w:left w:w="20" w:type="dxa"/>
              <w:bottom w:w="20" w:type="dxa"/>
              <w:right w:w="20" w:type="dxa"/>
            </w:tcMar>
            <w:vAlign w:val="center"/>
          </w:tcPr>
          <w:p w14:paraId="0D1D48B7"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(759)</w:t>
            </w:r>
          </w:p>
        </w:tc>
        <w:tc>
          <w:tcPr>
            <w:tcW w:w="237" w:type="dxa"/>
            <w:shd w:val="clear" w:color="auto" w:fill="auto"/>
            <w:tcMar>
              <w:top w:w="20" w:type="dxa"/>
              <w:left w:w="20" w:type="dxa"/>
              <w:bottom w:w="20" w:type="dxa"/>
              <w:right w:w="20" w:type="dxa"/>
            </w:tcMar>
            <w:vAlign w:val="center"/>
          </w:tcPr>
          <w:p w14:paraId="377B5705"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11C619AF"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Increase/(decrease) in debtors</w:t>
            </w:r>
          </w:p>
        </w:tc>
        <w:tc>
          <w:tcPr>
            <w:tcW w:w="1276" w:type="dxa"/>
            <w:shd w:val="clear" w:color="auto" w:fill="auto"/>
            <w:tcMar>
              <w:top w:w="20" w:type="dxa"/>
              <w:left w:w="20" w:type="dxa"/>
              <w:bottom w:w="20" w:type="dxa"/>
              <w:right w:w="20" w:type="dxa"/>
            </w:tcMar>
            <w:vAlign w:val="center"/>
          </w:tcPr>
          <w:p w14:paraId="77D41142" w14:textId="77777777" w:rsidR="00A255EF" w:rsidRPr="000D67C6" w:rsidRDefault="00BD5DB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(1,286)</w:t>
            </w:r>
          </w:p>
        </w:tc>
      </w:tr>
      <w:tr w:rsidR="00A255EF" w:rsidRPr="000D67C6" w14:paraId="2E080264" w14:textId="77777777" w:rsidTr="000B2098">
        <w:trPr>
          <w:trHeight w:val="414"/>
        </w:trPr>
        <w:tc>
          <w:tcPr>
            <w:tcW w:w="1488" w:type="dxa"/>
            <w:shd w:val="clear" w:color="auto" w:fill="auto"/>
            <w:tcMar>
              <w:top w:w="20" w:type="dxa"/>
              <w:left w:w="20" w:type="dxa"/>
              <w:bottom w:w="20" w:type="dxa"/>
              <w:right w:w="20" w:type="dxa"/>
            </w:tcMar>
            <w:vAlign w:val="center"/>
          </w:tcPr>
          <w:p w14:paraId="2B56B9F6"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93</w:t>
            </w:r>
          </w:p>
        </w:tc>
        <w:tc>
          <w:tcPr>
            <w:tcW w:w="237" w:type="dxa"/>
            <w:shd w:val="clear" w:color="auto" w:fill="auto"/>
            <w:tcMar>
              <w:top w:w="20" w:type="dxa"/>
              <w:left w:w="20" w:type="dxa"/>
              <w:bottom w:w="20" w:type="dxa"/>
              <w:right w:w="20" w:type="dxa"/>
            </w:tcMar>
            <w:vAlign w:val="center"/>
          </w:tcPr>
          <w:p w14:paraId="3928E6E3"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712E681B"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Increase/(decrease) in inventories</w:t>
            </w:r>
          </w:p>
        </w:tc>
        <w:tc>
          <w:tcPr>
            <w:tcW w:w="1276" w:type="dxa"/>
            <w:shd w:val="clear" w:color="auto" w:fill="auto"/>
            <w:tcMar>
              <w:top w:w="20" w:type="dxa"/>
              <w:left w:w="20" w:type="dxa"/>
              <w:bottom w:w="20" w:type="dxa"/>
              <w:right w:w="20" w:type="dxa"/>
            </w:tcMar>
            <w:vAlign w:val="center"/>
          </w:tcPr>
          <w:p w14:paraId="1C5CC541" w14:textId="77777777" w:rsidR="00A255EF" w:rsidRPr="000D67C6" w:rsidRDefault="00BD5DB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(22)</w:t>
            </w:r>
          </w:p>
        </w:tc>
      </w:tr>
      <w:tr w:rsidR="00A255EF" w:rsidRPr="000D67C6" w14:paraId="4089D3EC" w14:textId="77777777" w:rsidTr="000B2098">
        <w:trPr>
          <w:trHeight w:val="414"/>
        </w:trPr>
        <w:tc>
          <w:tcPr>
            <w:tcW w:w="1488" w:type="dxa"/>
            <w:shd w:val="clear" w:color="auto" w:fill="auto"/>
            <w:tcMar>
              <w:top w:w="20" w:type="dxa"/>
              <w:left w:w="20" w:type="dxa"/>
              <w:bottom w:w="20" w:type="dxa"/>
              <w:right w:w="20" w:type="dxa"/>
            </w:tcMar>
            <w:vAlign w:val="center"/>
          </w:tcPr>
          <w:p w14:paraId="04507D84"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(10,917)</w:t>
            </w:r>
          </w:p>
        </w:tc>
        <w:tc>
          <w:tcPr>
            <w:tcW w:w="237" w:type="dxa"/>
            <w:shd w:val="clear" w:color="auto" w:fill="auto"/>
            <w:tcMar>
              <w:top w:w="20" w:type="dxa"/>
              <w:left w:w="20" w:type="dxa"/>
              <w:bottom w:w="20" w:type="dxa"/>
              <w:right w:w="20" w:type="dxa"/>
            </w:tcMar>
            <w:vAlign w:val="center"/>
          </w:tcPr>
          <w:p w14:paraId="1EEBD37F"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581D7EDC"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Movement in pension liability</w:t>
            </w:r>
          </w:p>
        </w:tc>
        <w:tc>
          <w:tcPr>
            <w:tcW w:w="1276" w:type="dxa"/>
            <w:shd w:val="clear" w:color="auto" w:fill="auto"/>
            <w:tcMar>
              <w:top w:w="20" w:type="dxa"/>
              <w:left w:w="20" w:type="dxa"/>
              <w:bottom w:w="20" w:type="dxa"/>
              <w:right w:w="20" w:type="dxa"/>
            </w:tcMar>
            <w:vAlign w:val="center"/>
          </w:tcPr>
          <w:p w14:paraId="7E98A1F3" w14:textId="3B368F1D" w:rsidR="00A255EF" w:rsidRPr="000D67C6" w:rsidRDefault="00BD5DB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w:t>
            </w:r>
            <w:r w:rsidR="00A70F43" w:rsidRPr="000D67C6">
              <w:rPr>
                <w:rFonts w:ascii="Arial" w:eastAsia="Verdana" w:hAnsi="Arial" w:cs="Arial"/>
                <w:sz w:val="22"/>
                <w:szCs w:val="22"/>
                <w:lang w:val="pt-BR"/>
              </w:rPr>
              <w:t>3</w:t>
            </w:r>
            <w:r w:rsidR="00E8424E">
              <w:rPr>
                <w:rFonts w:ascii="Arial" w:eastAsia="Verdana" w:hAnsi="Arial" w:cs="Arial"/>
                <w:sz w:val="22"/>
                <w:szCs w:val="22"/>
                <w:lang w:val="pt-BR"/>
              </w:rPr>
              <w:t>7</w:t>
            </w:r>
            <w:r w:rsidR="00A70F43" w:rsidRPr="000D67C6">
              <w:rPr>
                <w:rFonts w:ascii="Arial" w:eastAsia="Verdana" w:hAnsi="Arial" w:cs="Arial"/>
                <w:sz w:val="22"/>
                <w:szCs w:val="22"/>
                <w:lang w:val="pt-BR"/>
              </w:rPr>
              <w:t>,</w:t>
            </w:r>
            <w:r w:rsidR="009B79B2">
              <w:rPr>
                <w:rFonts w:ascii="Arial" w:eastAsia="Verdana" w:hAnsi="Arial" w:cs="Arial"/>
                <w:sz w:val="22"/>
                <w:szCs w:val="22"/>
                <w:lang w:val="pt-BR"/>
              </w:rPr>
              <w:t>2</w:t>
            </w:r>
            <w:r w:rsidR="00A70F43" w:rsidRPr="000D67C6">
              <w:rPr>
                <w:rFonts w:ascii="Arial" w:eastAsia="Verdana" w:hAnsi="Arial" w:cs="Arial"/>
                <w:sz w:val="22"/>
                <w:szCs w:val="22"/>
                <w:lang w:val="pt-BR"/>
              </w:rPr>
              <w:t>60</w:t>
            </w:r>
            <w:r w:rsidRPr="000D67C6">
              <w:rPr>
                <w:rFonts w:ascii="Arial" w:eastAsia="Verdana" w:hAnsi="Arial" w:cs="Arial"/>
                <w:sz w:val="22"/>
                <w:szCs w:val="22"/>
                <w:lang w:val="pt-BR"/>
              </w:rPr>
              <w:t>)</w:t>
            </w:r>
          </w:p>
        </w:tc>
      </w:tr>
      <w:tr w:rsidR="00A255EF" w:rsidRPr="000D67C6" w14:paraId="34114F2F" w14:textId="77777777" w:rsidTr="00EC0D5D">
        <w:trPr>
          <w:trHeight w:val="584"/>
        </w:trPr>
        <w:tc>
          <w:tcPr>
            <w:tcW w:w="1488" w:type="dxa"/>
            <w:shd w:val="clear" w:color="auto" w:fill="auto"/>
            <w:tcMar>
              <w:top w:w="20" w:type="dxa"/>
              <w:left w:w="20" w:type="dxa"/>
              <w:bottom w:w="20" w:type="dxa"/>
              <w:right w:w="20" w:type="dxa"/>
            </w:tcMar>
            <w:vAlign w:val="center"/>
          </w:tcPr>
          <w:p w14:paraId="0293ED43"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237" w:type="dxa"/>
            <w:shd w:val="clear" w:color="auto" w:fill="auto"/>
            <w:tcMar>
              <w:top w:w="20" w:type="dxa"/>
              <w:left w:w="20" w:type="dxa"/>
              <w:bottom w:w="20" w:type="dxa"/>
              <w:right w:w="20" w:type="dxa"/>
            </w:tcMar>
            <w:vAlign w:val="center"/>
          </w:tcPr>
          <w:p w14:paraId="0001E5BB"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63D6E7DD"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Carrying amount of non-current assets and non-current assets held for sale, sold or derecognised</w:t>
            </w:r>
          </w:p>
        </w:tc>
        <w:tc>
          <w:tcPr>
            <w:tcW w:w="1276" w:type="dxa"/>
            <w:shd w:val="clear" w:color="auto" w:fill="auto"/>
            <w:tcMar>
              <w:top w:w="20" w:type="dxa"/>
              <w:left w:w="20" w:type="dxa"/>
              <w:bottom w:w="20" w:type="dxa"/>
              <w:right w:w="20" w:type="dxa"/>
            </w:tcMar>
            <w:vAlign w:val="center"/>
          </w:tcPr>
          <w:p w14:paraId="4689EB36" w14:textId="77777777" w:rsidR="00A255EF" w:rsidRPr="000D67C6" w:rsidRDefault="005E3549"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(146)</w:t>
            </w:r>
          </w:p>
        </w:tc>
      </w:tr>
      <w:tr w:rsidR="00A255EF" w:rsidRPr="000D67C6" w14:paraId="5E37CBDB" w14:textId="77777777" w:rsidTr="00EC0D5D">
        <w:trPr>
          <w:trHeight w:val="584"/>
        </w:trPr>
        <w:tc>
          <w:tcPr>
            <w:tcW w:w="1488" w:type="dxa"/>
            <w:shd w:val="clear" w:color="auto" w:fill="auto"/>
            <w:tcMar>
              <w:top w:w="20" w:type="dxa"/>
              <w:left w:w="20" w:type="dxa"/>
              <w:bottom w:w="20" w:type="dxa"/>
              <w:right w:w="20" w:type="dxa"/>
            </w:tcMar>
            <w:vAlign w:val="center"/>
          </w:tcPr>
          <w:p w14:paraId="17178C61"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237" w:type="dxa"/>
            <w:shd w:val="clear" w:color="auto" w:fill="auto"/>
            <w:tcMar>
              <w:top w:w="20" w:type="dxa"/>
              <w:left w:w="20" w:type="dxa"/>
              <w:bottom w:w="20" w:type="dxa"/>
              <w:right w:w="20" w:type="dxa"/>
            </w:tcMar>
            <w:vAlign w:val="center"/>
          </w:tcPr>
          <w:p w14:paraId="7D711198"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75BCE26F"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Other non-cash movements charged to the surplus or deficit on provision of services</w:t>
            </w:r>
          </w:p>
        </w:tc>
        <w:tc>
          <w:tcPr>
            <w:tcW w:w="1276" w:type="dxa"/>
            <w:shd w:val="clear" w:color="auto" w:fill="auto"/>
            <w:tcMar>
              <w:top w:w="20" w:type="dxa"/>
              <w:left w:w="20" w:type="dxa"/>
              <w:bottom w:w="20" w:type="dxa"/>
              <w:right w:w="20" w:type="dxa"/>
            </w:tcMar>
            <w:vAlign w:val="center"/>
          </w:tcPr>
          <w:p w14:paraId="6A47C404" w14:textId="77777777" w:rsidR="00A255EF" w:rsidRPr="000D67C6" w:rsidRDefault="005E3549"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r>
      <w:tr w:rsidR="00A255EF" w:rsidRPr="000D67C6" w14:paraId="38A673C8" w14:textId="77777777" w:rsidTr="000B2098">
        <w:trPr>
          <w:trHeight w:val="414"/>
        </w:trPr>
        <w:tc>
          <w:tcPr>
            <w:tcW w:w="148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D947ACF" w14:textId="77777777" w:rsidR="00A255EF" w:rsidRPr="000D67C6" w:rsidRDefault="00A255EF" w:rsidP="00A255EF">
            <w:pPr>
              <w:pStyle w:val="T1TableStyle"/>
              <w:spacing w:line="259" w:lineRule="auto"/>
              <w:jc w:val="right"/>
              <w:rPr>
                <w:rFonts w:ascii="Arial" w:eastAsia="Verdana" w:hAnsi="Arial" w:cs="Arial"/>
                <w:b/>
                <w:sz w:val="22"/>
                <w:szCs w:val="22"/>
                <w:lang w:val="pt-BR"/>
              </w:rPr>
            </w:pPr>
            <w:r w:rsidRPr="000D67C6">
              <w:rPr>
                <w:rFonts w:ascii="Arial" w:eastAsia="Verdana" w:hAnsi="Arial" w:cs="Arial"/>
                <w:b/>
                <w:sz w:val="22"/>
                <w:szCs w:val="22"/>
                <w:lang w:val="pt-BR"/>
              </w:rPr>
              <w:t>(16,260)</w:t>
            </w:r>
          </w:p>
        </w:tc>
        <w:tc>
          <w:tcPr>
            <w:tcW w:w="23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4382067" w14:textId="77777777" w:rsidR="00A255EF" w:rsidRPr="000D67C6" w:rsidRDefault="00A255EF" w:rsidP="00A255EF">
            <w:pPr>
              <w:pStyle w:val="T1TableStyle"/>
              <w:spacing w:line="259" w:lineRule="auto"/>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83FFB04" w14:textId="77777777" w:rsidR="00A255EF" w:rsidRPr="000D67C6" w:rsidRDefault="00A255EF" w:rsidP="00A255EF">
            <w:pPr>
              <w:pStyle w:val="T1TableStyle"/>
              <w:spacing w:line="259" w:lineRule="auto"/>
              <w:rPr>
                <w:rFonts w:ascii="Arial" w:eastAsia="Verdana" w:hAnsi="Arial" w:cs="Arial"/>
                <w:b/>
                <w:sz w:val="22"/>
                <w:szCs w:val="22"/>
                <w:lang w:val="pt-BR"/>
              </w:rPr>
            </w:pPr>
            <w:r w:rsidRPr="000D67C6">
              <w:rPr>
                <w:rFonts w:ascii="Arial" w:eastAsia="Verdana" w:hAnsi="Arial" w:cs="Arial"/>
                <w:b/>
                <w:sz w:val="22"/>
                <w:szCs w:val="22"/>
                <w:lang w:val="pt-BR"/>
              </w:rPr>
              <w:t>Total</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98D9C00" w14:textId="774FC1F3" w:rsidR="00A255EF" w:rsidRPr="000D67C6" w:rsidRDefault="005E3549" w:rsidP="00A255EF">
            <w:pPr>
              <w:pStyle w:val="T1TableStyle"/>
              <w:spacing w:line="259" w:lineRule="auto"/>
              <w:jc w:val="right"/>
              <w:rPr>
                <w:rFonts w:ascii="Arial" w:eastAsia="Verdana" w:hAnsi="Arial" w:cs="Arial"/>
                <w:b/>
                <w:sz w:val="22"/>
                <w:szCs w:val="22"/>
                <w:lang w:val="pt-BR"/>
              </w:rPr>
            </w:pPr>
            <w:r w:rsidRPr="000D67C6">
              <w:rPr>
                <w:rFonts w:ascii="Arial" w:eastAsia="Verdana" w:hAnsi="Arial" w:cs="Arial"/>
                <w:b/>
                <w:sz w:val="22"/>
                <w:szCs w:val="22"/>
                <w:lang w:val="pt-BR"/>
              </w:rPr>
              <w:t>(</w:t>
            </w:r>
            <w:r w:rsidR="00A41C02">
              <w:rPr>
                <w:rFonts w:ascii="Arial" w:eastAsia="Verdana" w:hAnsi="Arial" w:cs="Arial"/>
                <w:b/>
                <w:sz w:val="22"/>
                <w:szCs w:val="22"/>
                <w:lang w:val="pt-BR"/>
              </w:rPr>
              <w:t>40</w:t>
            </w:r>
            <w:r w:rsidR="00FD0518" w:rsidRPr="000D67C6">
              <w:rPr>
                <w:rFonts w:ascii="Arial" w:eastAsia="Verdana" w:hAnsi="Arial" w:cs="Arial"/>
                <w:b/>
                <w:sz w:val="22"/>
                <w:szCs w:val="22"/>
                <w:lang w:val="pt-BR"/>
              </w:rPr>
              <w:t>,</w:t>
            </w:r>
            <w:r w:rsidR="00EC0D5D">
              <w:rPr>
                <w:rFonts w:ascii="Arial" w:eastAsia="Verdana" w:hAnsi="Arial" w:cs="Arial"/>
                <w:b/>
                <w:sz w:val="22"/>
                <w:szCs w:val="22"/>
                <w:lang w:val="pt-BR"/>
              </w:rPr>
              <w:t>8</w:t>
            </w:r>
            <w:r w:rsidR="00FD0518" w:rsidRPr="000D67C6">
              <w:rPr>
                <w:rFonts w:ascii="Arial" w:eastAsia="Verdana" w:hAnsi="Arial" w:cs="Arial"/>
                <w:b/>
                <w:sz w:val="22"/>
                <w:szCs w:val="22"/>
                <w:lang w:val="pt-BR"/>
              </w:rPr>
              <w:t>98</w:t>
            </w:r>
            <w:r w:rsidRPr="000D67C6">
              <w:rPr>
                <w:rFonts w:ascii="Arial" w:eastAsia="Verdana" w:hAnsi="Arial" w:cs="Arial"/>
                <w:b/>
                <w:sz w:val="22"/>
                <w:szCs w:val="22"/>
                <w:lang w:val="pt-BR"/>
              </w:rPr>
              <w:t>)</w:t>
            </w:r>
          </w:p>
        </w:tc>
      </w:tr>
      <w:tr w:rsidR="00464E99" w:rsidRPr="000D67C6" w14:paraId="535B4FEF" w14:textId="77777777" w:rsidTr="00B937D4">
        <w:trPr>
          <w:trHeight w:val="480"/>
        </w:trPr>
        <w:tc>
          <w:tcPr>
            <w:tcW w:w="8931" w:type="dxa"/>
            <w:gridSpan w:val="4"/>
            <w:shd w:val="clear" w:color="auto" w:fill="auto"/>
            <w:tcMar>
              <w:top w:w="20" w:type="dxa"/>
              <w:left w:w="20" w:type="dxa"/>
              <w:bottom w:w="20" w:type="dxa"/>
              <w:right w:w="20" w:type="dxa"/>
            </w:tcMar>
            <w:vAlign w:val="bottom"/>
          </w:tcPr>
          <w:p w14:paraId="64B499F1" w14:textId="77777777" w:rsidR="00887C7E" w:rsidRPr="000D67C6" w:rsidRDefault="00887C7E" w:rsidP="008C6811">
            <w:pPr>
              <w:pStyle w:val="T1TableStyle"/>
              <w:spacing w:line="259" w:lineRule="auto"/>
              <w:rPr>
                <w:rFonts w:ascii="Arial" w:eastAsia="Verdana" w:hAnsi="Arial" w:cs="Arial"/>
                <w:sz w:val="22"/>
                <w:szCs w:val="22"/>
                <w:lang w:val="pt-BR"/>
              </w:rPr>
            </w:pPr>
          </w:p>
          <w:p w14:paraId="7F82AE07" w14:textId="77777777" w:rsidR="00887C7E" w:rsidRPr="000D67C6" w:rsidRDefault="008F013B" w:rsidP="00E146A7">
            <w:pPr>
              <w:pStyle w:val="T1TableStyle"/>
              <w:spacing w:line="259" w:lineRule="auto"/>
              <w:rPr>
                <w:rFonts w:ascii="Arial" w:eastAsia="Verdana" w:hAnsi="Arial" w:cs="Arial"/>
                <w:sz w:val="22"/>
                <w:szCs w:val="22"/>
                <w:lang w:val="pt-BR"/>
              </w:rPr>
            </w:pPr>
            <w:r w:rsidRPr="000D67C6">
              <w:rPr>
                <w:rFonts w:ascii="Arial" w:eastAsia="Verdana" w:hAnsi="Arial" w:cs="Arial"/>
                <w:sz w:val="22"/>
                <w:szCs w:val="22"/>
                <w:lang w:val="pt-BR"/>
              </w:rPr>
              <w:t>The surplus or deficit on the provision of services has been adjusted for the following items which are investing and financing activities:</w:t>
            </w:r>
          </w:p>
        </w:tc>
      </w:tr>
      <w:tr w:rsidR="00464E99" w:rsidRPr="000D67C6" w14:paraId="4630677A" w14:textId="77777777" w:rsidTr="00B937D4">
        <w:trPr>
          <w:trHeight w:val="300"/>
        </w:trPr>
        <w:tc>
          <w:tcPr>
            <w:tcW w:w="1488" w:type="dxa"/>
            <w:shd w:val="clear" w:color="auto" w:fill="auto"/>
            <w:tcMar>
              <w:top w:w="20" w:type="dxa"/>
              <w:left w:w="20" w:type="dxa"/>
              <w:bottom w:w="20" w:type="dxa"/>
              <w:right w:w="20" w:type="dxa"/>
            </w:tcMar>
            <w:vAlign w:val="bottom"/>
          </w:tcPr>
          <w:p w14:paraId="7116545F" w14:textId="77777777" w:rsidR="00D51CF9" w:rsidRPr="000D67C6" w:rsidRDefault="00D51CF9" w:rsidP="00774A2D">
            <w:pPr>
              <w:pStyle w:val="T1TableStyle"/>
              <w:jc w:val="right"/>
              <w:rPr>
                <w:rFonts w:ascii="Arial" w:eastAsia="Verdana" w:hAnsi="Arial" w:cs="Arial"/>
                <w:b/>
                <w:sz w:val="22"/>
                <w:szCs w:val="22"/>
                <w:lang w:val="pt-BR"/>
              </w:rPr>
            </w:pPr>
          </w:p>
          <w:p w14:paraId="00AFA478" w14:textId="77777777" w:rsidR="00464E99" w:rsidRPr="000D67C6" w:rsidRDefault="00A51CD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237" w:type="dxa"/>
            <w:shd w:val="clear" w:color="auto" w:fill="auto"/>
            <w:tcMar>
              <w:top w:w="20" w:type="dxa"/>
              <w:left w:w="20" w:type="dxa"/>
              <w:bottom w:w="20" w:type="dxa"/>
              <w:right w:w="20" w:type="dxa"/>
            </w:tcMar>
            <w:vAlign w:val="bottom"/>
          </w:tcPr>
          <w:p w14:paraId="6D454F0E" w14:textId="77777777" w:rsidR="00464E99" w:rsidRPr="000D67C6" w:rsidRDefault="00464E99" w:rsidP="008F013B">
            <w:pPr>
              <w:pStyle w:val="T1TableStyle"/>
              <w:rPr>
                <w:rFonts w:ascii="Arial" w:eastAsia="Verdana" w:hAnsi="Arial" w:cs="Arial"/>
                <w:sz w:val="22"/>
                <w:szCs w:val="22"/>
                <w:lang w:val="pt-BR"/>
              </w:rPr>
            </w:pPr>
          </w:p>
        </w:tc>
        <w:tc>
          <w:tcPr>
            <w:tcW w:w="5930" w:type="dxa"/>
            <w:shd w:val="clear" w:color="auto" w:fill="auto"/>
            <w:tcMar>
              <w:top w:w="20" w:type="dxa"/>
              <w:left w:w="20" w:type="dxa"/>
              <w:bottom w:w="20" w:type="dxa"/>
              <w:right w:w="20" w:type="dxa"/>
            </w:tcMar>
            <w:vAlign w:val="bottom"/>
          </w:tcPr>
          <w:p w14:paraId="16F6C686" w14:textId="77777777" w:rsidR="00464E99" w:rsidRPr="000D67C6" w:rsidRDefault="00464E99" w:rsidP="008F013B">
            <w:pPr>
              <w:pStyle w:val="T1TableStyle"/>
              <w:rPr>
                <w:rFonts w:ascii="Arial" w:eastAsia="Verdana" w:hAnsi="Arial" w:cs="Arial"/>
                <w:sz w:val="22"/>
                <w:szCs w:val="22"/>
                <w:lang w:val="pt-BR"/>
              </w:rPr>
            </w:pPr>
          </w:p>
        </w:tc>
        <w:tc>
          <w:tcPr>
            <w:tcW w:w="1276" w:type="dxa"/>
            <w:shd w:val="clear" w:color="auto" w:fill="auto"/>
            <w:tcMar>
              <w:top w:w="20" w:type="dxa"/>
              <w:left w:w="20" w:type="dxa"/>
              <w:bottom w:w="20" w:type="dxa"/>
              <w:right w:w="20" w:type="dxa"/>
            </w:tcMar>
            <w:vAlign w:val="bottom"/>
          </w:tcPr>
          <w:p w14:paraId="142ABA0E" w14:textId="77777777" w:rsidR="00464E99" w:rsidRPr="000D67C6" w:rsidRDefault="00774A2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w:t>
            </w:r>
            <w:r w:rsidR="00A51CDD"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9</w:t>
            </w:r>
          </w:p>
        </w:tc>
      </w:tr>
      <w:tr w:rsidR="00464E99" w:rsidRPr="000D67C6" w14:paraId="5AFE5A2F" w14:textId="77777777" w:rsidTr="00B937D4">
        <w:trPr>
          <w:trHeight w:val="300"/>
        </w:trPr>
        <w:tc>
          <w:tcPr>
            <w:tcW w:w="1488" w:type="dxa"/>
            <w:tcBorders>
              <w:bottom w:val="single" w:sz="2" w:space="0" w:color="000000"/>
            </w:tcBorders>
            <w:shd w:val="clear" w:color="auto" w:fill="auto"/>
            <w:tcMar>
              <w:top w:w="20" w:type="dxa"/>
              <w:left w:w="20" w:type="dxa"/>
              <w:bottom w:w="20" w:type="dxa"/>
              <w:right w:w="20" w:type="dxa"/>
            </w:tcMar>
          </w:tcPr>
          <w:p w14:paraId="49FE9C98"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37" w:type="dxa"/>
            <w:tcBorders>
              <w:bottom w:val="single" w:sz="2" w:space="0" w:color="000000"/>
            </w:tcBorders>
            <w:shd w:val="clear" w:color="auto" w:fill="auto"/>
            <w:tcMar>
              <w:top w:w="20" w:type="dxa"/>
              <w:left w:w="20" w:type="dxa"/>
              <w:bottom w:w="20" w:type="dxa"/>
              <w:right w:w="20" w:type="dxa"/>
            </w:tcMar>
          </w:tcPr>
          <w:p w14:paraId="47CA54ED"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tcBorders>
              <w:bottom w:val="single" w:sz="2" w:space="0" w:color="000000"/>
            </w:tcBorders>
            <w:shd w:val="clear" w:color="auto" w:fill="auto"/>
            <w:tcMar>
              <w:top w:w="20" w:type="dxa"/>
              <w:left w:w="20" w:type="dxa"/>
              <w:bottom w:w="20" w:type="dxa"/>
              <w:right w:w="20" w:type="dxa"/>
            </w:tcMar>
          </w:tcPr>
          <w:p w14:paraId="3828DC8B"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12A18F2D"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255EF" w:rsidRPr="000D67C6" w14:paraId="4CE18D85" w14:textId="77777777" w:rsidTr="000B2098">
        <w:trPr>
          <w:trHeight w:val="534"/>
        </w:trPr>
        <w:tc>
          <w:tcPr>
            <w:tcW w:w="1488" w:type="dxa"/>
            <w:shd w:val="clear" w:color="auto" w:fill="auto"/>
            <w:tcMar>
              <w:top w:w="20" w:type="dxa"/>
              <w:left w:w="20" w:type="dxa"/>
              <w:bottom w:w="20" w:type="dxa"/>
              <w:right w:w="20" w:type="dxa"/>
            </w:tcMar>
            <w:vAlign w:val="center"/>
          </w:tcPr>
          <w:p w14:paraId="6AD696B0"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979</w:t>
            </w:r>
          </w:p>
        </w:tc>
        <w:tc>
          <w:tcPr>
            <w:tcW w:w="237" w:type="dxa"/>
            <w:shd w:val="clear" w:color="auto" w:fill="auto"/>
            <w:tcMar>
              <w:top w:w="20" w:type="dxa"/>
              <w:left w:w="20" w:type="dxa"/>
              <w:bottom w:w="20" w:type="dxa"/>
              <w:right w:w="20" w:type="dxa"/>
            </w:tcMar>
            <w:vAlign w:val="center"/>
          </w:tcPr>
          <w:p w14:paraId="455FC111" w14:textId="77777777" w:rsidR="00A255EF" w:rsidRPr="000D67C6" w:rsidRDefault="00A255EF" w:rsidP="00A255EF">
            <w:pPr>
              <w:pStyle w:val="T1TableStyle"/>
              <w:jc w:val="center"/>
              <w:rPr>
                <w:rFonts w:ascii="Arial" w:eastAsia="Verdana" w:hAnsi="Arial" w:cs="Arial"/>
                <w:sz w:val="22"/>
                <w:szCs w:val="22"/>
                <w:lang w:val="pt-BR"/>
              </w:rPr>
            </w:pPr>
          </w:p>
        </w:tc>
        <w:tc>
          <w:tcPr>
            <w:tcW w:w="5930" w:type="dxa"/>
            <w:shd w:val="clear" w:color="auto" w:fill="auto"/>
            <w:tcMar>
              <w:top w:w="20" w:type="dxa"/>
              <w:left w:w="20" w:type="dxa"/>
              <w:bottom w:w="20" w:type="dxa"/>
              <w:right w:w="20" w:type="dxa"/>
            </w:tcMar>
            <w:vAlign w:val="center"/>
          </w:tcPr>
          <w:p w14:paraId="057E8F02"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Capital Grant / Contributions / Donations Applied</w:t>
            </w:r>
          </w:p>
        </w:tc>
        <w:tc>
          <w:tcPr>
            <w:tcW w:w="1276" w:type="dxa"/>
            <w:shd w:val="clear" w:color="auto" w:fill="auto"/>
            <w:tcMar>
              <w:top w:w="20" w:type="dxa"/>
              <w:left w:w="20" w:type="dxa"/>
              <w:bottom w:w="20" w:type="dxa"/>
              <w:right w:w="20" w:type="dxa"/>
            </w:tcMar>
            <w:vAlign w:val="center"/>
          </w:tcPr>
          <w:p w14:paraId="6340ED6E" w14:textId="77777777" w:rsidR="00A255EF" w:rsidRPr="000D67C6" w:rsidRDefault="00B66EB3"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369</w:t>
            </w:r>
          </w:p>
        </w:tc>
      </w:tr>
      <w:tr w:rsidR="00A255EF" w:rsidRPr="000D67C6" w14:paraId="678B3C6E" w14:textId="77777777" w:rsidTr="000B2098">
        <w:trPr>
          <w:trHeight w:val="534"/>
        </w:trPr>
        <w:tc>
          <w:tcPr>
            <w:tcW w:w="1488" w:type="dxa"/>
            <w:shd w:val="clear" w:color="auto" w:fill="auto"/>
            <w:tcMar>
              <w:top w:w="20" w:type="dxa"/>
              <w:left w:w="20" w:type="dxa"/>
              <w:bottom w:w="20" w:type="dxa"/>
              <w:right w:w="20" w:type="dxa"/>
            </w:tcMar>
            <w:vAlign w:val="center"/>
          </w:tcPr>
          <w:p w14:paraId="03FF0B20"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w:t>
            </w:r>
          </w:p>
        </w:tc>
        <w:tc>
          <w:tcPr>
            <w:tcW w:w="237" w:type="dxa"/>
            <w:shd w:val="clear" w:color="auto" w:fill="auto"/>
            <w:tcMar>
              <w:top w:w="20" w:type="dxa"/>
              <w:left w:w="20" w:type="dxa"/>
              <w:bottom w:w="20" w:type="dxa"/>
              <w:right w:w="20" w:type="dxa"/>
            </w:tcMar>
            <w:vAlign w:val="center"/>
          </w:tcPr>
          <w:p w14:paraId="6A5A7C00"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930" w:type="dxa"/>
            <w:shd w:val="clear" w:color="auto" w:fill="auto"/>
            <w:tcMar>
              <w:top w:w="20" w:type="dxa"/>
              <w:left w:w="20" w:type="dxa"/>
              <w:bottom w:w="20" w:type="dxa"/>
              <w:right w:w="20" w:type="dxa"/>
            </w:tcMar>
            <w:vAlign w:val="center"/>
          </w:tcPr>
          <w:p w14:paraId="2C5400BD"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Proceeds from the sale of property, plant and equipment, investment property and intangible assets</w:t>
            </w:r>
          </w:p>
        </w:tc>
        <w:tc>
          <w:tcPr>
            <w:tcW w:w="1276" w:type="dxa"/>
            <w:shd w:val="clear" w:color="auto" w:fill="auto"/>
            <w:tcMar>
              <w:top w:w="20" w:type="dxa"/>
              <w:left w:w="20" w:type="dxa"/>
              <w:bottom w:w="20" w:type="dxa"/>
              <w:right w:w="20" w:type="dxa"/>
            </w:tcMar>
            <w:vAlign w:val="center"/>
          </w:tcPr>
          <w:p w14:paraId="2DAD2C5A" w14:textId="77777777" w:rsidR="00A255EF" w:rsidRPr="000D67C6" w:rsidRDefault="00B66EB3"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118</w:t>
            </w:r>
          </w:p>
        </w:tc>
      </w:tr>
      <w:tr w:rsidR="00A255EF" w:rsidRPr="000D67C6" w14:paraId="7E3AE06F" w14:textId="77777777" w:rsidTr="000B2098">
        <w:trPr>
          <w:trHeight w:val="448"/>
        </w:trPr>
        <w:tc>
          <w:tcPr>
            <w:tcW w:w="148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39A2997" w14:textId="77777777" w:rsidR="00A255EF" w:rsidRPr="000D67C6" w:rsidRDefault="00A255EF"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1,000</w:t>
            </w:r>
          </w:p>
        </w:tc>
        <w:tc>
          <w:tcPr>
            <w:tcW w:w="23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C3A79B2" w14:textId="77777777" w:rsidR="00A255EF" w:rsidRPr="000D67C6" w:rsidRDefault="00A255EF" w:rsidP="00A255EF">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9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A5B7475" w14:textId="77777777" w:rsidR="00A255EF" w:rsidRPr="000D67C6" w:rsidRDefault="00A255EF"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Total</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18FA1B2" w14:textId="77777777" w:rsidR="00A255EF" w:rsidRPr="000D67C6" w:rsidRDefault="00B66EB3"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487</w:t>
            </w:r>
          </w:p>
        </w:tc>
      </w:tr>
    </w:tbl>
    <w:p w14:paraId="33C0FA10" w14:textId="77777777" w:rsidR="00AE3C6B" w:rsidRPr="000D67C6" w:rsidRDefault="00AE3C6B">
      <w:pPr>
        <w:rPr>
          <w:rFonts w:ascii="Arial" w:eastAsia="Calibri" w:hAnsi="Arial" w:cs="Arial"/>
          <w:sz w:val="22"/>
          <w:szCs w:val="22"/>
          <w:lang w:val="pt-BR"/>
        </w:rPr>
      </w:pPr>
      <w:r w:rsidRPr="000D67C6">
        <w:rPr>
          <w:rFonts w:ascii="Arial" w:eastAsia="Calibri" w:hAnsi="Arial" w:cs="Arial"/>
          <w:sz w:val="22"/>
          <w:szCs w:val="22"/>
          <w:lang w:val="pt-BR"/>
        </w:rPr>
        <w:br w:type="page"/>
      </w:r>
    </w:p>
    <w:p w14:paraId="0D4600DF" w14:textId="77777777" w:rsidR="008F013B" w:rsidRPr="000D67C6" w:rsidRDefault="00373B1D" w:rsidP="008F013B">
      <w:pPr>
        <w:pStyle w:val="Heading1"/>
        <w:spacing w:line="259" w:lineRule="auto"/>
        <w:rPr>
          <w:rFonts w:ascii="Arial" w:hAnsi="Arial" w:cs="Arial"/>
          <w:sz w:val="28"/>
          <w:lang w:val="pt-BR"/>
        </w:rPr>
      </w:pPr>
      <w:r w:rsidRPr="000D67C6">
        <w:rPr>
          <w:rFonts w:ascii="Arial" w:hAnsi="Arial" w:cs="Arial"/>
          <w:sz w:val="28"/>
          <w:lang w:val="pt-BR"/>
        </w:rPr>
        <w:t>N</w:t>
      </w:r>
      <w:r w:rsidR="002F5FB5" w:rsidRPr="000D67C6">
        <w:rPr>
          <w:rFonts w:ascii="Arial" w:hAnsi="Arial" w:cs="Arial"/>
          <w:sz w:val="28"/>
          <w:lang w:val="pt-BR"/>
        </w:rPr>
        <w:t>ote 20</w:t>
      </w:r>
      <w:r w:rsidR="008F013B" w:rsidRPr="000D67C6">
        <w:rPr>
          <w:rFonts w:ascii="Arial" w:hAnsi="Arial" w:cs="Arial"/>
          <w:sz w:val="28"/>
          <w:lang w:val="pt-BR"/>
        </w:rPr>
        <w:t xml:space="preserve"> - Cash Flow from Investing Activities</w:t>
      </w:r>
    </w:p>
    <w:p w14:paraId="519C224F" w14:textId="77777777" w:rsidR="00774A2D" w:rsidRPr="000D67C6" w:rsidRDefault="00774A2D" w:rsidP="00774A2D">
      <w:pPr>
        <w:rPr>
          <w:lang w:val="pt-BR"/>
        </w:rPr>
      </w:pPr>
    </w:p>
    <w:tbl>
      <w:tblPr>
        <w:tblW w:w="0" w:type="auto"/>
        <w:tblLayout w:type="fixed"/>
        <w:tblLook w:val="04A0" w:firstRow="1" w:lastRow="0" w:firstColumn="1" w:lastColumn="0" w:noHBand="0" w:noVBand="1"/>
      </w:tblPr>
      <w:tblGrid>
        <w:gridCol w:w="1545"/>
        <w:gridCol w:w="180"/>
        <w:gridCol w:w="5505"/>
        <w:gridCol w:w="1559"/>
      </w:tblGrid>
      <w:tr w:rsidR="00464E99" w:rsidRPr="000D67C6" w14:paraId="739D4EF4" w14:textId="77777777" w:rsidTr="00887C7E">
        <w:trPr>
          <w:trHeight w:val="300"/>
        </w:trPr>
        <w:tc>
          <w:tcPr>
            <w:tcW w:w="1545" w:type="dxa"/>
            <w:shd w:val="clear" w:color="auto" w:fill="auto"/>
            <w:tcMar>
              <w:top w:w="20" w:type="dxa"/>
              <w:left w:w="20" w:type="dxa"/>
              <w:bottom w:w="20" w:type="dxa"/>
              <w:right w:w="20" w:type="dxa"/>
            </w:tcMar>
            <w:vAlign w:val="bottom"/>
          </w:tcPr>
          <w:p w14:paraId="6DDD0C7C" w14:textId="77777777" w:rsidR="00464E99" w:rsidRPr="000D67C6" w:rsidRDefault="00774A2D"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00137DEB"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180" w:type="dxa"/>
            <w:shd w:val="clear" w:color="auto" w:fill="auto"/>
            <w:tcMar>
              <w:top w:w="20" w:type="dxa"/>
              <w:left w:w="20" w:type="dxa"/>
              <w:bottom w:w="20" w:type="dxa"/>
              <w:right w:w="20" w:type="dxa"/>
            </w:tcMar>
            <w:vAlign w:val="bottom"/>
          </w:tcPr>
          <w:p w14:paraId="5434DE71" w14:textId="77777777" w:rsidR="00464E99" w:rsidRPr="000D67C6" w:rsidRDefault="008F013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505" w:type="dxa"/>
            <w:shd w:val="clear" w:color="auto" w:fill="auto"/>
            <w:tcMar>
              <w:top w:w="20" w:type="dxa"/>
              <w:left w:w="20" w:type="dxa"/>
              <w:bottom w:w="20" w:type="dxa"/>
              <w:right w:w="20" w:type="dxa"/>
            </w:tcMar>
            <w:vAlign w:val="bottom"/>
          </w:tcPr>
          <w:p w14:paraId="0B467663" w14:textId="77777777" w:rsidR="00464E99" w:rsidRPr="000D67C6" w:rsidRDefault="008F013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559" w:type="dxa"/>
            <w:shd w:val="clear" w:color="auto" w:fill="auto"/>
            <w:tcMar>
              <w:top w:w="20" w:type="dxa"/>
              <w:left w:w="20" w:type="dxa"/>
              <w:bottom w:w="20" w:type="dxa"/>
              <w:right w:w="20" w:type="dxa"/>
            </w:tcMar>
            <w:vAlign w:val="bottom"/>
          </w:tcPr>
          <w:p w14:paraId="29386592" w14:textId="77777777" w:rsidR="00464E99" w:rsidRPr="000D67C6" w:rsidRDefault="00137DE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9</w:t>
            </w:r>
          </w:p>
        </w:tc>
      </w:tr>
      <w:tr w:rsidR="00464E99" w:rsidRPr="000D67C6" w14:paraId="3958782E" w14:textId="77777777" w:rsidTr="00887C7E">
        <w:trPr>
          <w:trHeight w:val="300"/>
        </w:trPr>
        <w:tc>
          <w:tcPr>
            <w:tcW w:w="1545" w:type="dxa"/>
            <w:tcBorders>
              <w:bottom w:val="single" w:sz="2" w:space="0" w:color="000000"/>
            </w:tcBorders>
            <w:shd w:val="clear" w:color="auto" w:fill="auto"/>
            <w:tcMar>
              <w:top w:w="20" w:type="dxa"/>
              <w:left w:w="20" w:type="dxa"/>
              <w:bottom w:w="20" w:type="dxa"/>
              <w:right w:w="20" w:type="dxa"/>
            </w:tcMar>
          </w:tcPr>
          <w:p w14:paraId="74EADA54"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70C6B3BC"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505" w:type="dxa"/>
            <w:tcBorders>
              <w:bottom w:val="single" w:sz="2" w:space="0" w:color="000000"/>
            </w:tcBorders>
            <w:shd w:val="clear" w:color="auto" w:fill="auto"/>
            <w:tcMar>
              <w:top w:w="20" w:type="dxa"/>
              <w:left w:w="20" w:type="dxa"/>
              <w:bottom w:w="20" w:type="dxa"/>
              <w:right w:w="20" w:type="dxa"/>
            </w:tcMar>
          </w:tcPr>
          <w:p w14:paraId="11EA30CE"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605F0BE7"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255EF" w:rsidRPr="000D67C6" w14:paraId="44EB55D4" w14:textId="77777777" w:rsidTr="000B2098">
        <w:trPr>
          <w:trHeight w:val="368"/>
        </w:trPr>
        <w:tc>
          <w:tcPr>
            <w:tcW w:w="1545" w:type="dxa"/>
            <w:shd w:val="clear" w:color="auto" w:fill="auto"/>
            <w:tcMar>
              <w:top w:w="20" w:type="dxa"/>
              <w:left w:w="20" w:type="dxa"/>
              <w:bottom w:w="20" w:type="dxa"/>
              <w:right w:w="20" w:type="dxa"/>
            </w:tcMar>
            <w:vAlign w:val="center"/>
          </w:tcPr>
          <w:p w14:paraId="12075FB2"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5,241</w:t>
            </w:r>
          </w:p>
        </w:tc>
        <w:tc>
          <w:tcPr>
            <w:tcW w:w="180" w:type="dxa"/>
            <w:shd w:val="clear" w:color="auto" w:fill="auto"/>
            <w:tcMar>
              <w:top w:w="20" w:type="dxa"/>
              <w:left w:w="20" w:type="dxa"/>
              <w:bottom w:w="20" w:type="dxa"/>
              <w:right w:w="20" w:type="dxa"/>
            </w:tcMar>
            <w:vAlign w:val="center"/>
          </w:tcPr>
          <w:p w14:paraId="3FEEE11E" w14:textId="77777777" w:rsidR="00A255EF" w:rsidRPr="000D67C6" w:rsidRDefault="00A255EF" w:rsidP="00A255EF">
            <w:pPr>
              <w:pStyle w:val="T1TableStyle"/>
              <w:jc w:val="center"/>
              <w:rPr>
                <w:rFonts w:ascii="Arial" w:eastAsia="Verdana" w:hAnsi="Arial" w:cs="Arial"/>
                <w:sz w:val="22"/>
                <w:szCs w:val="22"/>
                <w:lang w:val="pt-BR"/>
              </w:rPr>
            </w:pPr>
          </w:p>
        </w:tc>
        <w:tc>
          <w:tcPr>
            <w:tcW w:w="5505" w:type="dxa"/>
            <w:shd w:val="clear" w:color="auto" w:fill="auto"/>
            <w:tcMar>
              <w:top w:w="20" w:type="dxa"/>
              <w:left w:w="20" w:type="dxa"/>
              <w:bottom w:w="20" w:type="dxa"/>
              <w:right w:w="20" w:type="dxa"/>
            </w:tcMar>
            <w:vAlign w:val="center"/>
          </w:tcPr>
          <w:p w14:paraId="4A3F113E"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Purchase of property, plant and equipment, investment property and intangible assets</w:t>
            </w:r>
          </w:p>
        </w:tc>
        <w:tc>
          <w:tcPr>
            <w:tcW w:w="1559" w:type="dxa"/>
            <w:shd w:val="clear" w:color="auto" w:fill="auto"/>
            <w:tcMar>
              <w:top w:w="20" w:type="dxa"/>
              <w:left w:w="20" w:type="dxa"/>
              <w:bottom w:w="20" w:type="dxa"/>
              <w:right w:w="20" w:type="dxa"/>
            </w:tcMar>
            <w:vAlign w:val="center"/>
          </w:tcPr>
          <w:p w14:paraId="70854D17" w14:textId="77777777" w:rsidR="00A255EF" w:rsidRPr="000D67C6" w:rsidRDefault="00AA3F1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2,384</w:t>
            </w:r>
          </w:p>
        </w:tc>
      </w:tr>
      <w:tr w:rsidR="00A255EF" w:rsidRPr="000D67C6" w14:paraId="7B4698E4" w14:textId="77777777" w:rsidTr="000B2098">
        <w:trPr>
          <w:trHeight w:val="368"/>
        </w:trPr>
        <w:tc>
          <w:tcPr>
            <w:tcW w:w="1545" w:type="dxa"/>
            <w:shd w:val="clear" w:color="auto" w:fill="auto"/>
            <w:tcMar>
              <w:top w:w="20" w:type="dxa"/>
              <w:left w:w="20" w:type="dxa"/>
              <w:bottom w:w="20" w:type="dxa"/>
              <w:right w:w="20" w:type="dxa"/>
            </w:tcMar>
            <w:vAlign w:val="center"/>
          </w:tcPr>
          <w:p w14:paraId="13488434"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w:t>
            </w:r>
          </w:p>
        </w:tc>
        <w:tc>
          <w:tcPr>
            <w:tcW w:w="180" w:type="dxa"/>
            <w:shd w:val="clear" w:color="auto" w:fill="auto"/>
            <w:tcMar>
              <w:top w:w="20" w:type="dxa"/>
              <w:left w:w="20" w:type="dxa"/>
              <w:bottom w:w="20" w:type="dxa"/>
              <w:right w:w="20" w:type="dxa"/>
            </w:tcMar>
            <w:vAlign w:val="center"/>
          </w:tcPr>
          <w:p w14:paraId="60047EBA" w14:textId="77777777" w:rsidR="00A255EF" w:rsidRPr="000D67C6" w:rsidRDefault="00A255EF" w:rsidP="00A255EF">
            <w:pPr>
              <w:pStyle w:val="T1TableStyle"/>
              <w:jc w:val="center"/>
              <w:rPr>
                <w:rFonts w:ascii="Arial" w:eastAsia="Verdana" w:hAnsi="Arial" w:cs="Arial"/>
                <w:sz w:val="22"/>
                <w:szCs w:val="22"/>
                <w:lang w:val="pt-BR"/>
              </w:rPr>
            </w:pPr>
          </w:p>
        </w:tc>
        <w:tc>
          <w:tcPr>
            <w:tcW w:w="5505" w:type="dxa"/>
            <w:shd w:val="clear" w:color="auto" w:fill="auto"/>
            <w:tcMar>
              <w:top w:w="20" w:type="dxa"/>
              <w:left w:w="20" w:type="dxa"/>
              <w:bottom w:w="20" w:type="dxa"/>
              <w:right w:w="20" w:type="dxa"/>
            </w:tcMar>
            <w:vAlign w:val="center"/>
          </w:tcPr>
          <w:p w14:paraId="277E9C7C"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Proceeds from the sale of property, plant and equipment, investment property and intangible assets</w:t>
            </w:r>
          </w:p>
        </w:tc>
        <w:tc>
          <w:tcPr>
            <w:tcW w:w="1559" w:type="dxa"/>
            <w:shd w:val="clear" w:color="auto" w:fill="auto"/>
            <w:tcMar>
              <w:top w:w="20" w:type="dxa"/>
              <w:left w:w="20" w:type="dxa"/>
              <w:bottom w:w="20" w:type="dxa"/>
              <w:right w:w="20" w:type="dxa"/>
            </w:tcMar>
            <w:vAlign w:val="center"/>
          </w:tcPr>
          <w:p w14:paraId="3F45FEA3" w14:textId="77777777" w:rsidR="00A255EF" w:rsidRPr="000D67C6" w:rsidRDefault="00AA3F1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(118)</w:t>
            </w:r>
          </w:p>
        </w:tc>
      </w:tr>
      <w:tr w:rsidR="00A255EF" w:rsidRPr="000D67C6" w14:paraId="69E41E2E" w14:textId="77777777" w:rsidTr="000B2098">
        <w:trPr>
          <w:trHeight w:val="368"/>
        </w:trPr>
        <w:tc>
          <w:tcPr>
            <w:tcW w:w="1545" w:type="dxa"/>
            <w:shd w:val="clear" w:color="auto" w:fill="auto"/>
            <w:tcMar>
              <w:top w:w="20" w:type="dxa"/>
              <w:left w:w="20" w:type="dxa"/>
              <w:bottom w:w="20" w:type="dxa"/>
              <w:right w:w="20" w:type="dxa"/>
            </w:tcMar>
            <w:vAlign w:val="center"/>
          </w:tcPr>
          <w:p w14:paraId="5E644F53"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(103)</w:t>
            </w:r>
          </w:p>
        </w:tc>
        <w:tc>
          <w:tcPr>
            <w:tcW w:w="180" w:type="dxa"/>
            <w:shd w:val="clear" w:color="auto" w:fill="auto"/>
            <w:tcMar>
              <w:top w:w="20" w:type="dxa"/>
              <w:left w:w="20" w:type="dxa"/>
              <w:bottom w:w="20" w:type="dxa"/>
              <w:right w:w="20" w:type="dxa"/>
            </w:tcMar>
            <w:vAlign w:val="center"/>
          </w:tcPr>
          <w:p w14:paraId="4943FD97" w14:textId="77777777" w:rsidR="00A255EF" w:rsidRPr="000D67C6" w:rsidRDefault="00A255EF" w:rsidP="00A255EF">
            <w:pPr>
              <w:pStyle w:val="T1TableStyle"/>
              <w:jc w:val="center"/>
              <w:rPr>
                <w:rFonts w:ascii="Arial" w:eastAsia="Verdana" w:hAnsi="Arial" w:cs="Arial"/>
                <w:sz w:val="22"/>
                <w:szCs w:val="22"/>
                <w:lang w:val="pt-BR"/>
              </w:rPr>
            </w:pPr>
          </w:p>
        </w:tc>
        <w:tc>
          <w:tcPr>
            <w:tcW w:w="5505" w:type="dxa"/>
            <w:shd w:val="clear" w:color="auto" w:fill="auto"/>
            <w:tcMar>
              <w:top w:w="20" w:type="dxa"/>
              <w:left w:w="20" w:type="dxa"/>
              <w:bottom w:w="20" w:type="dxa"/>
              <w:right w:w="20" w:type="dxa"/>
            </w:tcMar>
            <w:vAlign w:val="center"/>
          </w:tcPr>
          <w:p w14:paraId="50646CE9"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Other receipts for investing activities</w:t>
            </w:r>
          </w:p>
        </w:tc>
        <w:tc>
          <w:tcPr>
            <w:tcW w:w="1559" w:type="dxa"/>
            <w:shd w:val="clear" w:color="auto" w:fill="auto"/>
            <w:tcMar>
              <w:top w:w="20" w:type="dxa"/>
              <w:left w:w="20" w:type="dxa"/>
              <w:bottom w:w="20" w:type="dxa"/>
              <w:right w:w="20" w:type="dxa"/>
            </w:tcMar>
            <w:vAlign w:val="center"/>
          </w:tcPr>
          <w:p w14:paraId="37B3056E" w14:textId="77777777" w:rsidR="00A255EF" w:rsidRPr="000D67C6" w:rsidRDefault="00AA3F1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(40)</w:t>
            </w:r>
          </w:p>
        </w:tc>
      </w:tr>
      <w:tr w:rsidR="00A255EF" w:rsidRPr="000D67C6" w14:paraId="35053255" w14:textId="77777777" w:rsidTr="000B2098">
        <w:trPr>
          <w:trHeight w:val="368"/>
        </w:trPr>
        <w:tc>
          <w:tcPr>
            <w:tcW w:w="1545" w:type="dxa"/>
            <w:shd w:val="clear" w:color="auto" w:fill="auto"/>
            <w:tcMar>
              <w:top w:w="20" w:type="dxa"/>
              <w:left w:w="20" w:type="dxa"/>
              <w:bottom w:w="20" w:type="dxa"/>
              <w:right w:w="20" w:type="dxa"/>
            </w:tcMar>
            <w:vAlign w:val="center"/>
          </w:tcPr>
          <w:p w14:paraId="6F66C704"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80" w:type="dxa"/>
            <w:shd w:val="clear" w:color="auto" w:fill="auto"/>
            <w:tcMar>
              <w:top w:w="20" w:type="dxa"/>
              <w:left w:w="20" w:type="dxa"/>
              <w:bottom w:w="20" w:type="dxa"/>
              <w:right w:w="20" w:type="dxa"/>
            </w:tcMar>
            <w:vAlign w:val="center"/>
          </w:tcPr>
          <w:p w14:paraId="54EDCB67"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505" w:type="dxa"/>
            <w:shd w:val="clear" w:color="auto" w:fill="auto"/>
            <w:tcMar>
              <w:top w:w="20" w:type="dxa"/>
              <w:left w:w="20" w:type="dxa"/>
              <w:bottom w:w="20" w:type="dxa"/>
              <w:right w:w="20" w:type="dxa"/>
            </w:tcMar>
            <w:vAlign w:val="center"/>
          </w:tcPr>
          <w:p w14:paraId="41A11E70"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Other payments for investing activities</w:t>
            </w:r>
          </w:p>
        </w:tc>
        <w:tc>
          <w:tcPr>
            <w:tcW w:w="1559" w:type="dxa"/>
            <w:shd w:val="clear" w:color="auto" w:fill="auto"/>
            <w:tcMar>
              <w:top w:w="20" w:type="dxa"/>
              <w:left w:w="20" w:type="dxa"/>
              <w:bottom w:w="20" w:type="dxa"/>
              <w:right w:w="20" w:type="dxa"/>
            </w:tcMar>
            <w:vAlign w:val="center"/>
          </w:tcPr>
          <w:p w14:paraId="5D19775E" w14:textId="77777777" w:rsidR="00A255EF" w:rsidRPr="000D67C6" w:rsidRDefault="00AA3F1A"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r>
      <w:tr w:rsidR="00A255EF" w:rsidRPr="000D67C6" w14:paraId="6AD2410F" w14:textId="77777777" w:rsidTr="000B2098">
        <w:trPr>
          <w:trHeight w:val="368"/>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368B0E9" w14:textId="77777777" w:rsidR="00A255EF" w:rsidRPr="000D67C6" w:rsidRDefault="00A255EF"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5,117</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2579FCF" w14:textId="77777777" w:rsidR="00A255EF" w:rsidRPr="000D67C6" w:rsidRDefault="00A255EF" w:rsidP="00A255EF">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50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69A6E69" w14:textId="77777777" w:rsidR="00A255EF" w:rsidRPr="000D67C6" w:rsidRDefault="00A255EF"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Net cash flows from investing activities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D8AA46A" w14:textId="77777777" w:rsidR="00A255EF" w:rsidRPr="000D67C6" w:rsidRDefault="00AA3F1A"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2,226</w:t>
            </w:r>
          </w:p>
        </w:tc>
      </w:tr>
    </w:tbl>
    <w:p w14:paraId="1F16D264" w14:textId="77777777" w:rsidR="00887C7E" w:rsidRPr="00EE7AF3" w:rsidRDefault="00887C7E" w:rsidP="00887C7E">
      <w:pPr>
        <w:pStyle w:val="Heading1"/>
        <w:spacing w:before="0" w:line="259" w:lineRule="auto"/>
        <w:rPr>
          <w:rFonts w:ascii="Arial" w:hAnsi="Arial" w:cs="Arial"/>
          <w:sz w:val="36"/>
          <w:szCs w:val="28"/>
          <w:lang w:val="pt-BR"/>
        </w:rPr>
      </w:pPr>
    </w:p>
    <w:p w14:paraId="7F9F2BB6" w14:textId="77777777" w:rsidR="008F013B" w:rsidRPr="000D67C6" w:rsidRDefault="002F5FB5" w:rsidP="00887C7E">
      <w:pPr>
        <w:pStyle w:val="Heading1"/>
        <w:spacing w:before="0" w:line="259" w:lineRule="auto"/>
        <w:rPr>
          <w:rFonts w:ascii="Arial" w:hAnsi="Arial" w:cs="Arial"/>
          <w:sz w:val="28"/>
          <w:szCs w:val="28"/>
          <w:lang w:val="pt-BR"/>
        </w:rPr>
      </w:pPr>
      <w:r w:rsidRPr="000D67C6">
        <w:rPr>
          <w:rFonts w:ascii="Arial" w:hAnsi="Arial" w:cs="Arial"/>
          <w:sz w:val="28"/>
          <w:szCs w:val="28"/>
          <w:lang w:val="pt-BR"/>
        </w:rPr>
        <w:t>Note 21</w:t>
      </w:r>
      <w:r w:rsidR="008F013B" w:rsidRPr="000D67C6">
        <w:rPr>
          <w:rFonts w:ascii="Arial" w:hAnsi="Arial" w:cs="Arial"/>
          <w:sz w:val="28"/>
          <w:szCs w:val="28"/>
          <w:lang w:val="pt-BR"/>
        </w:rPr>
        <w:t xml:space="preserve"> - Cash Flow from Financing Activities</w:t>
      </w:r>
    </w:p>
    <w:p w14:paraId="185CEADE" w14:textId="77777777" w:rsidR="00774A2D" w:rsidRPr="000D67C6" w:rsidRDefault="00774A2D" w:rsidP="00774A2D">
      <w:pPr>
        <w:rPr>
          <w:lang w:val="pt-BR"/>
        </w:rPr>
      </w:pPr>
    </w:p>
    <w:tbl>
      <w:tblPr>
        <w:tblW w:w="0" w:type="auto"/>
        <w:tblLayout w:type="fixed"/>
        <w:tblLook w:val="04A0" w:firstRow="1" w:lastRow="0" w:firstColumn="1" w:lastColumn="0" w:noHBand="0" w:noVBand="1"/>
      </w:tblPr>
      <w:tblGrid>
        <w:gridCol w:w="1545"/>
        <w:gridCol w:w="180"/>
        <w:gridCol w:w="5505"/>
        <w:gridCol w:w="1559"/>
      </w:tblGrid>
      <w:tr w:rsidR="00464E99" w:rsidRPr="000D67C6" w14:paraId="47B0A85D" w14:textId="77777777" w:rsidTr="00EE6B7B">
        <w:trPr>
          <w:trHeight w:val="300"/>
        </w:trPr>
        <w:tc>
          <w:tcPr>
            <w:tcW w:w="1545" w:type="dxa"/>
            <w:shd w:val="clear" w:color="auto" w:fill="auto"/>
            <w:tcMar>
              <w:top w:w="20" w:type="dxa"/>
              <w:left w:w="20" w:type="dxa"/>
              <w:bottom w:w="20" w:type="dxa"/>
              <w:right w:w="20" w:type="dxa"/>
            </w:tcMar>
            <w:vAlign w:val="bottom"/>
          </w:tcPr>
          <w:p w14:paraId="3FAB02F7" w14:textId="77777777" w:rsidR="00464E99" w:rsidRPr="000D67C6" w:rsidRDefault="00137DE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180" w:type="dxa"/>
            <w:shd w:val="clear" w:color="auto" w:fill="auto"/>
            <w:tcMar>
              <w:top w:w="20" w:type="dxa"/>
              <w:left w:w="20" w:type="dxa"/>
              <w:bottom w:w="20" w:type="dxa"/>
              <w:right w:w="20" w:type="dxa"/>
            </w:tcMar>
            <w:vAlign w:val="bottom"/>
          </w:tcPr>
          <w:p w14:paraId="1E9DA00A" w14:textId="77777777" w:rsidR="00464E99" w:rsidRPr="000D67C6" w:rsidRDefault="00464E99" w:rsidP="00774A2D">
            <w:pPr>
              <w:pStyle w:val="T1TableStyle"/>
              <w:jc w:val="right"/>
              <w:rPr>
                <w:rFonts w:ascii="Arial" w:eastAsia="Verdana" w:hAnsi="Arial" w:cs="Arial"/>
                <w:b/>
                <w:sz w:val="22"/>
                <w:szCs w:val="22"/>
                <w:lang w:val="pt-BR"/>
              </w:rPr>
            </w:pPr>
          </w:p>
        </w:tc>
        <w:tc>
          <w:tcPr>
            <w:tcW w:w="5505" w:type="dxa"/>
            <w:shd w:val="clear" w:color="auto" w:fill="auto"/>
            <w:tcMar>
              <w:top w:w="20" w:type="dxa"/>
              <w:left w:w="20" w:type="dxa"/>
              <w:bottom w:w="20" w:type="dxa"/>
              <w:right w:w="20" w:type="dxa"/>
            </w:tcMar>
            <w:vAlign w:val="bottom"/>
          </w:tcPr>
          <w:p w14:paraId="20115F19" w14:textId="77777777" w:rsidR="00464E99" w:rsidRPr="000D67C6" w:rsidRDefault="00464E99" w:rsidP="00774A2D">
            <w:pPr>
              <w:pStyle w:val="T1TableStyle"/>
              <w:jc w:val="right"/>
              <w:rPr>
                <w:rFonts w:ascii="Arial" w:eastAsia="Verdana" w:hAnsi="Arial" w:cs="Arial"/>
                <w:b/>
                <w:sz w:val="22"/>
                <w:szCs w:val="22"/>
                <w:lang w:val="pt-BR"/>
              </w:rPr>
            </w:pPr>
          </w:p>
        </w:tc>
        <w:tc>
          <w:tcPr>
            <w:tcW w:w="1559" w:type="dxa"/>
            <w:shd w:val="clear" w:color="auto" w:fill="auto"/>
            <w:tcMar>
              <w:top w:w="20" w:type="dxa"/>
              <w:left w:w="20" w:type="dxa"/>
              <w:bottom w:w="20" w:type="dxa"/>
              <w:right w:w="20" w:type="dxa"/>
            </w:tcMar>
            <w:vAlign w:val="bottom"/>
          </w:tcPr>
          <w:p w14:paraId="557A1627" w14:textId="77777777" w:rsidR="00464E99" w:rsidRPr="000D67C6" w:rsidRDefault="00137DEB" w:rsidP="00774A2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9</w:t>
            </w:r>
          </w:p>
        </w:tc>
      </w:tr>
      <w:tr w:rsidR="00464E99" w:rsidRPr="000D67C6" w14:paraId="47D37624" w14:textId="77777777" w:rsidTr="00EE6B7B">
        <w:trPr>
          <w:trHeight w:val="300"/>
        </w:trPr>
        <w:tc>
          <w:tcPr>
            <w:tcW w:w="1545" w:type="dxa"/>
            <w:tcBorders>
              <w:bottom w:val="single" w:sz="2" w:space="0" w:color="000000"/>
            </w:tcBorders>
            <w:shd w:val="clear" w:color="auto" w:fill="auto"/>
            <w:tcMar>
              <w:top w:w="20" w:type="dxa"/>
              <w:left w:w="20" w:type="dxa"/>
              <w:bottom w:w="20" w:type="dxa"/>
              <w:right w:w="20" w:type="dxa"/>
            </w:tcMar>
          </w:tcPr>
          <w:p w14:paraId="5F37DB97" w14:textId="77777777" w:rsidR="00464E99" w:rsidRPr="000D67C6" w:rsidRDefault="008F013B" w:rsidP="00887C7E">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7CF00798" w14:textId="77777777" w:rsidR="00464E99" w:rsidRPr="000D67C6" w:rsidRDefault="008F013B" w:rsidP="00887C7E">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505" w:type="dxa"/>
            <w:tcBorders>
              <w:bottom w:val="single" w:sz="2" w:space="0" w:color="000000"/>
            </w:tcBorders>
            <w:shd w:val="clear" w:color="auto" w:fill="auto"/>
            <w:tcMar>
              <w:top w:w="20" w:type="dxa"/>
              <w:left w:w="20" w:type="dxa"/>
              <w:bottom w:w="20" w:type="dxa"/>
              <w:right w:w="20" w:type="dxa"/>
            </w:tcMar>
          </w:tcPr>
          <w:p w14:paraId="1F6046F6" w14:textId="77777777" w:rsidR="00464E99" w:rsidRPr="000D67C6" w:rsidRDefault="008F013B" w:rsidP="00887C7E">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559" w:type="dxa"/>
            <w:tcBorders>
              <w:bottom w:val="single" w:sz="2" w:space="0" w:color="000000"/>
            </w:tcBorders>
            <w:shd w:val="clear" w:color="auto" w:fill="auto"/>
            <w:tcMar>
              <w:top w:w="20" w:type="dxa"/>
              <w:left w:w="20" w:type="dxa"/>
              <w:bottom w:w="20" w:type="dxa"/>
              <w:right w:w="20" w:type="dxa"/>
            </w:tcMar>
          </w:tcPr>
          <w:p w14:paraId="4B8EFED8" w14:textId="77777777" w:rsidR="00464E99" w:rsidRPr="000D67C6" w:rsidRDefault="008F013B" w:rsidP="00887C7E">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255EF" w:rsidRPr="000D67C6" w14:paraId="42116B57" w14:textId="77777777" w:rsidTr="005C1282">
        <w:trPr>
          <w:trHeight w:val="420"/>
        </w:trPr>
        <w:tc>
          <w:tcPr>
            <w:tcW w:w="1545" w:type="dxa"/>
            <w:shd w:val="clear" w:color="auto" w:fill="auto"/>
            <w:tcMar>
              <w:top w:w="20" w:type="dxa"/>
              <w:left w:w="20" w:type="dxa"/>
              <w:bottom w:w="20" w:type="dxa"/>
              <w:right w:w="20" w:type="dxa"/>
            </w:tcMar>
            <w:vAlign w:val="center"/>
          </w:tcPr>
          <w:p w14:paraId="16681C78"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80" w:type="dxa"/>
            <w:shd w:val="clear" w:color="auto" w:fill="auto"/>
            <w:tcMar>
              <w:top w:w="20" w:type="dxa"/>
              <w:left w:w="20" w:type="dxa"/>
              <w:bottom w:w="20" w:type="dxa"/>
              <w:right w:w="20" w:type="dxa"/>
            </w:tcMar>
            <w:vAlign w:val="center"/>
          </w:tcPr>
          <w:p w14:paraId="3318F5D2"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505" w:type="dxa"/>
            <w:shd w:val="clear" w:color="auto" w:fill="auto"/>
            <w:tcMar>
              <w:top w:w="20" w:type="dxa"/>
              <w:left w:w="20" w:type="dxa"/>
              <w:bottom w:w="20" w:type="dxa"/>
              <w:right w:w="20" w:type="dxa"/>
            </w:tcMar>
            <w:vAlign w:val="center"/>
          </w:tcPr>
          <w:p w14:paraId="5F9B450A"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Cash receipts of short-term and long-term borrowing</w:t>
            </w:r>
          </w:p>
        </w:tc>
        <w:tc>
          <w:tcPr>
            <w:tcW w:w="1559" w:type="dxa"/>
            <w:shd w:val="clear" w:color="auto" w:fill="auto"/>
            <w:tcMar>
              <w:top w:w="20" w:type="dxa"/>
              <w:left w:w="20" w:type="dxa"/>
              <w:bottom w:w="20" w:type="dxa"/>
              <w:right w:w="20" w:type="dxa"/>
            </w:tcMar>
            <w:vAlign w:val="center"/>
          </w:tcPr>
          <w:p w14:paraId="62B482F9" w14:textId="77777777" w:rsidR="00A255EF" w:rsidRPr="000D67C6" w:rsidRDefault="00AE75E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(1,000)</w:t>
            </w:r>
          </w:p>
        </w:tc>
      </w:tr>
      <w:tr w:rsidR="00A255EF" w:rsidRPr="000D67C6" w14:paraId="5A523091" w14:textId="77777777" w:rsidTr="005C1282">
        <w:trPr>
          <w:trHeight w:val="420"/>
        </w:trPr>
        <w:tc>
          <w:tcPr>
            <w:tcW w:w="1545" w:type="dxa"/>
            <w:shd w:val="clear" w:color="auto" w:fill="auto"/>
            <w:tcMar>
              <w:top w:w="20" w:type="dxa"/>
              <w:left w:w="20" w:type="dxa"/>
              <w:bottom w:w="20" w:type="dxa"/>
              <w:right w:w="20" w:type="dxa"/>
            </w:tcMar>
            <w:vAlign w:val="center"/>
          </w:tcPr>
          <w:p w14:paraId="314FBD20"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(826)</w:t>
            </w:r>
          </w:p>
        </w:tc>
        <w:tc>
          <w:tcPr>
            <w:tcW w:w="180" w:type="dxa"/>
            <w:shd w:val="clear" w:color="auto" w:fill="auto"/>
            <w:tcMar>
              <w:top w:w="20" w:type="dxa"/>
              <w:left w:w="20" w:type="dxa"/>
              <w:bottom w:w="20" w:type="dxa"/>
              <w:right w:w="20" w:type="dxa"/>
            </w:tcMar>
            <w:vAlign w:val="center"/>
          </w:tcPr>
          <w:p w14:paraId="5B174A44"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505" w:type="dxa"/>
            <w:shd w:val="clear" w:color="auto" w:fill="auto"/>
            <w:tcMar>
              <w:top w:w="20" w:type="dxa"/>
              <w:left w:w="20" w:type="dxa"/>
              <w:bottom w:w="20" w:type="dxa"/>
              <w:right w:w="20" w:type="dxa"/>
            </w:tcMar>
            <w:vAlign w:val="center"/>
          </w:tcPr>
          <w:p w14:paraId="27890425"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Other receipts from financing activities</w:t>
            </w:r>
          </w:p>
        </w:tc>
        <w:tc>
          <w:tcPr>
            <w:tcW w:w="1559" w:type="dxa"/>
            <w:shd w:val="clear" w:color="auto" w:fill="auto"/>
            <w:tcMar>
              <w:top w:w="20" w:type="dxa"/>
              <w:left w:w="20" w:type="dxa"/>
              <w:bottom w:w="20" w:type="dxa"/>
              <w:right w:w="20" w:type="dxa"/>
            </w:tcMar>
            <w:vAlign w:val="center"/>
          </w:tcPr>
          <w:p w14:paraId="4E70D96E" w14:textId="77777777" w:rsidR="00A255EF" w:rsidRPr="000D67C6" w:rsidRDefault="00AE75E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(555)</w:t>
            </w:r>
          </w:p>
        </w:tc>
      </w:tr>
      <w:tr w:rsidR="00A255EF" w:rsidRPr="000D67C6" w14:paraId="3DF44096" w14:textId="77777777" w:rsidTr="005C1282">
        <w:trPr>
          <w:trHeight w:val="420"/>
        </w:trPr>
        <w:tc>
          <w:tcPr>
            <w:tcW w:w="1545" w:type="dxa"/>
            <w:shd w:val="clear" w:color="auto" w:fill="auto"/>
            <w:tcMar>
              <w:top w:w="20" w:type="dxa"/>
              <w:left w:w="20" w:type="dxa"/>
              <w:bottom w:w="20" w:type="dxa"/>
              <w:right w:w="20" w:type="dxa"/>
            </w:tcMar>
            <w:vAlign w:val="center"/>
          </w:tcPr>
          <w:p w14:paraId="1E1E2230"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784</w:t>
            </w:r>
          </w:p>
        </w:tc>
        <w:tc>
          <w:tcPr>
            <w:tcW w:w="180" w:type="dxa"/>
            <w:shd w:val="clear" w:color="auto" w:fill="auto"/>
            <w:tcMar>
              <w:top w:w="20" w:type="dxa"/>
              <w:left w:w="20" w:type="dxa"/>
              <w:bottom w:w="20" w:type="dxa"/>
              <w:right w:w="20" w:type="dxa"/>
            </w:tcMar>
            <w:vAlign w:val="center"/>
          </w:tcPr>
          <w:p w14:paraId="05125A6A"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505" w:type="dxa"/>
            <w:shd w:val="clear" w:color="auto" w:fill="auto"/>
            <w:tcMar>
              <w:top w:w="20" w:type="dxa"/>
              <w:left w:w="20" w:type="dxa"/>
              <w:bottom w:w="20" w:type="dxa"/>
              <w:right w:w="20" w:type="dxa"/>
            </w:tcMar>
            <w:vAlign w:val="center"/>
          </w:tcPr>
          <w:p w14:paraId="2C235938"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Cash payments for the reduction of outstanding liabilities relating to finance leases </w:t>
            </w:r>
          </w:p>
        </w:tc>
        <w:tc>
          <w:tcPr>
            <w:tcW w:w="1559" w:type="dxa"/>
            <w:shd w:val="clear" w:color="auto" w:fill="auto"/>
            <w:tcMar>
              <w:top w:w="20" w:type="dxa"/>
              <w:left w:w="20" w:type="dxa"/>
              <w:bottom w:w="20" w:type="dxa"/>
              <w:right w:w="20" w:type="dxa"/>
            </w:tcMar>
            <w:vAlign w:val="center"/>
          </w:tcPr>
          <w:p w14:paraId="63228279" w14:textId="77777777" w:rsidR="00A255EF" w:rsidRPr="000D67C6" w:rsidRDefault="00AE75E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729</w:t>
            </w:r>
          </w:p>
        </w:tc>
      </w:tr>
      <w:tr w:rsidR="00A255EF" w:rsidRPr="000D67C6" w14:paraId="26213565" w14:textId="77777777" w:rsidTr="005C1282">
        <w:trPr>
          <w:trHeight w:val="420"/>
        </w:trPr>
        <w:tc>
          <w:tcPr>
            <w:tcW w:w="1545" w:type="dxa"/>
            <w:shd w:val="clear" w:color="auto" w:fill="auto"/>
            <w:tcMar>
              <w:top w:w="20" w:type="dxa"/>
              <w:left w:w="20" w:type="dxa"/>
              <w:bottom w:w="20" w:type="dxa"/>
              <w:right w:w="20" w:type="dxa"/>
            </w:tcMar>
            <w:vAlign w:val="center"/>
          </w:tcPr>
          <w:p w14:paraId="5E5E9228"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382</w:t>
            </w:r>
          </w:p>
        </w:tc>
        <w:tc>
          <w:tcPr>
            <w:tcW w:w="180" w:type="dxa"/>
            <w:shd w:val="clear" w:color="auto" w:fill="auto"/>
            <w:tcMar>
              <w:top w:w="20" w:type="dxa"/>
              <w:left w:w="20" w:type="dxa"/>
              <w:bottom w:w="20" w:type="dxa"/>
              <w:right w:w="20" w:type="dxa"/>
            </w:tcMar>
            <w:vAlign w:val="center"/>
          </w:tcPr>
          <w:p w14:paraId="6D19F64C"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5505" w:type="dxa"/>
            <w:shd w:val="clear" w:color="auto" w:fill="auto"/>
            <w:tcMar>
              <w:top w:w="20" w:type="dxa"/>
              <w:left w:w="20" w:type="dxa"/>
              <w:bottom w:w="20" w:type="dxa"/>
              <w:right w:w="20" w:type="dxa"/>
            </w:tcMar>
            <w:vAlign w:val="center"/>
          </w:tcPr>
          <w:p w14:paraId="180AC5C9"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Repayments of short-term and long-term borrowing</w:t>
            </w:r>
          </w:p>
        </w:tc>
        <w:tc>
          <w:tcPr>
            <w:tcW w:w="1559" w:type="dxa"/>
            <w:shd w:val="clear" w:color="auto" w:fill="auto"/>
            <w:tcMar>
              <w:top w:w="20" w:type="dxa"/>
              <w:left w:w="20" w:type="dxa"/>
              <w:bottom w:w="20" w:type="dxa"/>
              <w:right w:w="20" w:type="dxa"/>
            </w:tcMar>
            <w:vAlign w:val="center"/>
          </w:tcPr>
          <w:p w14:paraId="70527361" w14:textId="77777777" w:rsidR="00A255EF" w:rsidRPr="000D67C6" w:rsidRDefault="00AE75E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464</w:t>
            </w:r>
          </w:p>
        </w:tc>
      </w:tr>
      <w:tr w:rsidR="00A255EF" w:rsidRPr="000D67C6" w14:paraId="7421BF21" w14:textId="77777777" w:rsidTr="005C1282">
        <w:trPr>
          <w:trHeight w:val="420"/>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30A1F8F" w14:textId="77777777" w:rsidR="00A255EF" w:rsidRPr="000D67C6" w:rsidRDefault="00A255EF"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340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6698FD0" w14:textId="77777777" w:rsidR="00A255EF" w:rsidRPr="000D67C6" w:rsidRDefault="00A255EF" w:rsidP="00A255EF">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550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ABED063" w14:textId="77777777" w:rsidR="00A255EF" w:rsidRPr="000D67C6" w:rsidRDefault="00A255EF"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Net cash flows from financing activities</w:t>
            </w:r>
          </w:p>
        </w:tc>
        <w:tc>
          <w:tcPr>
            <w:tcW w:w="155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54D5E27" w14:textId="77777777" w:rsidR="00A255EF" w:rsidRPr="000D67C6" w:rsidRDefault="00AE75E0"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(362)</w:t>
            </w:r>
          </w:p>
        </w:tc>
      </w:tr>
    </w:tbl>
    <w:p w14:paraId="310D4CE5" w14:textId="77777777" w:rsidR="00EE6B7B" w:rsidRPr="00EE7AF3" w:rsidRDefault="00EE6B7B" w:rsidP="00EE6B7B">
      <w:pPr>
        <w:rPr>
          <w:rFonts w:ascii="Arial" w:hAnsi="Arial" w:cs="Arial"/>
          <w:sz w:val="36"/>
          <w:lang w:val="pt-BR"/>
        </w:rPr>
      </w:pPr>
    </w:p>
    <w:p w14:paraId="664BC00F" w14:textId="77777777" w:rsidR="008F013B" w:rsidRPr="000D67C6" w:rsidRDefault="002F5FB5" w:rsidP="00887C7E">
      <w:pPr>
        <w:pStyle w:val="Heading1"/>
        <w:spacing w:before="0" w:line="259" w:lineRule="auto"/>
        <w:rPr>
          <w:rFonts w:ascii="Arial" w:hAnsi="Arial" w:cs="Arial"/>
          <w:sz w:val="28"/>
          <w:lang w:val="pt-BR"/>
        </w:rPr>
      </w:pPr>
      <w:r w:rsidRPr="000D67C6">
        <w:rPr>
          <w:rFonts w:ascii="Arial" w:hAnsi="Arial" w:cs="Arial"/>
          <w:sz w:val="28"/>
          <w:lang w:val="pt-BR"/>
        </w:rPr>
        <w:t>Note 22</w:t>
      </w:r>
      <w:r w:rsidR="008F013B" w:rsidRPr="000D67C6">
        <w:rPr>
          <w:rFonts w:ascii="Arial" w:hAnsi="Arial" w:cs="Arial"/>
          <w:sz w:val="28"/>
          <w:lang w:val="pt-BR"/>
        </w:rPr>
        <w:t xml:space="preserve"> - Members’ Allowances </w:t>
      </w:r>
    </w:p>
    <w:p w14:paraId="0313FB9C" w14:textId="77777777" w:rsidR="00774A2D" w:rsidRPr="000D67C6" w:rsidRDefault="00774A2D" w:rsidP="00774A2D">
      <w:pPr>
        <w:rPr>
          <w:lang w:val="pt-BR"/>
        </w:rPr>
      </w:pPr>
    </w:p>
    <w:p w14:paraId="30A84253" w14:textId="77777777" w:rsidR="00774A2D" w:rsidRPr="000D67C6" w:rsidRDefault="00774A2D" w:rsidP="00774A2D">
      <w:pPr>
        <w:rPr>
          <w:rFonts w:ascii="Arial" w:hAnsi="Arial" w:cs="Arial"/>
          <w:sz w:val="22"/>
          <w:szCs w:val="22"/>
          <w:lang w:val="pt-BR"/>
        </w:rPr>
      </w:pPr>
      <w:r w:rsidRPr="000D67C6">
        <w:rPr>
          <w:rFonts w:ascii="Arial" w:hAnsi="Arial" w:cs="Arial"/>
          <w:sz w:val="22"/>
          <w:szCs w:val="22"/>
          <w:lang w:val="pt-BR"/>
        </w:rPr>
        <w:t>The Authority paid the following amounts to elected members during the year:</w:t>
      </w:r>
    </w:p>
    <w:p w14:paraId="42053BE7" w14:textId="77777777" w:rsidR="00774A2D" w:rsidRPr="000D67C6" w:rsidRDefault="00774A2D" w:rsidP="00774A2D">
      <w:pPr>
        <w:rPr>
          <w:lang w:val="pt-BR"/>
        </w:rPr>
      </w:pPr>
    </w:p>
    <w:tbl>
      <w:tblPr>
        <w:tblW w:w="0" w:type="auto"/>
        <w:tblLayout w:type="fixed"/>
        <w:tblLook w:val="04A0" w:firstRow="1" w:lastRow="0" w:firstColumn="1" w:lastColumn="0" w:noHBand="0" w:noVBand="1"/>
      </w:tblPr>
      <w:tblGrid>
        <w:gridCol w:w="1755"/>
        <w:gridCol w:w="180"/>
        <w:gridCol w:w="3750"/>
        <w:gridCol w:w="3104"/>
      </w:tblGrid>
      <w:tr w:rsidR="00464E99" w:rsidRPr="000D67C6" w14:paraId="768C7B89" w14:textId="77777777" w:rsidTr="00887C7E">
        <w:trPr>
          <w:trHeight w:val="240"/>
        </w:trPr>
        <w:tc>
          <w:tcPr>
            <w:tcW w:w="1755" w:type="dxa"/>
            <w:shd w:val="clear" w:color="auto" w:fill="auto"/>
            <w:tcMar>
              <w:top w:w="20" w:type="dxa"/>
              <w:left w:w="20" w:type="dxa"/>
              <w:bottom w:w="20" w:type="dxa"/>
              <w:right w:w="20" w:type="dxa"/>
            </w:tcMar>
            <w:vAlign w:val="bottom"/>
          </w:tcPr>
          <w:p w14:paraId="5DD7DDEA" w14:textId="77777777" w:rsidR="00464E99" w:rsidRPr="000D67C6" w:rsidRDefault="00137DEB" w:rsidP="00EE6B7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A255EF" w:rsidRPr="000D67C6">
              <w:rPr>
                <w:rFonts w:ascii="Arial" w:eastAsia="Verdana" w:hAnsi="Arial" w:cs="Arial"/>
                <w:b/>
                <w:sz w:val="22"/>
                <w:szCs w:val="22"/>
                <w:lang w:val="pt-BR"/>
              </w:rPr>
              <w:t>8</w:t>
            </w:r>
          </w:p>
        </w:tc>
        <w:tc>
          <w:tcPr>
            <w:tcW w:w="180" w:type="dxa"/>
            <w:shd w:val="clear" w:color="auto" w:fill="auto"/>
            <w:tcMar>
              <w:top w:w="20" w:type="dxa"/>
              <w:left w:w="20" w:type="dxa"/>
              <w:bottom w:w="20" w:type="dxa"/>
              <w:right w:w="20" w:type="dxa"/>
            </w:tcMar>
            <w:vAlign w:val="bottom"/>
          </w:tcPr>
          <w:p w14:paraId="3D694169" w14:textId="77777777" w:rsidR="00464E99" w:rsidRPr="000D67C6" w:rsidRDefault="00464E99" w:rsidP="00EE6B7B">
            <w:pPr>
              <w:pStyle w:val="T1TableStyle"/>
              <w:jc w:val="right"/>
              <w:rPr>
                <w:rFonts w:ascii="Arial" w:eastAsia="Verdana" w:hAnsi="Arial" w:cs="Arial"/>
                <w:b/>
                <w:sz w:val="22"/>
                <w:szCs w:val="22"/>
                <w:lang w:val="pt-BR"/>
              </w:rPr>
            </w:pPr>
          </w:p>
        </w:tc>
        <w:tc>
          <w:tcPr>
            <w:tcW w:w="3750" w:type="dxa"/>
            <w:shd w:val="clear" w:color="auto" w:fill="auto"/>
            <w:tcMar>
              <w:top w:w="20" w:type="dxa"/>
              <w:left w:w="20" w:type="dxa"/>
              <w:bottom w:w="20" w:type="dxa"/>
              <w:right w:w="20" w:type="dxa"/>
            </w:tcMar>
            <w:vAlign w:val="bottom"/>
          </w:tcPr>
          <w:p w14:paraId="09FF2619" w14:textId="77777777" w:rsidR="00464E99" w:rsidRPr="000D67C6" w:rsidRDefault="00464E99" w:rsidP="00EE6B7B">
            <w:pPr>
              <w:pStyle w:val="T1TableStyle"/>
              <w:jc w:val="right"/>
              <w:rPr>
                <w:rFonts w:ascii="Arial" w:eastAsia="Verdana" w:hAnsi="Arial" w:cs="Arial"/>
                <w:b/>
                <w:sz w:val="22"/>
                <w:szCs w:val="22"/>
                <w:lang w:val="pt-BR"/>
              </w:rPr>
            </w:pPr>
          </w:p>
        </w:tc>
        <w:tc>
          <w:tcPr>
            <w:tcW w:w="3104" w:type="dxa"/>
            <w:shd w:val="clear" w:color="auto" w:fill="auto"/>
            <w:tcMar>
              <w:top w:w="20" w:type="dxa"/>
              <w:left w:w="20" w:type="dxa"/>
              <w:bottom w:w="20" w:type="dxa"/>
              <w:right w:w="20" w:type="dxa"/>
            </w:tcMar>
            <w:vAlign w:val="bottom"/>
          </w:tcPr>
          <w:p w14:paraId="1C655577" w14:textId="77777777" w:rsidR="00464E99" w:rsidRPr="000D67C6" w:rsidRDefault="00137DEB" w:rsidP="00EE6B7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A255EF" w:rsidRPr="000D67C6">
              <w:rPr>
                <w:rFonts w:ascii="Arial" w:eastAsia="Verdana" w:hAnsi="Arial" w:cs="Arial"/>
                <w:b/>
                <w:sz w:val="22"/>
                <w:szCs w:val="22"/>
                <w:lang w:val="pt-BR"/>
              </w:rPr>
              <w:t>8/19</w:t>
            </w:r>
          </w:p>
        </w:tc>
      </w:tr>
      <w:tr w:rsidR="00464E99" w:rsidRPr="000D67C6" w14:paraId="5812FCCD" w14:textId="77777777" w:rsidTr="00887C7E">
        <w:trPr>
          <w:trHeight w:val="240"/>
        </w:trPr>
        <w:tc>
          <w:tcPr>
            <w:tcW w:w="1755" w:type="dxa"/>
            <w:tcBorders>
              <w:bottom w:val="single" w:sz="2" w:space="0" w:color="000000"/>
            </w:tcBorders>
            <w:shd w:val="clear" w:color="auto" w:fill="auto"/>
            <w:tcMar>
              <w:top w:w="20" w:type="dxa"/>
              <w:left w:w="20" w:type="dxa"/>
              <w:bottom w:w="20" w:type="dxa"/>
              <w:right w:w="20" w:type="dxa"/>
            </w:tcMar>
          </w:tcPr>
          <w:p w14:paraId="066C37A6"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14:paraId="009F9EF8"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3750" w:type="dxa"/>
            <w:tcBorders>
              <w:bottom w:val="single" w:sz="2" w:space="0" w:color="000000"/>
            </w:tcBorders>
            <w:shd w:val="clear" w:color="auto" w:fill="auto"/>
            <w:tcMar>
              <w:top w:w="20" w:type="dxa"/>
              <w:left w:w="20" w:type="dxa"/>
              <w:bottom w:w="20" w:type="dxa"/>
              <w:right w:w="20" w:type="dxa"/>
            </w:tcMar>
          </w:tcPr>
          <w:p w14:paraId="06A24466"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3104" w:type="dxa"/>
            <w:tcBorders>
              <w:bottom w:val="single" w:sz="2" w:space="0" w:color="000000"/>
            </w:tcBorders>
            <w:shd w:val="clear" w:color="auto" w:fill="auto"/>
            <w:tcMar>
              <w:top w:w="20" w:type="dxa"/>
              <w:left w:w="20" w:type="dxa"/>
              <w:bottom w:w="20" w:type="dxa"/>
              <w:right w:w="20" w:type="dxa"/>
            </w:tcMar>
          </w:tcPr>
          <w:p w14:paraId="1A26A84B"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A255EF" w:rsidRPr="000D67C6" w14:paraId="311479E6" w14:textId="77777777" w:rsidTr="00663C72">
        <w:trPr>
          <w:trHeight w:val="300"/>
        </w:trPr>
        <w:tc>
          <w:tcPr>
            <w:tcW w:w="1755" w:type="dxa"/>
            <w:shd w:val="clear" w:color="auto" w:fill="auto"/>
            <w:tcMar>
              <w:top w:w="20" w:type="dxa"/>
              <w:left w:w="20" w:type="dxa"/>
              <w:bottom w:w="20" w:type="dxa"/>
              <w:right w:w="20" w:type="dxa"/>
            </w:tcMar>
            <w:vAlign w:val="center"/>
          </w:tcPr>
          <w:p w14:paraId="6B791DD7"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52</w:t>
            </w:r>
          </w:p>
        </w:tc>
        <w:tc>
          <w:tcPr>
            <w:tcW w:w="180" w:type="dxa"/>
            <w:shd w:val="clear" w:color="auto" w:fill="auto"/>
            <w:tcMar>
              <w:top w:w="20" w:type="dxa"/>
              <w:left w:w="20" w:type="dxa"/>
              <w:bottom w:w="20" w:type="dxa"/>
              <w:right w:w="20" w:type="dxa"/>
            </w:tcMar>
            <w:vAlign w:val="center"/>
          </w:tcPr>
          <w:p w14:paraId="207ABD90"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3750" w:type="dxa"/>
            <w:shd w:val="clear" w:color="auto" w:fill="auto"/>
            <w:tcMar>
              <w:top w:w="20" w:type="dxa"/>
              <w:left w:w="20" w:type="dxa"/>
              <w:bottom w:w="20" w:type="dxa"/>
              <w:right w:w="20" w:type="dxa"/>
            </w:tcMar>
            <w:vAlign w:val="center"/>
          </w:tcPr>
          <w:p w14:paraId="1FC70BEA"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Salaries</w:t>
            </w:r>
          </w:p>
        </w:tc>
        <w:tc>
          <w:tcPr>
            <w:tcW w:w="3104" w:type="dxa"/>
            <w:shd w:val="clear" w:color="auto" w:fill="auto"/>
            <w:tcMar>
              <w:top w:w="20" w:type="dxa"/>
              <w:left w:w="20" w:type="dxa"/>
              <w:bottom w:w="20" w:type="dxa"/>
              <w:right w:w="20" w:type="dxa"/>
            </w:tcMar>
            <w:vAlign w:val="center"/>
          </w:tcPr>
          <w:p w14:paraId="3220D83D" w14:textId="77777777" w:rsidR="00A255EF" w:rsidRPr="000D67C6" w:rsidRDefault="0096430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57</w:t>
            </w:r>
          </w:p>
        </w:tc>
      </w:tr>
      <w:tr w:rsidR="00A255EF" w:rsidRPr="000D67C6" w14:paraId="2B013408" w14:textId="77777777" w:rsidTr="00663C72">
        <w:trPr>
          <w:trHeight w:val="300"/>
        </w:trPr>
        <w:tc>
          <w:tcPr>
            <w:tcW w:w="1755" w:type="dxa"/>
            <w:shd w:val="clear" w:color="auto" w:fill="auto"/>
            <w:tcMar>
              <w:top w:w="20" w:type="dxa"/>
              <w:left w:w="20" w:type="dxa"/>
              <w:bottom w:w="20" w:type="dxa"/>
              <w:right w:w="20" w:type="dxa"/>
            </w:tcMar>
            <w:vAlign w:val="center"/>
          </w:tcPr>
          <w:p w14:paraId="799528F2" w14:textId="77777777" w:rsidR="00A255EF" w:rsidRPr="000D67C6" w:rsidRDefault="00A255EF"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w:t>
            </w:r>
          </w:p>
        </w:tc>
        <w:tc>
          <w:tcPr>
            <w:tcW w:w="180" w:type="dxa"/>
            <w:shd w:val="clear" w:color="auto" w:fill="auto"/>
            <w:tcMar>
              <w:top w:w="20" w:type="dxa"/>
              <w:left w:w="20" w:type="dxa"/>
              <w:bottom w:w="20" w:type="dxa"/>
              <w:right w:w="20" w:type="dxa"/>
            </w:tcMar>
            <w:vAlign w:val="center"/>
          </w:tcPr>
          <w:p w14:paraId="6A50B530" w14:textId="77777777" w:rsidR="00A255EF" w:rsidRPr="000D67C6" w:rsidRDefault="00A255EF" w:rsidP="00A255EF">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3750" w:type="dxa"/>
            <w:shd w:val="clear" w:color="auto" w:fill="auto"/>
            <w:tcMar>
              <w:top w:w="20" w:type="dxa"/>
              <w:left w:w="20" w:type="dxa"/>
              <w:bottom w:w="20" w:type="dxa"/>
              <w:right w:w="20" w:type="dxa"/>
            </w:tcMar>
            <w:vAlign w:val="center"/>
          </w:tcPr>
          <w:p w14:paraId="3543D438" w14:textId="77777777" w:rsidR="00A255EF" w:rsidRPr="000D67C6" w:rsidRDefault="00A255EF"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Expenses</w:t>
            </w:r>
          </w:p>
        </w:tc>
        <w:tc>
          <w:tcPr>
            <w:tcW w:w="3104" w:type="dxa"/>
            <w:shd w:val="clear" w:color="auto" w:fill="auto"/>
            <w:tcMar>
              <w:top w:w="20" w:type="dxa"/>
              <w:left w:w="20" w:type="dxa"/>
              <w:bottom w:w="20" w:type="dxa"/>
              <w:right w:w="20" w:type="dxa"/>
            </w:tcMar>
            <w:vAlign w:val="center"/>
          </w:tcPr>
          <w:p w14:paraId="063143C3" w14:textId="77777777" w:rsidR="00A255EF" w:rsidRPr="000D67C6" w:rsidRDefault="00964300"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w:t>
            </w:r>
          </w:p>
        </w:tc>
      </w:tr>
      <w:tr w:rsidR="00A255EF" w:rsidRPr="000D67C6" w14:paraId="3B877214" w14:textId="77777777" w:rsidTr="00663C72">
        <w:trPr>
          <w:trHeight w:val="300"/>
        </w:trPr>
        <w:tc>
          <w:tcPr>
            <w:tcW w:w="17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835E67A" w14:textId="77777777" w:rsidR="00A255EF" w:rsidRPr="000D67C6" w:rsidRDefault="00A255EF"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61</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6D7D2C6" w14:textId="77777777" w:rsidR="00A255EF" w:rsidRPr="000D67C6" w:rsidRDefault="00A255EF" w:rsidP="00A255EF">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0BDEAD1" w14:textId="77777777" w:rsidR="00A255EF" w:rsidRPr="000D67C6" w:rsidRDefault="00A255EF"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Total Members' Allowances</w:t>
            </w:r>
          </w:p>
        </w:tc>
        <w:tc>
          <w:tcPr>
            <w:tcW w:w="310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0E63B8E" w14:textId="77777777" w:rsidR="00A255EF" w:rsidRPr="000D67C6" w:rsidRDefault="00964300"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66</w:t>
            </w:r>
          </w:p>
        </w:tc>
      </w:tr>
    </w:tbl>
    <w:p w14:paraId="56304BA5" w14:textId="77777777" w:rsidR="00887C7E" w:rsidRPr="000D67C6" w:rsidRDefault="00887C7E" w:rsidP="00887C7E">
      <w:pPr>
        <w:pStyle w:val="Heading1"/>
        <w:spacing w:before="0" w:line="259" w:lineRule="auto"/>
        <w:rPr>
          <w:rFonts w:ascii="Arial" w:hAnsi="Arial" w:cs="Arial"/>
          <w:lang w:val="pt-BR"/>
        </w:rPr>
      </w:pPr>
    </w:p>
    <w:p w14:paraId="15D2E5BD" w14:textId="77777777" w:rsidR="003F6FEA" w:rsidRPr="000D67C6" w:rsidRDefault="003F6FEA">
      <w:pPr>
        <w:rPr>
          <w:rFonts w:ascii="Arial" w:hAnsi="Arial" w:cs="Arial"/>
          <w:sz w:val="28"/>
          <w:lang w:val="pt-BR"/>
        </w:rPr>
        <w:sectPr w:rsidR="003F6FEA" w:rsidRPr="000D67C6" w:rsidSect="00FB7274">
          <w:pgSz w:w="11900" w:h="16840"/>
          <w:pgMar w:top="1440" w:right="1440" w:bottom="1440" w:left="1440" w:header="708" w:footer="708" w:gutter="0"/>
          <w:cols w:space="708"/>
          <w:docGrid w:linePitch="360"/>
        </w:sectPr>
      </w:pPr>
    </w:p>
    <w:p w14:paraId="56C4539C" w14:textId="77777777" w:rsidR="008F013B" w:rsidRPr="000D67C6" w:rsidRDefault="002F5FB5" w:rsidP="00887C7E">
      <w:pPr>
        <w:pStyle w:val="Heading1"/>
        <w:spacing w:before="0" w:line="259" w:lineRule="auto"/>
        <w:rPr>
          <w:rFonts w:ascii="Arial" w:hAnsi="Arial" w:cs="Arial"/>
          <w:sz w:val="28"/>
          <w:lang w:val="pt-BR"/>
        </w:rPr>
      </w:pPr>
      <w:r w:rsidRPr="000D67C6">
        <w:rPr>
          <w:rFonts w:ascii="Arial" w:hAnsi="Arial" w:cs="Arial"/>
          <w:sz w:val="28"/>
          <w:lang w:val="pt-BR"/>
        </w:rPr>
        <w:t>Note 23</w:t>
      </w:r>
      <w:r w:rsidR="008F013B" w:rsidRPr="000D67C6">
        <w:rPr>
          <w:rFonts w:ascii="Arial" w:hAnsi="Arial" w:cs="Arial"/>
          <w:sz w:val="28"/>
          <w:lang w:val="pt-BR"/>
        </w:rPr>
        <w:t xml:space="preserve"> - Officers’ Remuneration</w:t>
      </w:r>
    </w:p>
    <w:p w14:paraId="44C85A3E" w14:textId="77777777" w:rsidR="00774A2D" w:rsidRPr="000D67C6" w:rsidRDefault="00774A2D" w:rsidP="00774A2D">
      <w:pPr>
        <w:rPr>
          <w:lang w:val="pt-BR"/>
        </w:rPr>
      </w:pPr>
    </w:p>
    <w:p w14:paraId="553ADCCE" w14:textId="77777777" w:rsidR="00774A2D" w:rsidRPr="000D67C6" w:rsidRDefault="00774A2D" w:rsidP="00774A2D">
      <w:pPr>
        <w:rPr>
          <w:rFonts w:ascii="Arial" w:hAnsi="Arial" w:cs="Arial"/>
          <w:sz w:val="22"/>
          <w:szCs w:val="22"/>
          <w:lang w:val="pt-BR"/>
        </w:rPr>
      </w:pPr>
      <w:r w:rsidRPr="000D67C6">
        <w:rPr>
          <w:rFonts w:ascii="Arial" w:hAnsi="Arial" w:cs="Arial"/>
          <w:sz w:val="22"/>
          <w:szCs w:val="22"/>
          <w:lang w:val="pt-BR"/>
        </w:rPr>
        <w:t>The remuneration paid to the Authority’s senior employees is as follows:</w:t>
      </w:r>
    </w:p>
    <w:p w14:paraId="4E35B456" w14:textId="77777777" w:rsidR="00EE6B7B" w:rsidRPr="000D67C6" w:rsidRDefault="00EE6B7B" w:rsidP="00EE6B7B">
      <w:pPr>
        <w:rPr>
          <w:lang w:val="pt-BR"/>
        </w:rPr>
      </w:pPr>
    </w:p>
    <w:tbl>
      <w:tblPr>
        <w:tblW w:w="13184" w:type="dxa"/>
        <w:jc w:val="center"/>
        <w:tblLayout w:type="fixed"/>
        <w:tblLook w:val="04A0" w:firstRow="1" w:lastRow="0" w:firstColumn="1" w:lastColumn="0" w:noHBand="0" w:noVBand="1"/>
      </w:tblPr>
      <w:tblGrid>
        <w:gridCol w:w="3403"/>
        <w:gridCol w:w="850"/>
        <w:gridCol w:w="850"/>
        <w:gridCol w:w="1371"/>
        <w:gridCol w:w="1323"/>
        <w:gridCol w:w="1276"/>
        <w:gridCol w:w="1276"/>
        <w:gridCol w:w="1559"/>
        <w:gridCol w:w="1276"/>
      </w:tblGrid>
      <w:tr w:rsidR="008D78F8" w:rsidRPr="000D67C6" w14:paraId="2303A137" w14:textId="77777777" w:rsidTr="00E5421B">
        <w:trPr>
          <w:trHeight w:val="482"/>
          <w:jc w:val="center"/>
        </w:trPr>
        <w:tc>
          <w:tcPr>
            <w:tcW w:w="3403" w:type="dxa"/>
            <w:shd w:val="clear" w:color="auto" w:fill="auto"/>
            <w:tcMar>
              <w:top w:w="20" w:type="dxa"/>
              <w:left w:w="20" w:type="dxa"/>
              <w:bottom w:w="20" w:type="dxa"/>
              <w:right w:w="20" w:type="dxa"/>
            </w:tcMar>
            <w:vAlign w:val="bottom"/>
          </w:tcPr>
          <w:p w14:paraId="7D54177D" w14:textId="77777777" w:rsidR="008D78F8" w:rsidRPr="000D67C6" w:rsidRDefault="008D78F8" w:rsidP="00C30C08">
            <w:pPr>
              <w:pStyle w:val="T1TableStyle"/>
              <w:rPr>
                <w:rFonts w:ascii="Arial" w:eastAsia="Verdana" w:hAnsi="Arial" w:cs="Arial"/>
                <w:b/>
                <w:sz w:val="22"/>
                <w:szCs w:val="22"/>
                <w:lang w:val="pt-BR"/>
              </w:rPr>
            </w:pPr>
          </w:p>
        </w:tc>
        <w:tc>
          <w:tcPr>
            <w:tcW w:w="850" w:type="dxa"/>
          </w:tcPr>
          <w:p w14:paraId="1E1604DB" w14:textId="77777777" w:rsidR="008D78F8" w:rsidRPr="000D67C6" w:rsidRDefault="008D78F8" w:rsidP="00C30C08">
            <w:pPr>
              <w:pStyle w:val="T1TableStyle"/>
              <w:jc w:val="center"/>
              <w:rPr>
                <w:rFonts w:ascii="Arial" w:eastAsia="Verdana" w:hAnsi="Arial" w:cs="Arial"/>
                <w:b/>
                <w:sz w:val="22"/>
                <w:szCs w:val="22"/>
                <w:lang w:val="pt-BR"/>
              </w:rPr>
            </w:pPr>
          </w:p>
          <w:p w14:paraId="4DC51582" w14:textId="77777777" w:rsidR="008D78F8" w:rsidRPr="000D67C6" w:rsidRDefault="008D78F8" w:rsidP="00C30C08">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Note</w:t>
            </w:r>
          </w:p>
          <w:p w14:paraId="1CD6EECD" w14:textId="77777777" w:rsidR="008D78F8" w:rsidRPr="000D67C6" w:rsidRDefault="008D78F8" w:rsidP="00C30C08">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Ref</w:t>
            </w:r>
          </w:p>
          <w:p w14:paraId="7C93E864" w14:textId="77777777" w:rsidR="008D78F8" w:rsidRPr="000D67C6" w:rsidRDefault="008D78F8" w:rsidP="00C30C08">
            <w:pPr>
              <w:pStyle w:val="T1TableStyle"/>
              <w:jc w:val="center"/>
              <w:rPr>
                <w:rFonts w:ascii="Arial" w:eastAsia="Verdana" w:hAnsi="Arial" w:cs="Arial"/>
                <w:b/>
                <w:sz w:val="22"/>
                <w:szCs w:val="22"/>
                <w:lang w:val="pt-BR"/>
              </w:rPr>
            </w:pPr>
          </w:p>
        </w:tc>
        <w:tc>
          <w:tcPr>
            <w:tcW w:w="850" w:type="dxa"/>
            <w:shd w:val="clear" w:color="auto" w:fill="auto"/>
            <w:tcMar>
              <w:top w:w="20" w:type="dxa"/>
              <w:left w:w="20" w:type="dxa"/>
              <w:bottom w:w="20" w:type="dxa"/>
              <w:right w:w="20" w:type="dxa"/>
            </w:tcMar>
            <w:vAlign w:val="bottom"/>
          </w:tcPr>
          <w:p w14:paraId="51472DD4" w14:textId="77777777" w:rsidR="008D78F8" w:rsidRPr="000D67C6" w:rsidRDefault="008D78F8" w:rsidP="00C30C08">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1371" w:type="dxa"/>
            <w:shd w:val="clear" w:color="auto" w:fill="auto"/>
            <w:tcMar>
              <w:top w:w="20" w:type="dxa"/>
              <w:left w:w="20" w:type="dxa"/>
              <w:bottom w:w="20" w:type="dxa"/>
              <w:right w:w="20" w:type="dxa"/>
            </w:tcMar>
            <w:vAlign w:val="center"/>
          </w:tcPr>
          <w:p w14:paraId="32B5EE44"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Salary, Fees and Allowances</w:t>
            </w:r>
          </w:p>
        </w:tc>
        <w:tc>
          <w:tcPr>
            <w:tcW w:w="1323" w:type="dxa"/>
            <w:shd w:val="clear" w:color="auto" w:fill="auto"/>
            <w:tcMar>
              <w:top w:w="20" w:type="dxa"/>
              <w:left w:w="20" w:type="dxa"/>
              <w:bottom w:w="20" w:type="dxa"/>
              <w:right w:w="20" w:type="dxa"/>
            </w:tcMar>
            <w:vAlign w:val="center"/>
          </w:tcPr>
          <w:p w14:paraId="08826ECA"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Other Payments</w:t>
            </w:r>
          </w:p>
        </w:tc>
        <w:tc>
          <w:tcPr>
            <w:tcW w:w="1276" w:type="dxa"/>
            <w:shd w:val="clear" w:color="auto" w:fill="auto"/>
            <w:tcMar>
              <w:top w:w="20" w:type="dxa"/>
              <w:left w:w="20" w:type="dxa"/>
              <w:bottom w:w="20" w:type="dxa"/>
              <w:right w:w="20" w:type="dxa"/>
            </w:tcMar>
            <w:vAlign w:val="center"/>
          </w:tcPr>
          <w:p w14:paraId="0EE0E4D2"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Expenses Allowances</w:t>
            </w:r>
          </w:p>
        </w:tc>
        <w:tc>
          <w:tcPr>
            <w:tcW w:w="1276" w:type="dxa"/>
            <w:vAlign w:val="center"/>
          </w:tcPr>
          <w:p w14:paraId="64B710EC"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Benefit in Kind </w:t>
            </w:r>
            <w:r w:rsidRPr="000D67C6">
              <w:rPr>
                <w:rFonts w:ascii="Arial" w:hAnsi="Arial" w:cs="Arial"/>
                <w:b/>
                <w:bCs/>
                <w:sz w:val="22"/>
                <w:szCs w:val="22"/>
              </w:rPr>
              <w:t>*</w:t>
            </w:r>
          </w:p>
        </w:tc>
        <w:tc>
          <w:tcPr>
            <w:tcW w:w="1559" w:type="dxa"/>
            <w:shd w:val="clear" w:color="auto" w:fill="auto"/>
            <w:tcMar>
              <w:top w:w="20" w:type="dxa"/>
              <w:left w:w="20" w:type="dxa"/>
              <w:bottom w:w="20" w:type="dxa"/>
              <w:right w:w="20" w:type="dxa"/>
            </w:tcMar>
            <w:vAlign w:val="center"/>
          </w:tcPr>
          <w:p w14:paraId="5E111642"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Employers’</w:t>
            </w:r>
          </w:p>
          <w:p w14:paraId="508FCABA"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Pension Contribution</w:t>
            </w:r>
          </w:p>
        </w:tc>
        <w:tc>
          <w:tcPr>
            <w:tcW w:w="1276" w:type="dxa"/>
            <w:shd w:val="clear" w:color="auto" w:fill="auto"/>
            <w:tcMar>
              <w:top w:w="20" w:type="dxa"/>
              <w:left w:w="20" w:type="dxa"/>
              <w:bottom w:w="20" w:type="dxa"/>
              <w:right w:w="20" w:type="dxa"/>
            </w:tcMar>
            <w:vAlign w:val="center"/>
          </w:tcPr>
          <w:p w14:paraId="376118DD"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Total</w:t>
            </w:r>
          </w:p>
        </w:tc>
      </w:tr>
      <w:tr w:rsidR="008D78F8" w:rsidRPr="000D67C6" w14:paraId="63FF0FD3" w14:textId="77777777" w:rsidTr="00E5421B">
        <w:trPr>
          <w:trHeight w:val="48"/>
          <w:jc w:val="center"/>
        </w:trPr>
        <w:tc>
          <w:tcPr>
            <w:tcW w:w="3403" w:type="dxa"/>
            <w:tcBorders>
              <w:bottom w:val="single" w:sz="2" w:space="0" w:color="000000"/>
            </w:tcBorders>
            <w:shd w:val="clear" w:color="auto" w:fill="auto"/>
            <w:tcMar>
              <w:top w:w="20" w:type="dxa"/>
              <w:left w:w="20" w:type="dxa"/>
              <w:bottom w:w="20" w:type="dxa"/>
              <w:right w:w="20" w:type="dxa"/>
            </w:tcMar>
          </w:tcPr>
          <w:p w14:paraId="5D4C8708" w14:textId="77777777" w:rsidR="008D78F8" w:rsidRPr="000D67C6" w:rsidRDefault="008D78F8" w:rsidP="00C30C08">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850" w:type="dxa"/>
            <w:tcBorders>
              <w:bottom w:val="single" w:sz="2" w:space="0" w:color="000000"/>
            </w:tcBorders>
          </w:tcPr>
          <w:p w14:paraId="5BE525C1" w14:textId="77777777" w:rsidR="008D78F8" w:rsidRPr="000D67C6" w:rsidRDefault="008D78F8" w:rsidP="00C30C08">
            <w:pPr>
              <w:pStyle w:val="T1TableStyle"/>
              <w:jc w:val="center"/>
              <w:rPr>
                <w:rFonts w:ascii="Arial" w:eastAsia="Verdana" w:hAnsi="Arial" w:cs="Arial"/>
                <w:sz w:val="22"/>
                <w:szCs w:val="22"/>
                <w:lang w:val="pt-BR"/>
              </w:rPr>
            </w:pPr>
          </w:p>
        </w:tc>
        <w:tc>
          <w:tcPr>
            <w:tcW w:w="850" w:type="dxa"/>
            <w:tcBorders>
              <w:bottom w:val="single" w:sz="2" w:space="0" w:color="000000"/>
            </w:tcBorders>
            <w:shd w:val="clear" w:color="auto" w:fill="auto"/>
            <w:tcMar>
              <w:top w:w="20" w:type="dxa"/>
              <w:left w:w="20" w:type="dxa"/>
              <w:bottom w:w="20" w:type="dxa"/>
              <w:right w:w="20" w:type="dxa"/>
            </w:tcMar>
          </w:tcPr>
          <w:p w14:paraId="00E653E1" w14:textId="77777777" w:rsidR="008D78F8" w:rsidRPr="000D67C6" w:rsidRDefault="008D78F8" w:rsidP="00C30C08">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 </w:t>
            </w:r>
          </w:p>
        </w:tc>
        <w:tc>
          <w:tcPr>
            <w:tcW w:w="1371" w:type="dxa"/>
            <w:tcBorders>
              <w:bottom w:val="single" w:sz="2" w:space="0" w:color="000000"/>
            </w:tcBorders>
            <w:shd w:val="clear" w:color="auto" w:fill="auto"/>
            <w:tcMar>
              <w:top w:w="20" w:type="dxa"/>
              <w:left w:w="20" w:type="dxa"/>
              <w:bottom w:w="20" w:type="dxa"/>
              <w:right w:w="20" w:type="dxa"/>
            </w:tcMar>
            <w:vAlign w:val="bottom"/>
          </w:tcPr>
          <w:p w14:paraId="1F2C8E65"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p>
        </w:tc>
        <w:tc>
          <w:tcPr>
            <w:tcW w:w="1323" w:type="dxa"/>
            <w:tcBorders>
              <w:bottom w:val="single" w:sz="2" w:space="0" w:color="000000"/>
            </w:tcBorders>
            <w:shd w:val="clear" w:color="auto" w:fill="auto"/>
            <w:tcMar>
              <w:top w:w="20" w:type="dxa"/>
              <w:left w:w="20" w:type="dxa"/>
              <w:bottom w:w="20" w:type="dxa"/>
              <w:right w:w="20" w:type="dxa"/>
            </w:tcMar>
            <w:vAlign w:val="bottom"/>
          </w:tcPr>
          <w:p w14:paraId="0B5F8041"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69C7E822"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p>
        </w:tc>
        <w:tc>
          <w:tcPr>
            <w:tcW w:w="1276" w:type="dxa"/>
            <w:tcBorders>
              <w:bottom w:val="single" w:sz="2" w:space="0" w:color="000000"/>
            </w:tcBorders>
            <w:vAlign w:val="center"/>
          </w:tcPr>
          <w:p w14:paraId="3521507C"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hAnsi="Arial" w:cs="Arial"/>
                <w:b/>
                <w:bCs/>
                <w:sz w:val="22"/>
                <w:szCs w:val="22"/>
              </w:rPr>
              <w:t>£</w:t>
            </w:r>
          </w:p>
        </w:tc>
        <w:tc>
          <w:tcPr>
            <w:tcW w:w="1559" w:type="dxa"/>
            <w:tcBorders>
              <w:bottom w:val="single" w:sz="2" w:space="0" w:color="000000"/>
            </w:tcBorders>
            <w:shd w:val="clear" w:color="auto" w:fill="auto"/>
            <w:tcMar>
              <w:top w:w="20" w:type="dxa"/>
              <w:left w:w="20" w:type="dxa"/>
              <w:bottom w:w="20" w:type="dxa"/>
              <w:right w:w="20" w:type="dxa"/>
            </w:tcMar>
            <w:vAlign w:val="bottom"/>
          </w:tcPr>
          <w:p w14:paraId="5A196509"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1B45E8C2"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w:t>
            </w:r>
          </w:p>
        </w:tc>
      </w:tr>
      <w:tr w:rsidR="008D78F8" w:rsidRPr="000D67C6" w14:paraId="03625112" w14:textId="77777777" w:rsidTr="00E5421B">
        <w:trPr>
          <w:trHeight w:val="210"/>
          <w:jc w:val="center"/>
        </w:trPr>
        <w:tc>
          <w:tcPr>
            <w:tcW w:w="3403" w:type="dxa"/>
            <w:tcBorders>
              <w:top w:val="single" w:sz="2" w:space="0" w:color="000000"/>
            </w:tcBorders>
            <w:shd w:val="clear" w:color="auto" w:fill="auto"/>
            <w:tcMar>
              <w:top w:w="20" w:type="dxa"/>
              <w:left w:w="20" w:type="dxa"/>
              <w:bottom w:w="20" w:type="dxa"/>
              <w:right w:w="20" w:type="dxa"/>
            </w:tcMar>
          </w:tcPr>
          <w:p w14:paraId="4B0EF814" w14:textId="77777777" w:rsidR="008D78F8" w:rsidRPr="000D67C6" w:rsidRDefault="008D78F8" w:rsidP="00C30C08">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Chief Fire Officer </w:t>
            </w:r>
          </w:p>
        </w:tc>
        <w:tc>
          <w:tcPr>
            <w:tcW w:w="850" w:type="dxa"/>
          </w:tcPr>
          <w:p w14:paraId="184FFCB9" w14:textId="77777777" w:rsidR="008D78F8" w:rsidRPr="000D67C6" w:rsidRDefault="008D78F8" w:rsidP="00C30C08">
            <w:pPr>
              <w:pStyle w:val="T1TableStyle"/>
              <w:jc w:val="center"/>
              <w:rPr>
                <w:rFonts w:ascii="Arial" w:eastAsia="Verdana" w:hAnsi="Arial" w:cs="Arial"/>
                <w:sz w:val="22"/>
                <w:szCs w:val="22"/>
                <w:lang w:val="pt-BR"/>
              </w:rPr>
            </w:pPr>
          </w:p>
        </w:tc>
        <w:tc>
          <w:tcPr>
            <w:tcW w:w="850" w:type="dxa"/>
            <w:shd w:val="clear" w:color="auto" w:fill="auto"/>
            <w:tcMar>
              <w:top w:w="20" w:type="dxa"/>
              <w:left w:w="20" w:type="dxa"/>
              <w:bottom w:w="20" w:type="dxa"/>
              <w:right w:w="20" w:type="dxa"/>
            </w:tcMar>
          </w:tcPr>
          <w:p w14:paraId="4F9EF66F" w14:textId="77777777" w:rsidR="008D78F8" w:rsidRPr="000D67C6" w:rsidRDefault="008D78F8" w:rsidP="00C30C08">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shd w:val="clear" w:color="auto" w:fill="auto"/>
            <w:tcMar>
              <w:top w:w="20" w:type="dxa"/>
              <w:left w:w="20" w:type="dxa"/>
              <w:bottom w:w="20" w:type="dxa"/>
              <w:right w:w="20" w:type="dxa"/>
            </w:tcMar>
          </w:tcPr>
          <w:p w14:paraId="2060E721"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147,195</w:t>
            </w:r>
          </w:p>
        </w:tc>
        <w:tc>
          <w:tcPr>
            <w:tcW w:w="1323" w:type="dxa"/>
            <w:shd w:val="clear" w:color="auto" w:fill="auto"/>
            <w:tcMar>
              <w:top w:w="20" w:type="dxa"/>
              <w:left w:w="20" w:type="dxa"/>
              <w:bottom w:w="20" w:type="dxa"/>
              <w:right w:w="20" w:type="dxa"/>
            </w:tcMar>
          </w:tcPr>
          <w:p w14:paraId="408F988E"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tcPr>
          <w:p w14:paraId="5FDC68EF"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70</w:t>
            </w:r>
          </w:p>
        </w:tc>
        <w:tc>
          <w:tcPr>
            <w:tcW w:w="1276" w:type="dxa"/>
            <w:vAlign w:val="center"/>
          </w:tcPr>
          <w:p w14:paraId="25B28180"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shd w:val="clear" w:color="auto" w:fill="auto"/>
            <w:tcMar>
              <w:top w:w="20" w:type="dxa"/>
              <w:left w:w="20" w:type="dxa"/>
              <w:bottom w:w="20" w:type="dxa"/>
              <w:right w:w="20" w:type="dxa"/>
            </w:tcMar>
          </w:tcPr>
          <w:p w14:paraId="4C1EDBD3"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vAlign w:val="center"/>
          </w:tcPr>
          <w:p w14:paraId="56E3FCB3" w14:textId="77777777" w:rsidR="008D78F8" w:rsidRPr="000D67C6" w:rsidRDefault="008D78F8" w:rsidP="00C30C08">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147,265</w:t>
            </w:r>
          </w:p>
        </w:tc>
      </w:tr>
      <w:tr w:rsidR="008D78F8" w:rsidRPr="000D67C6" w14:paraId="6780A4DF" w14:textId="77777777" w:rsidTr="00E5421B">
        <w:trPr>
          <w:trHeight w:val="210"/>
          <w:jc w:val="center"/>
        </w:trPr>
        <w:tc>
          <w:tcPr>
            <w:tcW w:w="3403" w:type="dxa"/>
            <w:shd w:val="clear" w:color="auto" w:fill="auto"/>
            <w:tcMar>
              <w:top w:w="20" w:type="dxa"/>
              <w:left w:w="20" w:type="dxa"/>
              <w:bottom w:w="20" w:type="dxa"/>
              <w:right w:w="20" w:type="dxa"/>
            </w:tcMar>
          </w:tcPr>
          <w:p w14:paraId="6DCCE48C" w14:textId="77777777" w:rsidR="008D78F8" w:rsidRPr="000D67C6" w:rsidRDefault="008D78F8"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850" w:type="dxa"/>
            <w:tcBorders>
              <w:bottom w:val="single" w:sz="2" w:space="0" w:color="000000"/>
            </w:tcBorders>
          </w:tcPr>
          <w:p w14:paraId="6868B3DC" w14:textId="77777777" w:rsidR="008D78F8" w:rsidRPr="000D67C6" w:rsidRDefault="008D78F8" w:rsidP="00A255EF">
            <w:pPr>
              <w:pStyle w:val="T1TableStyle"/>
              <w:jc w:val="center"/>
              <w:rPr>
                <w:rFonts w:ascii="Arial" w:eastAsia="Verdana" w:hAnsi="Arial" w:cs="Arial"/>
                <w:sz w:val="22"/>
                <w:szCs w:val="22"/>
                <w:lang w:val="pt-BR"/>
              </w:rPr>
            </w:pPr>
          </w:p>
        </w:tc>
        <w:tc>
          <w:tcPr>
            <w:tcW w:w="850" w:type="dxa"/>
            <w:tcBorders>
              <w:bottom w:val="single" w:sz="2" w:space="0" w:color="000000"/>
            </w:tcBorders>
            <w:shd w:val="clear" w:color="auto" w:fill="auto"/>
            <w:tcMar>
              <w:top w:w="20" w:type="dxa"/>
              <w:left w:w="20" w:type="dxa"/>
              <w:bottom w:w="20" w:type="dxa"/>
              <w:right w:w="20" w:type="dxa"/>
            </w:tcMar>
          </w:tcPr>
          <w:p w14:paraId="13C8F96F" w14:textId="77777777" w:rsidR="008D78F8" w:rsidRPr="000D67C6" w:rsidRDefault="008D78F8"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2" w:space="0" w:color="000000"/>
            </w:tcBorders>
            <w:shd w:val="clear" w:color="auto" w:fill="auto"/>
            <w:tcMar>
              <w:top w:w="20" w:type="dxa"/>
              <w:left w:w="20" w:type="dxa"/>
              <w:bottom w:w="20" w:type="dxa"/>
              <w:right w:w="20" w:type="dxa"/>
            </w:tcMar>
          </w:tcPr>
          <w:p w14:paraId="2015CA21"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144,663</w:t>
            </w:r>
          </w:p>
        </w:tc>
        <w:tc>
          <w:tcPr>
            <w:tcW w:w="1323" w:type="dxa"/>
            <w:tcBorders>
              <w:bottom w:val="single" w:sz="2" w:space="0" w:color="000000"/>
            </w:tcBorders>
            <w:shd w:val="clear" w:color="auto" w:fill="auto"/>
            <w:tcMar>
              <w:top w:w="20" w:type="dxa"/>
              <w:left w:w="20" w:type="dxa"/>
              <w:bottom w:w="20" w:type="dxa"/>
              <w:right w:w="20" w:type="dxa"/>
            </w:tcMar>
          </w:tcPr>
          <w:p w14:paraId="7EF80D4E"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tcPr>
          <w:p w14:paraId="0D2367D1"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vAlign w:val="center"/>
          </w:tcPr>
          <w:p w14:paraId="225287C8"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6,655</w:t>
            </w:r>
          </w:p>
        </w:tc>
        <w:tc>
          <w:tcPr>
            <w:tcW w:w="1559" w:type="dxa"/>
            <w:tcBorders>
              <w:bottom w:val="single" w:sz="2" w:space="0" w:color="000000"/>
            </w:tcBorders>
            <w:shd w:val="clear" w:color="auto" w:fill="auto"/>
            <w:tcMar>
              <w:top w:w="20" w:type="dxa"/>
              <w:left w:w="20" w:type="dxa"/>
              <w:bottom w:w="20" w:type="dxa"/>
              <w:right w:w="20" w:type="dxa"/>
            </w:tcMar>
          </w:tcPr>
          <w:p w14:paraId="532FC8BD"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vAlign w:val="center"/>
          </w:tcPr>
          <w:p w14:paraId="6B34E6A1" w14:textId="77777777" w:rsidR="008D78F8" w:rsidRPr="000D67C6" w:rsidRDefault="008D78F8" w:rsidP="00A255EF">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151,318</w:t>
            </w:r>
          </w:p>
        </w:tc>
      </w:tr>
      <w:tr w:rsidR="008D78F8" w:rsidRPr="000D67C6" w14:paraId="6A896BB0" w14:textId="77777777" w:rsidTr="00E5421B">
        <w:trPr>
          <w:trHeight w:val="210"/>
          <w:jc w:val="center"/>
        </w:trPr>
        <w:tc>
          <w:tcPr>
            <w:tcW w:w="3403" w:type="dxa"/>
            <w:tcBorders>
              <w:top w:val="single" w:sz="2" w:space="0" w:color="000000"/>
            </w:tcBorders>
            <w:shd w:val="clear" w:color="auto" w:fill="auto"/>
            <w:tcMar>
              <w:top w:w="20" w:type="dxa"/>
              <w:left w:w="20" w:type="dxa"/>
              <w:bottom w:w="20" w:type="dxa"/>
              <w:right w:w="20" w:type="dxa"/>
            </w:tcMar>
          </w:tcPr>
          <w:p w14:paraId="4D41FEEA" w14:textId="77777777" w:rsidR="008D78F8" w:rsidRPr="000D67C6" w:rsidRDefault="008D78F8" w:rsidP="00C30C08">
            <w:pPr>
              <w:pStyle w:val="T1TableStyle"/>
              <w:rPr>
                <w:rFonts w:ascii="Arial" w:eastAsia="Verdana" w:hAnsi="Arial" w:cs="Arial"/>
                <w:b/>
                <w:sz w:val="22"/>
                <w:szCs w:val="22"/>
                <w:lang w:val="pt-BR"/>
              </w:rPr>
            </w:pPr>
            <w:r w:rsidRPr="000D67C6">
              <w:rPr>
                <w:rFonts w:ascii="Arial" w:eastAsia="Verdana" w:hAnsi="Arial" w:cs="Arial"/>
                <w:b/>
                <w:sz w:val="22"/>
                <w:szCs w:val="22"/>
                <w:lang w:val="pt-BR"/>
              </w:rPr>
              <w:t>Deputy Chief Fire Officer 1</w:t>
            </w:r>
          </w:p>
        </w:tc>
        <w:tc>
          <w:tcPr>
            <w:tcW w:w="850" w:type="dxa"/>
            <w:tcBorders>
              <w:top w:val="single" w:sz="2" w:space="0" w:color="000000"/>
            </w:tcBorders>
          </w:tcPr>
          <w:p w14:paraId="77DD332B" w14:textId="77777777" w:rsidR="008D78F8" w:rsidRPr="000D67C6" w:rsidRDefault="008D78F8" w:rsidP="00C30C08">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2</w:t>
            </w:r>
          </w:p>
        </w:tc>
        <w:tc>
          <w:tcPr>
            <w:tcW w:w="850" w:type="dxa"/>
            <w:tcBorders>
              <w:top w:val="single" w:sz="2" w:space="0" w:color="000000"/>
            </w:tcBorders>
            <w:shd w:val="clear" w:color="auto" w:fill="auto"/>
            <w:tcMar>
              <w:top w:w="20" w:type="dxa"/>
              <w:left w:w="20" w:type="dxa"/>
              <w:bottom w:w="20" w:type="dxa"/>
              <w:right w:w="20" w:type="dxa"/>
            </w:tcMar>
          </w:tcPr>
          <w:p w14:paraId="7C00E27E" w14:textId="77777777" w:rsidR="008D78F8" w:rsidRPr="000D67C6" w:rsidRDefault="008D78F8" w:rsidP="00C30C08">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2" w:space="0" w:color="000000"/>
            </w:tcBorders>
            <w:shd w:val="clear" w:color="auto" w:fill="auto"/>
            <w:tcMar>
              <w:top w:w="20" w:type="dxa"/>
              <w:left w:w="20" w:type="dxa"/>
              <w:bottom w:w="20" w:type="dxa"/>
              <w:right w:w="20" w:type="dxa"/>
            </w:tcMar>
          </w:tcPr>
          <w:p w14:paraId="48FDEEF0"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62,179</w:t>
            </w:r>
          </w:p>
        </w:tc>
        <w:tc>
          <w:tcPr>
            <w:tcW w:w="1323" w:type="dxa"/>
            <w:tcBorders>
              <w:top w:val="single" w:sz="2" w:space="0" w:color="000000"/>
            </w:tcBorders>
            <w:shd w:val="clear" w:color="auto" w:fill="auto"/>
            <w:tcMar>
              <w:top w:w="20" w:type="dxa"/>
              <w:left w:w="20" w:type="dxa"/>
              <w:bottom w:w="20" w:type="dxa"/>
              <w:right w:w="20" w:type="dxa"/>
            </w:tcMar>
          </w:tcPr>
          <w:p w14:paraId="50C44E12"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shd w:val="clear" w:color="auto" w:fill="auto"/>
            <w:tcMar>
              <w:top w:w="20" w:type="dxa"/>
              <w:left w:w="20" w:type="dxa"/>
              <w:bottom w:w="20" w:type="dxa"/>
              <w:right w:w="20" w:type="dxa"/>
            </w:tcMar>
          </w:tcPr>
          <w:p w14:paraId="15F3DD10"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vAlign w:val="center"/>
          </w:tcPr>
          <w:p w14:paraId="47745E18"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top w:val="single" w:sz="2" w:space="0" w:color="000000"/>
            </w:tcBorders>
            <w:shd w:val="clear" w:color="auto" w:fill="auto"/>
            <w:tcMar>
              <w:top w:w="20" w:type="dxa"/>
              <w:left w:w="20" w:type="dxa"/>
              <w:bottom w:w="20" w:type="dxa"/>
              <w:right w:w="20" w:type="dxa"/>
            </w:tcMar>
          </w:tcPr>
          <w:p w14:paraId="564A89CC" w14:textId="77777777" w:rsidR="008D78F8" w:rsidRPr="000D67C6" w:rsidRDefault="008D78F8" w:rsidP="00C30C08">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15,856</w:t>
            </w:r>
          </w:p>
        </w:tc>
        <w:tc>
          <w:tcPr>
            <w:tcW w:w="1276" w:type="dxa"/>
            <w:tcBorders>
              <w:top w:val="single" w:sz="2" w:space="0" w:color="000000"/>
            </w:tcBorders>
            <w:shd w:val="clear" w:color="auto" w:fill="auto"/>
            <w:tcMar>
              <w:top w:w="20" w:type="dxa"/>
              <w:left w:w="20" w:type="dxa"/>
              <w:bottom w:w="20" w:type="dxa"/>
              <w:right w:w="20" w:type="dxa"/>
            </w:tcMar>
            <w:vAlign w:val="center"/>
          </w:tcPr>
          <w:p w14:paraId="0495311A" w14:textId="77777777" w:rsidR="008D78F8" w:rsidRPr="000D67C6" w:rsidRDefault="008D78F8" w:rsidP="00C30C08">
            <w:pPr>
              <w:pStyle w:val="T1TableStyle"/>
              <w:jc w:val="right"/>
              <w:rPr>
                <w:rFonts w:ascii="Arial" w:hAnsi="Arial" w:cs="Arial"/>
                <w:b/>
                <w:sz w:val="22"/>
                <w:szCs w:val="22"/>
              </w:rPr>
            </w:pPr>
            <w:r w:rsidRPr="000D67C6">
              <w:rPr>
                <w:rFonts w:ascii="Arial" w:hAnsi="Arial" w:cs="Arial"/>
                <w:b/>
                <w:sz w:val="22"/>
                <w:szCs w:val="22"/>
              </w:rPr>
              <w:t>78,035</w:t>
            </w:r>
          </w:p>
        </w:tc>
      </w:tr>
      <w:tr w:rsidR="008D78F8" w:rsidRPr="000D67C6" w14:paraId="7D4EE21A"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34F53673" w14:textId="77777777" w:rsidR="008D78F8" w:rsidRPr="000D67C6" w:rsidRDefault="008D78F8" w:rsidP="00A255EF">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850" w:type="dxa"/>
            <w:tcBorders>
              <w:bottom w:val="single" w:sz="2" w:space="0" w:color="000000"/>
            </w:tcBorders>
          </w:tcPr>
          <w:p w14:paraId="3E36A8C1" w14:textId="77777777" w:rsidR="008D78F8" w:rsidRPr="000D67C6" w:rsidRDefault="008D78F8" w:rsidP="00A255EF">
            <w:pPr>
              <w:pStyle w:val="T1TableStyle"/>
              <w:jc w:val="center"/>
              <w:rPr>
                <w:rFonts w:ascii="Arial" w:eastAsia="Verdana" w:hAnsi="Arial" w:cs="Arial"/>
                <w:sz w:val="22"/>
                <w:szCs w:val="22"/>
                <w:lang w:val="pt-BR"/>
              </w:rPr>
            </w:pPr>
          </w:p>
        </w:tc>
        <w:tc>
          <w:tcPr>
            <w:tcW w:w="850" w:type="dxa"/>
            <w:tcBorders>
              <w:bottom w:val="single" w:sz="2" w:space="0" w:color="000000"/>
            </w:tcBorders>
            <w:shd w:val="clear" w:color="auto" w:fill="auto"/>
            <w:tcMar>
              <w:top w:w="20" w:type="dxa"/>
              <w:left w:w="20" w:type="dxa"/>
              <w:bottom w:w="20" w:type="dxa"/>
              <w:right w:w="20" w:type="dxa"/>
            </w:tcMar>
          </w:tcPr>
          <w:p w14:paraId="51F4B8D2" w14:textId="77777777" w:rsidR="008D78F8" w:rsidRPr="000D67C6" w:rsidRDefault="008D78F8" w:rsidP="00A255EF">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2" w:space="0" w:color="000000"/>
            </w:tcBorders>
            <w:shd w:val="clear" w:color="auto" w:fill="auto"/>
            <w:tcMar>
              <w:top w:w="20" w:type="dxa"/>
              <w:left w:w="20" w:type="dxa"/>
              <w:bottom w:w="20" w:type="dxa"/>
              <w:right w:w="20" w:type="dxa"/>
            </w:tcMar>
          </w:tcPr>
          <w:p w14:paraId="34633FC9"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137,292</w:t>
            </w:r>
          </w:p>
        </w:tc>
        <w:tc>
          <w:tcPr>
            <w:tcW w:w="1323" w:type="dxa"/>
            <w:tcBorders>
              <w:bottom w:val="single" w:sz="2" w:space="0" w:color="000000"/>
            </w:tcBorders>
            <w:shd w:val="clear" w:color="auto" w:fill="auto"/>
            <w:tcMar>
              <w:top w:w="20" w:type="dxa"/>
              <w:left w:w="20" w:type="dxa"/>
              <w:bottom w:w="20" w:type="dxa"/>
              <w:right w:w="20" w:type="dxa"/>
            </w:tcMar>
          </w:tcPr>
          <w:p w14:paraId="5E92C049"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tcPr>
          <w:p w14:paraId="3EE78830"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vAlign w:val="center"/>
          </w:tcPr>
          <w:p w14:paraId="536060D8"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1,290</w:t>
            </w:r>
          </w:p>
        </w:tc>
        <w:tc>
          <w:tcPr>
            <w:tcW w:w="1559" w:type="dxa"/>
            <w:tcBorders>
              <w:bottom w:val="single" w:sz="2" w:space="0" w:color="000000"/>
            </w:tcBorders>
            <w:shd w:val="clear" w:color="auto" w:fill="auto"/>
            <w:tcMar>
              <w:top w:w="20" w:type="dxa"/>
              <w:left w:w="20" w:type="dxa"/>
              <w:bottom w:w="20" w:type="dxa"/>
              <w:right w:w="20" w:type="dxa"/>
            </w:tcMar>
          </w:tcPr>
          <w:p w14:paraId="33701C48" w14:textId="77777777" w:rsidR="008D78F8" w:rsidRPr="000D67C6" w:rsidRDefault="008D78F8" w:rsidP="00A255EF">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35,010</w:t>
            </w:r>
          </w:p>
        </w:tc>
        <w:tc>
          <w:tcPr>
            <w:tcW w:w="1276" w:type="dxa"/>
            <w:tcBorders>
              <w:bottom w:val="single" w:sz="2" w:space="0" w:color="000000"/>
            </w:tcBorders>
            <w:shd w:val="clear" w:color="auto" w:fill="auto"/>
            <w:tcMar>
              <w:top w:w="20" w:type="dxa"/>
              <w:left w:w="20" w:type="dxa"/>
              <w:bottom w:w="20" w:type="dxa"/>
              <w:right w:w="20" w:type="dxa"/>
            </w:tcMar>
            <w:vAlign w:val="center"/>
          </w:tcPr>
          <w:p w14:paraId="6EF9B984" w14:textId="77777777" w:rsidR="008D78F8" w:rsidRPr="000D67C6" w:rsidRDefault="008D78F8" w:rsidP="00A255EF">
            <w:pPr>
              <w:pStyle w:val="T1TableStyle"/>
              <w:jc w:val="right"/>
              <w:rPr>
                <w:rFonts w:ascii="Arial" w:hAnsi="Arial" w:cs="Arial"/>
                <w:b/>
                <w:sz w:val="22"/>
                <w:szCs w:val="22"/>
              </w:rPr>
            </w:pPr>
            <w:r w:rsidRPr="000D67C6">
              <w:rPr>
                <w:rFonts w:ascii="Arial" w:hAnsi="Arial" w:cs="Arial"/>
                <w:b/>
                <w:sz w:val="22"/>
                <w:szCs w:val="22"/>
              </w:rPr>
              <w:t>173,592</w:t>
            </w:r>
          </w:p>
        </w:tc>
      </w:tr>
      <w:tr w:rsidR="008D78F8" w:rsidRPr="000D67C6" w14:paraId="40348C26" w14:textId="77777777" w:rsidTr="00E5421B">
        <w:trPr>
          <w:trHeight w:val="210"/>
          <w:jc w:val="center"/>
        </w:trPr>
        <w:tc>
          <w:tcPr>
            <w:tcW w:w="3403" w:type="dxa"/>
            <w:shd w:val="clear" w:color="auto" w:fill="auto"/>
            <w:tcMar>
              <w:top w:w="20" w:type="dxa"/>
              <w:left w:w="20" w:type="dxa"/>
              <w:bottom w:w="20" w:type="dxa"/>
              <w:right w:w="20" w:type="dxa"/>
            </w:tcMar>
          </w:tcPr>
          <w:p w14:paraId="5645080A" w14:textId="40C8CB3D" w:rsidR="008D78F8" w:rsidRPr="000D67C6" w:rsidRDefault="0049732A"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Temporary </w:t>
            </w:r>
            <w:r w:rsidR="008D78F8" w:rsidRPr="000D67C6">
              <w:rPr>
                <w:rFonts w:ascii="Arial" w:eastAsia="Verdana" w:hAnsi="Arial" w:cs="Arial"/>
                <w:b/>
                <w:sz w:val="22"/>
                <w:szCs w:val="22"/>
                <w:lang w:val="pt-BR"/>
              </w:rPr>
              <w:t>Deputy Chief Fire Officer 2</w:t>
            </w:r>
          </w:p>
        </w:tc>
        <w:tc>
          <w:tcPr>
            <w:tcW w:w="850" w:type="dxa"/>
          </w:tcPr>
          <w:p w14:paraId="31524691" w14:textId="77777777" w:rsidR="008D78F8" w:rsidRPr="000D67C6" w:rsidRDefault="008D78F8" w:rsidP="006A551B">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3</w:t>
            </w:r>
          </w:p>
        </w:tc>
        <w:tc>
          <w:tcPr>
            <w:tcW w:w="850" w:type="dxa"/>
            <w:shd w:val="clear" w:color="auto" w:fill="auto"/>
            <w:tcMar>
              <w:top w:w="20" w:type="dxa"/>
              <w:left w:w="20" w:type="dxa"/>
              <w:bottom w:w="20" w:type="dxa"/>
              <w:right w:w="20" w:type="dxa"/>
            </w:tcMar>
          </w:tcPr>
          <w:p w14:paraId="3C6A07D6"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shd w:val="clear" w:color="auto" w:fill="auto"/>
            <w:tcMar>
              <w:top w:w="20" w:type="dxa"/>
              <w:left w:w="20" w:type="dxa"/>
              <w:bottom w:w="20" w:type="dxa"/>
              <w:right w:w="20" w:type="dxa"/>
            </w:tcMar>
          </w:tcPr>
          <w:p w14:paraId="4ABB6A7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121,823</w:t>
            </w:r>
          </w:p>
        </w:tc>
        <w:tc>
          <w:tcPr>
            <w:tcW w:w="1323" w:type="dxa"/>
            <w:shd w:val="clear" w:color="auto" w:fill="auto"/>
            <w:tcMar>
              <w:top w:w="20" w:type="dxa"/>
              <w:left w:w="20" w:type="dxa"/>
              <w:bottom w:w="20" w:type="dxa"/>
              <w:right w:w="20" w:type="dxa"/>
            </w:tcMar>
          </w:tcPr>
          <w:p w14:paraId="12EF58C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tcPr>
          <w:p w14:paraId="032CA694"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233</w:t>
            </w:r>
          </w:p>
        </w:tc>
        <w:tc>
          <w:tcPr>
            <w:tcW w:w="1276" w:type="dxa"/>
            <w:vAlign w:val="center"/>
          </w:tcPr>
          <w:p w14:paraId="62FF33A9"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shd w:val="clear" w:color="auto" w:fill="auto"/>
            <w:tcMar>
              <w:top w:w="20" w:type="dxa"/>
              <w:left w:w="20" w:type="dxa"/>
              <w:bottom w:w="20" w:type="dxa"/>
              <w:right w:w="20" w:type="dxa"/>
            </w:tcMar>
          </w:tcPr>
          <w:p w14:paraId="736DC79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vAlign w:val="center"/>
          </w:tcPr>
          <w:p w14:paraId="558DE91B" w14:textId="77777777" w:rsidR="008D78F8" w:rsidRPr="000D67C6" w:rsidRDefault="008D78F8" w:rsidP="006A551B">
            <w:pPr>
              <w:pStyle w:val="T1TableStyle"/>
              <w:jc w:val="right"/>
              <w:rPr>
                <w:rFonts w:ascii="Arial" w:hAnsi="Arial" w:cs="Arial"/>
                <w:b/>
                <w:sz w:val="22"/>
                <w:szCs w:val="22"/>
              </w:rPr>
            </w:pPr>
            <w:r w:rsidRPr="000D67C6">
              <w:rPr>
                <w:rFonts w:ascii="Arial" w:hAnsi="Arial" w:cs="Arial"/>
                <w:b/>
                <w:sz w:val="22"/>
                <w:szCs w:val="22"/>
              </w:rPr>
              <w:t>122,056</w:t>
            </w:r>
          </w:p>
        </w:tc>
      </w:tr>
      <w:tr w:rsidR="008D78F8" w:rsidRPr="000D67C6" w14:paraId="70B21985" w14:textId="77777777" w:rsidTr="00E5421B">
        <w:trPr>
          <w:trHeight w:val="210"/>
          <w:jc w:val="center"/>
        </w:trPr>
        <w:tc>
          <w:tcPr>
            <w:tcW w:w="3403" w:type="dxa"/>
            <w:tcBorders>
              <w:bottom w:val="single" w:sz="4" w:space="0" w:color="auto"/>
            </w:tcBorders>
            <w:shd w:val="clear" w:color="auto" w:fill="auto"/>
            <w:tcMar>
              <w:top w:w="20" w:type="dxa"/>
              <w:left w:w="20" w:type="dxa"/>
              <w:bottom w:w="20" w:type="dxa"/>
              <w:right w:w="20" w:type="dxa"/>
            </w:tcMar>
          </w:tcPr>
          <w:p w14:paraId="3AF15164" w14:textId="77777777" w:rsidR="008D78F8" w:rsidRPr="000D67C6" w:rsidRDefault="008D78F8" w:rsidP="006A551B">
            <w:pPr>
              <w:pStyle w:val="T1TableStyle"/>
              <w:rPr>
                <w:rFonts w:ascii="Arial" w:eastAsia="Verdana" w:hAnsi="Arial" w:cs="Arial"/>
                <w:b/>
                <w:sz w:val="22"/>
                <w:szCs w:val="22"/>
                <w:lang w:val="pt-BR"/>
              </w:rPr>
            </w:pPr>
          </w:p>
        </w:tc>
        <w:tc>
          <w:tcPr>
            <w:tcW w:w="850" w:type="dxa"/>
            <w:tcBorders>
              <w:bottom w:val="single" w:sz="4" w:space="0" w:color="auto"/>
            </w:tcBorders>
          </w:tcPr>
          <w:p w14:paraId="56CC3D06" w14:textId="77777777" w:rsidR="008D78F8" w:rsidRPr="000D67C6" w:rsidRDefault="008D78F8" w:rsidP="006A551B">
            <w:pPr>
              <w:pStyle w:val="T1TableStyle"/>
              <w:jc w:val="center"/>
              <w:rPr>
                <w:rFonts w:ascii="Arial" w:eastAsia="Verdana" w:hAnsi="Arial" w:cs="Arial"/>
                <w:sz w:val="22"/>
                <w:szCs w:val="22"/>
                <w:lang w:val="pt-BR"/>
              </w:rPr>
            </w:pPr>
          </w:p>
        </w:tc>
        <w:tc>
          <w:tcPr>
            <w:tcW w:w="850" w:type="dxa"/>
            <w:tcBorders>
              <w:bottom w:val="single" w:sz="4" w:space="0" w:color="auto"/>
            </w:tcBorders>
            <w:shd w:val="clear" w:color="auto" w:fill="auto"/>
            <w:tcMar>
              <w:top w:w="20" w:type="dxa"/>
              <w:left w:w="20" w:type="dxa"/>
              <w:bottom w:w="20" w:type="dxa"/>
              <w:right w:w="20" w:type="dxa"/>
            </w:tcMar>
          </w:tcPr>
          <w:p w14:paraId="744DE4E5"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4" w:space="0" w:color="auto"/>
            </w:tcBorders>
            <w:shd w:val="clear" w:color="auto" w:fill="auto"/>
            <w:tcMar>
              <w:top w:w="20" w:type="dxa"/>
              <w:left w:w="20" w:type="dxa"/>
              <w:bottom w:w="20" w:type="dxa"/>
              <w:right w:w="20" w:type="dxa"/>
            </w:tcMar>
          </w:tcPr>
          <w:p w14:paraId="6B531D99"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77,471</w:t>
            </w:r>
          </w:p>
        </w:tc>
        <w:tc>
          <w:tcPr>
            <w:tcW w:w="1323" w:type="dxa"/>
            <w:tcBorders>
              <w:bottom w:val="single" w:sz="4" w:space="0" w:color="auto"/>
            </w:tcBorders>
            <w:shd w:val="clear" w:color="auto" w:fill="auto"/>
            <w:tcMar>
              <w:top w:w="20" w:type="dxa"/>
              <w:left w:w="20" w:type="dxa"/>
              <w:bottom w:w="20" w:type="dxa"/>
              <w:right w:w="20" w:type="dxa"/>
            </w:tcMar>
          </w:tcPr>
          <w:p w14:paraId="6EA372E3"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tcPr>
          <w:p w14:paraId="0F7B557F"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163</w:t>
            </w:r>
          </w:p>
        </w:tc>
        <w:tc>
          <w:tcPr>
            <w:tcW w:w="1276" w:type="dxa"/>
            <w:tcBorders>
              <w:bottom w:val="single" w:sz="4" w:space="0" w:color="auto"/>
            </w:tcBorders>
            <w:vAlign w:val="center"/>
          </w:tcPr>
          <w:p w14:paraId="098B9353"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5,697</w:t>
            </w:r>
          </w:p>
        </w:tc>
        <w:tc>
          <w:tcPr>
            <w:tcW w:w="1559" w:type="dxa"/>
            <w:tcBorders>
              <w:bottom w:val="single" w:sz="4" w:space="0" w:color="auto"/>
            </w:tcBorders>
            <w:shd w:val="clear" w:color="auto" w:fill="auto"/>
            <w:tcMar>
              <w:top w:w="20" w:type="dxa"/>
              <w:left w:w="20" w:type="dxa"/>
              <w:bottom w:w="20" w:type="dxa"/>
              <w:right w:w="20" w:type="dxa"/>
            </w:tcMar>
          </w:tcPr>
          <w:p w14:paraId="4A9F94BE"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vAlign w:val="center"/>
          </w:tcPr>
          <w:p w14:paraId="671A22B3" w14:textId="77777777" w:rsidR="008D78F8" w:rsidRPr="000D67C6" w:rsidRDefault="008D78F8" w:rsidP="006A551B">
            <w:pPr>
              <w:pStyle w:val="T1TableStyle"/>
              <w:jc w:val="right"/>
              <w:rPr>
                <w:rFonts w:ascii="Arial" w:hAnsi="Arial" w:cs="Arial"/>
                <w:b/>
                <w:sz w:val="22"/>
                <w:szCs w:val="22"/>
              </w:rPr>
            </w:pPr>
            <w:r w:rsidRPr="000D67C6">
              <w:rPr>
                <w:rFonts w:ascii="Arial" w:hAnsi="Arial" w:cs="Arial"/>
                <w:b/>
                <w:sz w:val="22"/>
                <w:szCs w:val="22"/>
              </w:rPr>
              <w:t>83,331</w:t>
            </w:r>
          </w:p>
        </w:tc>
      </w:tr>
      <w:tr w:rsidR="008D78F8" w:rsidRPr="000D67C6" w14:paraId="576FBB4B" w14:textId="77777777" w:rsidTr="00E5421B">
        <w:trPr>
          <w:trHeight w:val="210"/>
          <w:jc w:val="center"/>
        </w:trPr>
        <w:tc>
          <w:tcPr>
            <w:tcW w:w="3403" w:type="dxa"/>
            <w:tcBorders>
              <w:top w:val="single" w:sz="4" w:space="0" w:color="auto"/>
            </w:tcBorders>
            <w:shd w:val="clear" w:color="auto" w:fill="auto"/>
            <w:tcMar>
              <w:top w:w="20" w:type="dxa"/>
              <w:left w:w="20" w:type="dxa"/>
              <w:bottom w:w="20" w:type="dxa"/>
              <w:right w:w="20" w:type="dxa"/>
            </w:tcMar>
          </w:tcPr>
          <w:p w14:paraId="7B8A041D" w14:textId="77777777" w:rsidR="008D78F8" w:rsidRPr="000D67C6" w:rsidRDefault="008D78F8"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Deputy Chief Fire Officer 3</w:t>
            </w:r>
          </w:p>
        </w:tc>
        <w:tc>
          <w:tcPr>
            <w:tcW w:w="850" w:type="dxa"/>
            <w:tcBorders>
              <w:top w:val="single" w:sz="4" w:space="0" w:color="auto"/>
            </w:tcBorders>
          </w:tcPr>
          <w:p w14:paraId="78CCD607" w14:textId="77777777" w:rsidR="008D78F8" w:rsidRPr="000D67C6" w:rsidRDefault="008D78F8" w:rsidP="006A551B">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4</w:t>
            </w:r>
          </w:p>
        </w:tc>
        <w:tc>
          <w:tcPr>
            <w:tcW w:w="850" w:type="dxa"/>
            <w:tcBorders>
              <w:top w:val="single" w:sz="4" w:space="0" w:color="auto"/>
            </w:tcBorders>
            <w:shd w:val="clear" w:color="auto" w:fill="auto"/>
            <w:tcMar>
              <w:top w:w="20" w:type="dxa"/>
              <w:left w:w="20" w:type="dxa"/>
              <w:bottom w:w="20" w:type="dxa"/>
              <w:right w:w="20" w:type="dxa"/>
            </w:tcMar>
          </w:tcPr>
          <w:p w14:paraId="653BB05E"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4" w:space="0" w:color="auto"/>
            </w:tcBorders>
            <w:shd w:val="clear" w:color="auto" w:fill="auto"/>
            <w:tcMar>
              <w:top w:w="20" w:type="dxa"/>
              <w:left w:w="20" w:type="dxa"/>
              <w:bottom w:w="20" w:type="dxa"/>
              <w:right w:w="20" w:type="dxa"/>
            </w:tcMar>
          </w:tcPr>
          <w:p w14:paraId="3DEA00A8"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659</w:t>
            </w:r>
          </w:p>
        </w:tc>
        <w:tc>
          <w:tcPr>
            <w:tcW w:w="1323" w:type="dxa"/>
            <w:tcBorders>
              <w:top w:val="single" w:sz="4" w:space="0" w:color="auto"/>
            </w:tcBorders>
            <w:shd w:val="clear" w:color="auto" w:fill="auto"/>
            <w:tcMar>
              <w:top w:w="20" w:type="dxa"/>
              <w:left w:w="20" w:type="dxa"/>
              <w:bottom w:w="20" w:type="dxa"/>
              <w:right w:w="20" w:type="dxa"/>
            </w:tcMar>
          </w:tcPr>
          <w:p w14:paraId="55280632"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4" w:space="0" w:color="auto"/>
            </w:tcBorders>
            <w:shd w:val="clear" w:color="auto" w:fill="auto"/>
            <w:tcMar>
              <w:top w:w="20" w:type="dxa"/>
              <w:left w:w="20" w:type="dxa"/>
              <w:bottom w:w="20" w:type="dxa"/>
              <w:right w:w="20" w:type="dxa"/>
            </w:tcMar>
          </w:tcPr>
          <w:p w14:paraId="7B828BD8"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w:t>
            </w:r>
          </w:p>
        </w:tc>
        <w:tc>
          <w:tcPr>
            <w:tcW w:w="1276" w:type="dxa"/>
            <w:tcBorders>
              <w:top w:val="single" w:sz="4" w:space="0" w:color="auto"/>
            </w:tcBorders>
            <w:vAlign w:val="center"/>
          </w:tcPr>
          <w:p w14:paraId="5A3BDBF2"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top w:val="single" w:sz="4" w:space="0" w:color="auto"/>
            </w:tcBorders>
            <w:shd w:val="clear" w:color="auto" w:fill="auto"/>
            <w:tcMar>
              <w:top w:w="20" w:type="dxa"/>
              <w:left w:w="20" w:type="dxa"/>
              <w:bottom w:w="20" w:type="dxa"/>
              <w:right w:w="20" w:type="dxa"/>
            </w:tcMar>
          </w:tcPr>
          <w:p w14:paraId="4571C42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168</w:t>
            </w:r>
          </w:p>
        </w:tc>
        <w:tc>
          <w:tcPr>
            <w:tcW w:w="1276" w:type="dxa"/>
            <w:tcBorders>
              <w:top w:val="single" w:sz="4" w:space="0" w:color="auto"/>
            </w:tcBorders>
            <w:shd w:val="clear" w:color="auto" w:fill="auto"/>
            <w:tcMar>
              <w:top w:w="20" w:type="dxa"/>
              <w:left w:w="20" w:type="dxa"/>
              <w:bottom w:w="20" w:type="dxa"/>
              <w:right w:w="20" w:type="dxa"/>
            </w:tcMar>
            <w:vAlign w:val="center"/>
          </w:tcPr>
          <w:p w14:paraId="387E1170" w14:textId="77777777"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828</w:t>
            </w:r>
          </w:p>
        </w:tc>
      </w:tr>
      <w:tr w:rsidR="008D78F8" w:rsidRPr="000D67C6" w14:paraId="078C5B7A"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747122A1" w14:textId="77777777" w:rsidR="008D78F8" w:rsidRPr="000D67C6" w:rsidRDefault="008D78F8" w:rsidP="006A551B">
            <w:pPr>
              <w:pStyle w:val="T1TableStyle"/>
              <w:rPr>
                <w:rFonts w:ascii="Arial" w:eastAsia="Verdana" w:hAnsi="Arial" w:cs="Arial"/>
                <w:b/>
                <w:sz w:val="22"/>
                <w:szCs w:val="22"/>
                <w:lang w:val="pt-BR"/>
              </w:rPr>
            </w:pPr>
          </w:p>
        </w:tc>
        <w:tc>
          <w:tcPr>
            <w:tcW w:w="850" w:type="dxa"/>
          </w:tcPr>
          <w:p w14:paraId="334A7A64" w14:textId="77777777" w:rsidR="008D78F8" w:rsidRPr="000D67C6" w:rsidRDefault="008D78F8" w:rsidP="006A551B">
            <w:pPr>
              <w:pStyle w:val="T1TableStyle"/>
              <w:jc w:val="center"/>
              <w:rPr>
                <w:rFonts w:ascii="Arial" w:eastAsia="Verdana" w:hAnsi="Arial" w:cs="Arial"/>
                <w:sz w:val="22"/>
                <w:szCs w:val="22"/>
                <w:lang w:val="pt-BR"/>
              </w:rPr>
            </w:pPr>
          </w:p>
        </w:tc>
        <w:tc>
          <w:tcPr>
            <w:tcW w:w="850" w:type="dxa"/>
            <w:tcBorders>
              <w:bottom w:val="single" w:sz="2" w:space="0" w:color="000000"/>
            </w:tcBorders>
            <w:shd w:val="clear" w:color="auto" w:fill="auto"/>
            <w:tcMar>
              <w:top w:w="20" w:type="dxa"/>
              <w:left w:w="20" w:type="dxa"/>
              <w:bottom w:w="20" w:type="dxa"/>
              <w:right w:w="20" w:type="dxa"/>
            </w:tcMar>
          </w:tcPr>
          <w:p w14:paraId="4B462A91"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2" w:space="0" w:color="000000"/>
            </w:tcBorders>
            <w:shd w:val="clear" w:color="auto" w:fill="auto"/>
            <w:tcMar>
              <w:top w:w="20" w:type="dxa"/>
              <w:left w:w="20" w:type="dxa"/>
              <w:bottom w:w="20" w:type="dxa"/>
              <w:right w:w="20" w:type="dxa"/>
            </w:tcMar>
          </w:tcPr>
          <w:p w14:paraId="5DDBC727"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323" w:type="dxa"/>
            <w:tcBorders>
              <w:bottom w:val="single" w:sz="2" w:space="0" w:color="000000"/>
            </w:tcBorders>
            <w:shd w:val="clear" w:color="auto" w:fill="auto"/>
            <w:tcMar>
              <w:top w:w="20" w:type="dxa"/>
              <w:left w:w="20" w:type="dxa"/>
              <w:bottom w:w="20" w:type="dxa"/>
              <w:right w:w="20" w:type="dxa"/>
            </w:tcMar>
          </w:tcPr>
          <w:p w14:paraId="53741223"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tcPr>
          <w:p w14:paraId="26E8A2EE"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vAlign w:val="center"/>
          </w:tcPr>
          <w:p w14:paraId="45BF529C"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bottom w:val="single" w:sz="2" w:space="0" w:color="000000"/>
            </w:tcBorders>
            <w:shd w:val="clear" w:color="auto" w:fill="auto"/>
            <w:tcMar>
              <w:top w:w="20" w:type="dxa"/>
              <w:left w:w="20" w:type="dxa"/>
              <w:bottom w:w="20" w:type="dxa"/>
              <w:right w:w="20" w:type="dxa"/>
            </w:tcMar>
          </w:tcPr>
          <w:p w14:paraId="57D115D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vAlign w:val="center"/>
          </w:tcPr>
          <w:p w14:paraId="0B3EE964" w14:textId="77777777"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w:t>
            </w:r>
          </w:p>
        </w:tc>
      </w:tr>
      <w:tr w:rsidR="008D78F8" w:rsidRPr="000D67C6" w14:paraId="61F04F07" w14:textId="77777777" w:rsidTr="00E5421B">
        <w:trPr>
          <w:trHeight w:val="210"/>
          <w:jc w:val="center"/>
        </w:trPr>
        <w:tc>
          <w:tcPr>
            <w:tcW w:w="3403" w:type="dxa"/>
            <w:tcBorders>
              <w:top w:val="single" w:sz="2" w:space="0" w:color="000000"/>
            </w:tcBorders>
            <w:shd w:val="clear" w:color="auto" w:fill="auto"/>
            <w:tcMar>
              <w:top w:w="20" w:type="dxa"/>
              <w:left w:w="20" w:type="dxa"/>
              <w:bottom w:w="20" w:type="dxa"/>
              <w:right w:w="20" w:type="dxa"/>
            </w:tcMar>
          </w:tcPr>
          <w:p w14:paraId="2E9E0900" w14:textId="77777777" w:rsidR="008D78F8" w:rsidRPr="000D67C6" w:rsidRDefault="008D78F8"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Assistant Chief Fire Officer 1</w:t>
            </w:r>
          </w:p>
        </w:tc>
        <w:tc>
          <w:tcPr>
            <w:tcW w:w="850" w:type="dxa"/>
            <w:tcBorders>
              <w:top w:val="single" w:sz="2" w:space="0" w:color="000000"/>
            </w:tcBorders>
          </w:tcPr>
          <w:p w14:paraId="7FCC08E2" w14:textId="77777777" w:rsidR="008D78F8" w:rsidRPr="000D67C6" w:rsidRDefault="008D78F8" w:rsidP="006A551B">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3</w:t>
            </w:r>
          </w:p>
        </w:tc>
        <w:tc>
          <w:tcPr>
            <w:tcW w:w="850" w:type="dxa"/>
            <w:tcBorders>
              <w:top w:val="single" w:sz="2" w:space="0" w:color="000000"/>
            </w:tcBorders>
            <w:shd w:val="clear" w:color="auto" w:fill="auto"/>
            <w:tcMar>
              <w:top w:w="20" w:type="dxa"/>
              <w:left w:w="20" w:type="dxa"/>
              <w:bottom w:w="20" w:type="dxa"/>
              <w:right w:w="20" w:type="dxa"/>
            </w:tcMar>
          </w:tcPr>
          <w:p w14:paraId="517DB5AB"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2" w:space="0" w:color="000000"/>
            </w:tcBorders>
            <w:shd w:val="clear" w:color="auto" w:fill="auto"/>
            <w:tcMar>
              <w:top w:w="20" w:type="dxa"/>
              <w:left w:w="20" w:type="dxa"/>
              <w:bottom w:w="20" w:type="dxa"/>
              <w:right w:w="20" w:type="dxa"/>
            </w:tcMar>
          </w:tcPr>
          <w:p w14:paraId="5EAF4CCB"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323" w:type="dxa"/>
            <w:tcBorders>
              <w:top w:val="single" w:sz="2" w:space="0" w:color="000000"/>
            </w:tcBorders>
            <w:shd w:val="clear" w:color="auto" w:fill="auto"/>
            <w:tcMar>
              <w:top w:w="20" w:type="dxa"/>
              <w:left w:w="20" w:type="dxa"/>
              <w:bottom w:w="20" w:type="dxa"/>
              <w:right w:w="20" w:type="dxa"/>
            </w:tcMar>
          </w:tcPr>
          <w:p w14:paraId="0621E243"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shd w:val="clear" w:color="auto" w:fill="auto"/>
            <w:tcMar>
              <w:top w:w="20" w:type="dxa"/>
              <w:left w:w="20" w:type="dxa"/>
              <w:bottom w:w="20" w:type="dxa"/>
              <w:right w:w="20" w:type="dxa"/>
            </w:tcMar>
          </w:tcPr>
          <w:p w14:paraId="5CF1E800"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vAlign w:val="center"/>
          </w:tcPr>
          <w:p w14:paraId="475E22AA"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top w:val="single" w:sz="2" w:space="0" w:color="000000"/>
            </w:tcBorders>
            <w:shd w:val="clear" w:color="auto" w:fill="auto"/>
            <w:tcMar>
              <w:top w:w="20" w:type="dxa"/>
              <w:left w:w="20" w:type="dxa"/>
              <w:bottom w:w="20" w:type="dxa"/>
              <w:right w:w="20" w:type="dxa"/>
            </w:tcMar>
          </w:tcPr>
          <w:p w14:paraId="0164A55C"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shd w:val="clear" w:color="auto" w:fill="auto"/>
            <w:tcMar>
              <w:top w:w="20" w:type="dxa"/>
              <w:left w:w="20" w:type="dxa"/>
              <w:bottom w:w="20" w:type="dxa"/>
              <w:right w:w="20" w:type="dxa"/>
            </w:tcMar>
            <w:vAlign w:val="center"/>
          </w:tcPr>
          <w:p w14:paraId="0D28667C" w14:textId="77777777"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w:t>
            </w:r>
          </w:p>
        </w:tc>
      </w:tr>
      <w:tr w:rsidR="008D78F8" w:rsidRPr="000D67C6" w14:paraId="48C26313"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5B14BCC9" w14:textId="77777777" w:rsidR="008D78F8" w:rsidRPr="000D67C6" w:rsidRDefault="008D78F8"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850" w:type="dxa"/>
            <w:tcBorders>
              <w:bottom w:val="single" w:sz="2" w:space="0" w:color="000000"/>
            </w:tcBorders>
          </w:tcPr>
          <w:p w14:paraId="459B4921" w14:textId="77777777" w:rsidR="008D78F8" w:rsidRPr="000D67C6" w:rsidRDefault="008D78F8" w:rsidP="006A551B">
            <w:pPr>
              <w:pStyle w:val="T1TableStyle"/>
              <w:jc w:val="center"/>
              <w:rPr>
                <w:rFonts w:ascii="Arial" w:eastAsia="Verdana" w:hAnsi="Arial" w:cs="Arial"/>
                <w:sz w:val="22"/>
                <w:szCs w:val="22"/>
                <w:lang w:val="pt-BR"/>
              </w:rPr>
            </w:pPr>
          </w:p>
        </w:tc>
        <w:tc>
          <w:tcPr>
            <w:tcW w:w="850" w:type="dxa"/>
            <w:tcBorders>
              <w:bottom w:val="single" w:sz="2" w:space="0" w:color="000000"/>
            </w:tcBorders>
            <w:shd w:val="clear" w:color="auto" w:fill="auto"/>
            <w:tcMar>
              <w:top w:w="20" w:type="dxa"/>
              <w:left w:w="20" w:type="dxa"/>
              <w:bottom w:w="20" w:type="dxa"/>
              <w:right w:w="20" w:type="dxa"/>
            </w:tcMar>
          </w:tcPr>
          <w:p w14:paraId="71515638"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2" w:space="0" w:color="000000"/>
            </w:tcBorders>
            <w:shd w:val="clear" w:color="auto" w:fill="auto"/>
            <w:tcMar>
              <w:top w:w="20" w:type="dxa"/>
              <w:left w:w="20" w:type="dxa"/>
              <w:bottom w:w="20" w:type="dxa"/>
              <w:right w:w="20" w:type="dxa"/>
            </w:tcMar>
          </w:tcPr>
          <w:p w14:paraId="58659D60"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26,274</w:t>
            </w:r>
          </w:p>
        </w:tc>
        <w:tc>
          <w:tcPr>
            <w:tcW w:w="1323" w:type="dxa"/>
            <w:tcBorders>
              <w:bottom w:val="single" w:sz="2" w:space="0" w:color="000000"/>
            </w:tcBorders>
            <w:shd w:val="clear" w:color="auto" w:fill="auto"/>
            <w:tcMar>
              <w:top w:w="20" w:type="dxa"/>
              <w:left w:w="20" w:type="dxa"/>
              <w:bottom w:w="20" w:type="dxa"/>
              <w:right w:w="20" w:type="dxa"/>
            </w:tcMar>
          </w:tcPr>
          <w:p w14:paraId="4D534F9B"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tcPr>
          <w:p w14:paraId="1021BE16"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64</w:t>
            </w:r>
          </w:p>
        </w:tc>
        <w:tc>
          <w:tcPr>
            <w:tcW w:w="1276" w:type="dxa"/>
            <w:tcBorders>
              <w:bottom w:val="single" w:sz="2" w:space="0" w:color="000000"/>
            </w:tcBorders>
            <w:vAlign w:val="center"/>
          </w:tcPr>
          <w:p w14:paraId="7985FE1F"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3,151</w:t>
            </w:r>
          </w:p>
        </w:tc>
        <w:tc>
          <w:tcPr>
            <w:tcW w:w="1559" w:type="dxa"/>
            <w:tcBorders>
              <w:bottom w:val="single" w:sz="2" w:space="0" w:color="000000"/>
            </w:tcBorders>
            <w:shd w:val="clear" w:color="auto" w:fill="auto"/>
            <w:tcMar>
              <w:top w:w="20" w:type="dxa"/>
              <w:left w:w="20" w:type="dxa"/>
              <w:bottom w:w="20" w:type="dxa"/>
              <w:right w:w="20" w:type="dxa"/>
            </w:tcMar>
          </w:tcPr>
          <w:p w14:paraId="2472EAF1"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2" w:space="0" w:color="000000"/>
            </w:tcBorders>
            <w:shd w:val="clear" w:color="auto" w:fill="auto"/>
            <w:tcMar>
              <w:top w:w="20" w:type="dxa"/>
              <w:left w:w="20" w:type="dxa"/>
              <w:bottom w:w="20" w:type="dxa"/>
              <w:right w:w="20" w:type="dxa"/>
            </w:tcMar>
            <w:vAlign w:val="center"/>
          </w:tcPr>
          <w:p w14:paraId="67ABE6CE" w14:textId="77777777"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29,489</w:t>
            </w:r>
          </w:p>
        </w:tc>
      </w:tr>
      <w:tr w:rsidR="008D78F8" w:rsidRPr="000D67C6" w14:paraId="366E8DE2" w14:textId="77777777" w:rsidTr="00E5421B">
        <w:trPr>
          <w:trHeight w:val="210"/>
          <w:jc w:val="center"/>
        </w:trPr>
        <w:tc>
          <w:tcPr>
            <w:tcW w:w="3403" w:type="dxa"/>
            <w:tcBorders>
              <w:top w:val="single" w:sz="2" w:space="0" w:color="000000"/>
            </w:tcBorders>
            <w:shd w:val="clear" w:color="auto" w:fill="auto"/>
            <w:tcMar>
              <w:top w:w="20" w:type="dxa"/>
              <w:left w:w="20" w:type="dxa"/>
              <w:bottom w:w="20" w:type="dxa"/>
              <w:right w:w="20" w:type="dxa"/>
            </w:tcMar>
          </w:tcPr>
          <w:p w14:paraId="645F9B81" w14:textId="77777777" w:rsidR="008D78F8" w:rsidRPr="000D67C6" w:rsidRDefault="008D78F8"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Temporary Assistant Chief </w:t>
            </w:r>
          </w:p>
        </w:tc>
        <w:tc>
          <w:tcPr>
            <w:tcW w:w="850" w:type="dxa"/>
            <w:tcBorders>
              <w:top w:val="single" w:sz="2" w:space="0" w:color="000000"/>
            </w:tcBorders>
          </w:tcPr>
          <w:p w14:paraId="42DD8844" w14:textId="77777777" w:rsidR="008D78F8" w:rsidRPr="000D67C6" w:rsidRDefault="008D78F8" w:rsidP="006A551B">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4</w:t>
            </w:r>
          </w:p>
        </w:tc>
        <w:tc>
          <w:tcPr>
            <w:tcW w:w="850" w:type="dxa"/>
            <w:tcBorders>
              <w:top w:val="single" w:sz="2" w:space="0" w:color="000000"/>
            </w:tcBorders>
            <w:shd w:val="clear" w:color="auto" w:fill="auto"/>
            <w:tcMar>
              <w:top w:w="20" w:type="dxa"/>
              <w:left w:w="20" w:type="dxa"/>
              <w:bottom w:w="20" w:type="dxa"/>
              <w:right w:w="20" w:type="dxa"/>
            </w:tcMar>
          </w:tcPr>
          <w:p w14:paraId="47C181D4"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2" w:space="0" w:color="000000"/>
            </w:tcBorders>
            <w:shd w:val="clear" w:color="auto" w:fill="auto"/>
            <w:tcMar>
              <w:top w:w="20" w:type="dxa"/>
              <w:left w:w="20" w:type="dxa"/>
              <w:bottom w:w="20" w:type="dxa"/>
              <w:right w:w="20" w:type="dxa"/>
            </w:tcMar>
          </w:tcPr>
          <w:p w14:paraId="659E75C9"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105,304</w:t>
            </w:r>
          </w:p>
        </w:tc>
        <w:tc>
          <w:tcPr>
            <w:tcW w:w="1323" w:type="dxa"/>
            <w:tcBorders>
              <w:top w:val="single" w:sz="2" w:space="0" w:color="000000"/>
            </w:tcBorders>
            <w:shd w:val="clear" w:color="auto" w:fill="auto"/>
            <w:tcMar>
              <w:top w:w="20" w:type="dxa"/>
              <w:left w:w="20" w:type="dxa"/>
              <w:bottom w:w="20" w:type="dxa"/>
              <w:right w:w="20" w:type="dxa"/>
            </w:tcMar>
          </w:tcPr>
          <w:p w14:paraId="0B197CB6"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shd w:val="clear" w:color="auto" w:fill="auto"/>
            <w:tcMar>
              <w:top w:w="20" w:type="dxa"/>
              <w:left w:w="20" w:type="dxa"/>
              <w:bottom w:w="20" w:type="dxa"/>
              <w:right w:w="20" w:type="dxa"/>
            </w:tcMar>
          </w:tcPr>
          <w:p w14:paraId="6BD1F9AD"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262</w:t>
            </w:r>
          </w:p>
        </w:tc>
        <w:tc>
          <w:tcPr>
            <w:tcW w:w="1276" w:type="dxa"/>
            <w:tcBorders>
              <w:top w:val="single" w:sz="2" w:space="0" w:color="000000"/>
            </w:tcBorders>
            <w:vAlign w:val="center"/>
          </w:tcPr>
          <w:p w14:paraId="71645E73"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top w:val="single" w:sz="2" w:space="0" w:color="000000"/>
            </w:tcBorders>
            <w:shd w:val="clear" w:color="auto" w:fill="auto"/>
            <w:tcMar>
              <w:top w:w="20" w:type="dxa"/>
              <w:left w:w="20" w:type="dxa"/>
              <w:bottom w:w="20" w:type="dxa"/>
              <w:right w:w="20" w:type="dxa"/>
            </w:tcMar>
          </w:tcPr>
          <w:p w14:paraId="328864AE"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26,852</w:t>
            </w:r>
          </w:p>
        </w:tc>
        <w:tc>
          <w:tcPr>
            <w:tcW w:w="1276" w:type="dxa"/>
            <w:tcBorders>
              <w:top w:val="single" w:sz="2" w:space="0" w:color="000000"/>
            </w:tcBorders>
            <w:shd w:val="clear" w:color="auto" w:fill="auto"/>
            <w:tcMar>
              <w:top w:w="20" w:type="dxa"/>
              <w:left w:w="20" w:type="dxa"/>
              <w:bottom w:w="20" w:type="dxa"/>
              <w:right w:w="20" w:type="dxa"/>
            </w:tcMar>
            <w:vAlign w:val="center"/>
          </w:tcPr>
          <w:p w14:paraId="358B2747" w14:textId="7325389E"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132,41</w:t>
            </w:r>
            <w:r w:rsidR="00795AAF" w:rsidRPr="000D67C6">
              <w:rPr>
                <w:rFonts w:ascii="Arial" w:eastAsia="Verdana" w:hAnsi="Arial" w:cs="Arial"/>
                <w:b/>
                <w:sz w:val="22"/>
                <w:szCs w:val="22"/>
                <w:lang w:val="pt-BR"/>
              </w:rPr>
              <w:t>8</w:t>
            </w:r>
          </w:p>
        </w:tc>
      </w:tr>
      <w:tr w:rsidR="008D78F8" w:rsidRPr="000D67C6" w14:paraId="06038AFC"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4A45EEB1" w14:textId="77777777" w:rsidR="008D78F8" w:rsidRPr="000D67C6" w:rsidRDefault="008D78F8" w:rsidP="006A551B">
            <w:pPr>
              <w:pStyle w:val="T1TableStyle"/>
              <w:rPr>
                <w:rFonts w:ascii="Arial" w:eastAsia="Verdana" w:hAnsi="Arial" w:cs="Arial"/>
                <w:b/>
                <w:sz w:val="22"/>
                <w:szCs w:val="22"/>
                <w:lang w:val="pt-BR"/>
              </w:rPr>
            </w:pPr>
            <w:r w:rsidRPr="000D67C6">
              <w:rPr>
                <w:rFonts w:ascii="Arial" w:eastAsia="Verdana" w:hAnsi="Arial" w:cs="Arial"/>
                <w:b/>
                <w:sz w:val="22"/>
                <w:szCs w:val="22"/>
                <w:lang w:val="pt-BR"/>
              </w:rPr>
              <w:t>Fire Officer 2</w:t>
            </w:r>
          </w:p>
        </w:tc>
        <w:tc>
          <w:tcPr>
            <w:tcW w:w="850" w:type="dxa"/>
            <w:tcBorders>
              <w:bottom w:val="single" w:sz="4" w:space="0" w:color="auto"/>
            </w:tcBorders>
          </w:tcPr>
          <w:p w14:paraId="77E2E319" w14:textId="77777777" w:rsidR="008D78F8" w:rsidRPr="000D67C6" w:rsidRDefault="008D78F8" w:rsidP="006A551B">
            <w:pPr>
              <w:pStyle w:val="T1TableStyle"/>
              <w:jc w:val="center"/>
              <w:rPr>
                <w:rFonts w:ascii="Arial" w:eastAsia="Verdana" w:hAnsi="Arial" w:cs="Arial"/>
                <w:sz w:val="22"/>
                <w:szCs w:val="22"/>
                <w:lang w:val="pt-BR"/>
              </w:rPr>
            </w:pPr>
          </w:p>
        </w:tc>
        <w:tc>
          <w:tcPr>
            <w:tcW w:w="850" w:type="dxa"/>
            <w:tcBorders>
              <w:bottom w:val="single" w:sz="4" w:space="0" w:color="auto"/>
            </w:tcBorders>
            <w:shd w:val="clear" w:color="auto" w:fill="auto"/>
            <w:tcMar>
              <w:top w:w="20" w:type="dxa"/>
              <w:left w:w="20" w:type="dxa"/>
              <w:bottom w:w="20" w:type="dxa"/>
              <w:right w:w="20" w:type="dxa"/>
            </w:tcMar>
          </w:tcPr>
          <w:p w14:paraId="562F3E60" w14:textId="77777777" w:rsidR="008D78F8" w:rsidRPr="000D67C6" w:rsidRDefault="008D78F8" w:rsidP="006A551B">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4" w:space="0" w:color="auto"/>
            </w:tcBorders>
            <w:shd w:val="clear" w:color="auto" w:fill="auto"/>
            <w:tcMar>
              <w:top w:w="20" w:type="dxa"/>
              <w:left w:w="20" w:type="dxa"/>
              <w:bottom w:w="20" w:type="dxa"/>
              <w:right w:w="20" w:type="dxa"/>
            </w:tcMar>
          </w:tcPr>
          <w:p w14:paraId="6D78D24C"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66,966</w:t>
            </w:r>
          </w:p>
        </w:tc>
        <w:tc>
          <w:tcPr>
            <w:tcW w:w="1323" w:type="dxa"/>
            <w:tcBorders>
              <w:bottom w:val="single" w:sz="4" w:space="0" w:color="auto"/>
            </w:tcBorders>
            <w:shd w:val="clear" w:color="auto" w:fill="auto"/>
            <w:tcMar>
              <w:top w:w="20" w:type="dxa"/>
              <w:left w:w="20" w:type="dxa"/>
              <w:bottom w:w="20" w:type="dxa"/>
              <w:right w:w="20" w:type="dxa"/>
            </w:tcMar>
          </w:tcPr>
          <w:p w14:paraId="4F289D40"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tcPr>
          <w:p w14:paraId="642592F7"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163</w:t>
            </w:r>
          </w:p>
        </w:tc>
        <w:tc>
          <w:tcPr>
            <w:tcW w:w="1276" w:type="dxa"/>
            <w:tcBorders>
              <w:bottom w:val="single" w:sz="4" w:space="0" w:color="auto"/>
            </w:tcBorders>
            <w:vAlign w:val="center"/>
          </w:tcPr>
          <w:p w14:paraId="1083EB18"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5,890</w:t>
            </w:r>
          </w:p>
        </w:tc>
        <w:tc>
          <w:tcPr>
            <w:tcW w:w="1559" w:type="dxa"/>
            <w:tcBorders>
              <w:bottom w:val="single" w:sz="4" w:space="0" w:color="auto"/>
            </w:tcBorders>
            <w:shd w:val="clear" w:color="auto" w:fill="auto"/>
            <w:tcMar>
              <w:top w:w="20" w:type="dxa"/>
              <w:left w:w="20" w:type="dxa"/>
              <w:bottom w:w="20" w:type="dxa"/>
              <w:right w:w="20" w:type="dxa"/>
            </w:tcMar>
          </w:tcPr>
          <w:p w14:paraId="2FDEB7A2" w14:textId="77777777" w:rsidR="008D78F8" w:rsidRPr="000D67C6" w:rsidRDefault="008D78F8" w:rsidP="006A551B">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17,076</w:t>
            </w:r>
          </w:p>
        </w:tc>
        <w:tc>
          <w:tcPr>
            <w:tcW w:w="1276" w:type="dxa"/>
            <w:tcBorders>
              <w:bottom w:val="single" w:sz="4" w:space="0" w:color="auto"/>
            </w:tcBorders>
            <w:shd w:val="clear" w:color="auto" w:fill="auto"/>
            <w:tcMar>
              <w:top w:w="20" w:type="dxa"/>
              <w:left w:w="20" w:type="dxa"/>
              <w:bottom w:w="20" w:type="dxa"/>
              <w:right w:w="20" w:type="dxa"/>
            </w:tcMar>
            <w:vAlign w:val="center"/>
          </w:tcPr>
          <w:p w14:paraId="0E37995F" w14:textId="77777777" w:rsidR="008D78F8" w:rsidRPr="000D67C6" w:rsidRDefault="008D78F8" w:rsidP="006A551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90,095</w:t>
            </w:r>
          </w:p>
        </w:tc>
      </w:tr>
      <w:tr w:rsidR="008D78F8" w:rsidRPr="000D67C6" w14:paraId="3C94CE19" w14:textId="77777777" w:rsidTr="00E5421B">
        <w:trPr>
          <w:trHeight w:val="210"/>
          <w:jc w:val="center"/>
        </w:trPr>
        <w:tc>
          <w:tcPr>
            <w:tcW w:w="3403" w:type="dxa"/>
            <w:shd w:val="clear" w:color="auto" w:fill="auto"/>
            <w:tcMar>
              <w:top w:w="20" w:type="dxa"/>
              <w:left w:w="20" w:type="dxa"/>
              <w:bottom w:w="20" w:type="dxa"/>
              <w:right w:w="20" w:type="dxa"/>
            </w:tcMar>
          </w:tcPr>
          <w:p w14:paraId="50F7A53C" w14:textId="77777777" w:rsidR="008D78F8" w:rsidRPr="000D67C6" w:rsidRDefault="008D78F8" w:rsidP="007F2FFD">
            <w:pPr>
              <w:pStyle w:val="T1TableStyle"/>
              <w:rPr>
                <w:rFonts w:ascii="Arial" w:eastAsia="Verdana" w:hAnsi="Arial" w:cs="Arial"/>
                <w:b/>
                <w:sz w:val="22"/>
                <w:szCs w:val="22"/>
                <w:lang w:val="pt-BR"/>
              </w:rPr>
            </w:pPr>
            <w:r w:rsidRPr="000D67C6">
              <w:rPr>
                <w:rFonts w:ascii="Arial" w:eastAsia="Verdana" w:hAnsi="Arial" w:cs="Arial"/>
                <w:b/>
                <w:sz w:val="22"/>
                <w:szCs w:val="22"/>
                <w:lang w:val="pt-BR"/>
              </w:rPr>
              <w:t>Assistant Chief Fire Officer 3</w:t>
            </w:r>
          </w:p>
        </w:tc>
        <w:tc>
          <w:tcPr>
            <w:tcW w:w="850" w:type="dxa"/>
          </w:tcPr>
          <w:p w14:paraId="478AD7C5" w14:textId="77777777" w:rsidR="008D78F8" w:rsidRPr="000D67C6" w:rsidRDefault="008D78F8" w:rsidP="007F2FFD">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5</w:t>
            </w:r>
          </w:p>
        </w:tc>
        <w:tc>
          <w:tcPr>
            <w:tcW w:w="850" w:type="dxa"/>
            <w:shd w:val="clear" w:color="auto" w:fill="auto"/>
            <w:tcMar>
              <w:top w:w="20" w:type="dxa"/>
              <w:left w:w="20" w:type="dxa"/>
              <w:bottom w:w="20" w:type="dxa"/>
              <w:right w:w="20" w:type="dxa"/>
            </w:tcMar>
          </w:tcPr>
          <w:p w14:paraId="34848CC4"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shd w:val="clear" w:color="auto" w:fill="auto"/>
            <w:tcMar>
              <w:top w:w="20" w:type="dxa"/>
              <w:left w:w="20" w:type="dxa"/>
              <w:bottom w:w="20" w:type="dxa"/>
              <w:right w:w="20" w:type="dxa"/>
            </w:tcMar>
          </w:tcPr>
          <w:p w14:paraId="5C18F9C4"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569</w:t>
            </w:r>
          </w:p>
        </w:tc>
        <w:tc>
          <w:tcPr>
            <w:tcW w:w="1323" w:type="dxa"/>
            <w:shd w:val="clear" w:color="auto" w:fill="auto"/>
            <w:tcMar>
              <w:top w:w="20" w:type="dxa"/>
              <w:left w:w="20" w:type="dxa"/>
              <w:bottom w:w="20" w:type="dxa"/>
              <w:right w:w="20" w:type="dxa"/>
            </w:tcMar>
          </w:tcPr>
          <w:p w14:paraId="4532C7BE"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tcPr>
          <w:p w14:paraId="4825A14F"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vAlign w:val="center"/>
          </w:tcPr>
          <w:p w14:paraId="66AA3302"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shd w:val="clear" w:color="auto" w:fill="auto"/>
            <w:tcMar>
              <w:top w:w="20" w:type="dxa"/>
              <w:left w:w="20" w:type="dxa"/>
              <w:bottom w:w="20" w:type="dxa"/>
              <w:right w:w="20" w:type="dxa"/>
            </w:tcMar>
          </w:tcPr>
          <w:p w14:paraId="2A73AF5E"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81</w:t>
            </w:r>
          </w:p>
        </w:tc>
        <w:tc>
          <w:tcPr>
            <w:tcW w:w="1276" w:type="dxa"/>
            <w:shd w:val="clear" w:color="auto" w:fill="auto"/>
            <w:tcMar>
              <w:top w:w="20" w:type="dxa"/>
              <w:left w:w="20" w:type="dxa"/>
              <w:bottom w:w="20" w:type="dxa"/>
              <w:right w:w="20" w:type="dxa"/>
            </w:tcMar>
            <w:vAlign w:val="center"/>
          </w:tcPr>
          <w:p w14:paraId="331B623F" w14:textId="766191E1"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65</w:t>
            </w:r>
            <w:r w:rsidR="00B53087" w:rsidRPr="000D67C6">
              <w:rPr>
                <w:rFonts w:ascii="Arial" w:eastAsia="Verdana" w:hAnsi="Arial" w:cs="Arial"/>
                <w:b/>
                <w:sz w:val="22"/>
                <w:szCs w:val="22"/>
                <w:lang w:val="pt-BR"/>
              </w:rPr>
              <w:t>0</w:t>
            </w:r>
          </w:p>
        </w:tc>
      </w:tr>
      <w:tr w:rsidR="008D78F8" w:rsidRPr="000D67C6" w14:paraId="10AEA946" w14:textId="77777777" w:rsidTr="00E5421B">
        <w:trPr>
          <w:trHeight w:val="210"/>
          <w:jc w:val="center"/>
        </w:trPr>
        <w:tc>
          <w:tcPr>
            <w:tcW w:w="3403" w:type="dxa"/>
            <w:tcBorders>
              <w:bottom w:val="single" w:sz="4" w:space="0" w:color="auto"/>
            </w:tcBorders>
            <w:shd w:val="clear" w:color="auto" w:fill="auto"/>
            <w:tcMar>
              <w:top w:w="20" w:type="dxa"/>
              <w:left w:w="20" w:type="dxa"/>
              <w:bottom w:w="20" w:type="dxa"/>
              <w:right w:w="20" w:type="dxa"/>
            </w:tcMar>
          </w:tcPr>
          <w:p w14:paraId="33B36C4D" w14:textId="77777777" w:rsidR="008D78F8" w:rsidRPr="000D67C6" w:rsidRDefault="008D78F8" w:rsidP="007F2FFD">
            <w:pPr>
              <w:pStyle w:val="T1TableStyle"/>
              <w:rPr>
                <w:rFonts w:ascii="Arial" w:eastAsia="Verdana" w:hAnsi="Arial" w:cs="Arial"/>
                <w:b/>
                <w:sz w:val="22"/>
                <w:szCs w:val="22"/>
                <w:lang w:val="pt-BR"/>
              </w:rPr>
            </w:pPr>
          </w:p>
        </w:tc>
        <w:tc>
          <w:tcPr>
            <w:tcW w:w="850" w:type="dxa"/>
            <w:tcBorders>
              <w:bottom w:val="single" w:sz="4" w:space="0" w:color="auto"/>
            </w:tcBorders>
          </w:tcPr>
          <w:p w14:paraId="054E89F0" w14:textId="77777777" w:rsidR="008D78F8" w:rsidRPr="000D67C6" w:rsidRDefault="008D78F8" w:rsidP="007F2FFD">
            <w:pPr>
              <w:pStyle w:val="T1TableStyle"/>
              <w:jc w:val="center"/>
              <w:rPr>
                <w:rFonts w:ascii="Arial" w:eastAsia="Verdana" w:hAnsi="Arial" w:cs="Arial"/>
                <w:sz w:val="22"/>
                <w:szCs w:val="22"/>
                <w:lang w:val="pt-BR"/>
              </w:rPr>
            </w:pPr>
          </w:p>
        </w:tc>
        <w:tc>
          <w:tcPr>
            <w:tcW w:w="850" w:type="dxa"/>
            <w:tcBorders>
              <w:bottom w:val="single" w:sz="4" w:space="0" w:color="auto"/>
            </w:tcBorders>
            <w:shd w:val="clear" w:color="auto" w:fill="auto"/>
            <w:tcMar>
              <w:top w:w="20" w:type="dxa"/>
              <w:left w:w="20" w:type="dxa"/>
              <w:bottom w:w="20" w:type="dxa"/>
              <w:right w:w="20" w:type="dxa"/>
            </w:tcMar>
          </w:tcPr>
          <w:p w14:paraId="310E6600"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4" w:space="0" w:color="auto"/>
            </w:tcBorders>
            <w:shd w:val="clear" w:color="auto" w:fill="auto"/>
            <w:tcMar>
              <w:top w:w="20" w:type="dxa"/>
              <w:left w:w="20" w:type="dxa"/>
              <w:bottom w:w="20" w:type="dxa"/>
              <w:right w:w="20" w:type="dxa"/>
            </w:tcMar>
          </w:tcPr>
          <w:p w14:paraId="106BCF1E"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323" w:type="dxa"/>
            <w:tcBorders>
              <w:bottom w:val="single" w:sz="4" w:space="0" w:color="auto"/>
            </w:tcBorders>
            <w:shd w:val="clear" w:color="auto" w:fill="auto"/>
            <w:tcMar>
              <w:top w:w="20" w:type="dxa"/>
              <w:left w:w="20" w:type="dxa"/>
              <w:bottom w:w="20" w:type="dxa"/>
              <w:right w:w="20" w:type="dxa"/>
            </w:tcMar>
          </w:tcPr>
          <w:p w14:paraId="12F55F75"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tcPr>
          <w:p w14:paraId="6A5BCFC3"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vAlign w:val="center"/>
          </w:tcPr>
          <w:p w14:paraId="5F3E57E3"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bottom w:val="single" w:sz="4" w:space="0" w:color="auto"/>
            </w:tcBorders>
            <w:shd w:val="clear" w:color="auto" w:fill="auto"/>
            <w:tcMar>
              <w:top w:w="20" w:type="dxa"/>
              <w:left w:w="20" w:type="dxa"/>
              <w:bottom w:w="20" w:type="dxa"/>
              <w:right w:w="20" w:type="dxa"/>
            </w:tcMar>
          </w:tcPr>
          <w:p w14:paraId="75BE7674"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vAlign w:val="center"/>
          </w:tcPr>
          <w:p w14:paraId="26D33BED" w14:textId="77777777"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w:t>
            </w:r>
          </w:p>
        </w:tc>
      </w:tr>
      <w:tr w:rsidR="008D78F8" w:rsidRPr="000D67C6" w14:paraId="7BE3B8BC" w14:textId="77777777" w:rsidTr="00E5421B">
        <w:trPr>
          <w:trHeight w:val="210"/>
          <w:jc w:val="center"/>
        </w:trPr>
        <w:tc>
          <w:tcPr>
            <w:tcW w:w="3403" w:type="dxa"/>
            <w:tcBorders>
              <w:top w:val="single" w:sz="4" w:space="0" w:color="auto"/>
            </w:tcBorders>
            <w:shd w:val="clear" w:color="auto" w:fill="auto"/>
            <w:tcMar>
              <w:top w:w="20" w:type="dxa"/>
              <w:left w:w="20" w:type="dxa"/>
              <w:bottom w:w="20" w:type="dxa"/>
              <w:right w:w="20" w:type="dxa"/>
            </w:tcMar>
          </w:tcPr>
          <w:p w14:paraId="17A0A26C" w14:textId="77777777" w:rsidR="008D78F8" w:rsidRPr="000D67C6" w:rsidRDefault="008D78F8" w:rsidP="007F2FFD">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Assistant Chief Officer </w:t>
            </w:r>
          </w:p>
        </w:tc>
        <w:tc>
          <w:tcPr>
            <w:tcW w:w="850" w:type="dxa"/>
            <w:tcBorders>
              <w:top w:val="single" w:sz="4" w:space="0" w:color="auto"/>
            </w:tcBorders>
          </w:tcPr>
          <w:p w14:paraId="0883C15C" w14:textId="09F67800" w:rsidR="008D78F8" w:rsidRPr="000D67C6" w:rsidRDefault="008D78F8" w:rsidP="007F2FFD">
            <w:pPr>
              <w:pStyle w:val="T1TableStyle"/>
              <w:jc w:val="center"/>
              <w:rPr>
                <w:rFonts w:ascii="Arial" w:eastAsia="Verdana" w:hAnsi="Arial" w:cs="Arial"/>
                <w:sz w:val="22"/>
                <w:szCs w:val="22"/>
                <w:lang w:val="pt-BR"/>
              </w:rPr>
            </w:pPr>
            <w:r w:rsidRPr="000D67C6">
              <w:rPr>
                <w:rFonts w:ascii="Arial" w:eastAsia="Verdana" w:hAnsi="Arial" w:cs="Arial"/>
                <w:sz w:val="22"/>
                <w:szCs w:val="22"/>
                <w:lang w:val="pt-BR"/>
              </w:rPr>
              <w:t xml:space="preserve">1 </w:t>
            </w:r>
          </w:p>
        </w:tc>
        <w:tc>
          <w:tcPr>
            <w:tcW w:w="850" w:type="dxa"/>
            <w:tcBorders>
              <w:top w:val="single" w:sz="4" w:space="0" w:color="auto"/>
            </w:tcBorders>
            <w:shd w:val="clear" w:color="auto" w:fill="auto"/>
            <w:tcMar>
              <w:top w:w="20" w:type="dxa"/>
              <w:left w:w="20" w:type="dxa"/>
              <w:bottom w:w="20" w:type="dxa"/>
              <w:right w:w="20" w:type="dxa"/>
            </w:tcMar>
          </w:tcPr>
          <w:p w14:paraId="419D9BC5"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4" w:space="0" w:color="auto"/>
            </w:tcBorders>
            <w:shd w:val="clear" w:color="auto" w:fill="auto"/>
            <w:tcMar>
              <w:top w:w="20" w:type="dxa"/>
              <w:left w:w="20" w:type="dxa"/>
              <w:bottom w:w="20" w:type="dxa"/>
              <w:right w:w="20" w:type="dxa"/>
            </w:tcMar>
          </w:tcPr>
          <w:p w14:paraId="566DBAFE"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97,505</w:t>
            </w:r>
          </w:p>
        </w:tc>
        <w:tc>
          <w:tcPr>
            <w:tcW w:w="1323" w:type="dxa"/>
            <w:tcBorders>
              <w:top w:val="single" w:sz="4" w:space="0" w:color="auto"/>
            </w:tcBorders>
            <w:shd w:val="clear" w:color="auto" w:fill="auto"/>
            <w:tcMar>
              <w:top w:w="20" w:type="dxa"/>
              <w:left w:w="20" w:type="dxa"/>
              <w:bottom w:w="20" w:type="dxa"/>
              <w:right w:w="20" w:type="dxa"/>
            </w:tcMar>
          </w:tcPr>
          <w:p w14:paraId="4AAB87BA"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210</w:t>
            </w:r>
          </w:p>
        </w:tc>
        <w:tc>
          <w:tcPr>
            <w:tcW w:w="1276" w:type="dxa"/>
            <w:tcBorders>
              <w:top w:val="single" w:sz="4" w:space="0" w:color="auto"/>
            </w:tcBorders>
            <w:shd w:val="clear" w:color="auto" w:fill="auto"/>
            <w:tcMar>
              <w:top w:w="20" w:type="dxa"/>
              <w:left w:w="20" w:type="dxa"/>
              <w:bottom w:w="20" w:type="dxa"/>
              <w:right w:w="20" w:type="dxa"/>
            </w:tcMar>
          </w:tcPr>
          <w:p w14:paraId="3182C22A"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2,155</w:t>
            </w:r>
          </w:p>
        </w:tc>
        <w:tc>
          <w:tcPr>
            <w:tcW w:w="1276" w:type="dxa"/>
            <w:tcBorders>
              <w:top w:val="single" w:sz="4" w:space="0" w:color="auto"/>
            </w:tcBorders>
            <w:vAlign w:val="center"/>
          </w:tcPr>
          <w:p w14:paraId="005F85B3"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11,519</w:t>
            </w:r>
          </w:p>
        </w:tc>
        <w:tc>
          <w:tcPr>
            <w:tcW w:w="1559" w:type="dxa"/>
            <w:tcBorders>
              <w:top w:val="single" w:sz="4" w:space="0" w:color="auto"/>
            </w:tcBorders>
            <w:shd w:val="clear" w:color="auto" w:fill="auto"/>
            <w:tcMar>
              <w:top w:w="20" w:type="dxa"/>
              <w:left w:w="20" w:type="dxa"/>
              <w:bottom w:w="20" w:type="dxa"/>
              <w:right w:w="20" w:type="dxa"/>
            </w:tcMar>
          </w:tcPr>
          <w:p w14:paraId="6B98DF98"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13,748</w:t>
            </w:r>
          </w:p>
        </w:tc>
        <w:tc>
          <w:tcPr>
            <w:tcW w:w="1276" w:type="dxa"/>
            <w:tcBorders>
              <w:top w:val="single" w:sz="4" w:space="0" w:color="auto"/>
            </w:tcBorders>
            <w:shd w:val="clear" w:color="auto" w:fill="auto"/>
            <w:tcMar>
              <w:top w:w="20" w:type="dxa"/>
              <w:left w:w="20" w:type="dxa"/>
              <w:bottom w:w="20" w:type="dxa"/>
              <w:right w:w="20" w:type="dxa"/>
            </w:tcMar>
            <w:vAlign w:val="center"/>
          </w:tcPr>
          <w:p w14:paraId="62C6B391" w14:textId="77777777"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125,137</w:t>
            </w:r>
          </w:p>
        </w:tc>
      </w:tr>
      <w:tr w:rsidR="008D78F8" w:rsidRPr="000D67C6" w14:paraId="6CA1FB05"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6A32F630" w14:textId="77777777" w:rsidR="008D78F8" w:rsidRPr="000D67C6" w:rsidRDefault="008D78F8" w:rsidP="007F2FFD">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(Director of Resources) </w:t>
            </w:r>
          </w:p>
        </w:tc>
        <w:tc>
          <w:tcPr>
            <w:tcW w:w="850" w:type="dxa"/>
          </w:tcPr>
          <w:p w14:paraId="401B6CE0" w14:textId="77777777" w:rsidR="008D78F8" w:rsidRPr="000D67C6" w:rsidRDefault="008D78F8" w:rsidP="007F2FFD">
            <w:pPr>
              <w:pStyle w:val="T1TableStyle"/>
              <w:jc w:val="center"/>
              <w:rPr>
                <w:rFonts w:ascii="Arial" w:eastAsia="Verdana" w:hAnsi="Arial" w:cs="Arial"/>
                <w:b/>
                <w:sz w:val="22"/>
                <w:szCs w:val="22"/>
                <w:lang w:val="pt-BR"/>
              </w:rPr>
            </w:pPr>
          </w:p>
        </w:tc>
        <w:tc>
          <w:tcPr>
            <w:tcW w:w="850" w:type="dxa"/>
            <w:shd w:val="clear" w:color="auto" w:fill="auto"/>
            <w:tcMar>
              <w:top w:w="20" w:type="dxa"/>
              <w:left w:w="20" w:type="dxa"/>
              <w:bottom w:w="20" w:type="dxa"/>
              <w:right w:w="20" w:type="dxa"/>
            </w:tcMar>
          </w:tcPr>
          <w:p w14:paraId="772C9441"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shd w:val="clear" w:color="auto" w:fill="auto"/>
            <w:tcMar>
              <w:top w:w="20" w:type="dxa"/>
              <w:left w:w="20" w:type="dxa"/>
              <w:bottom w:w="20" w:type="dxa"/>
              <w:right w:w="20" w:type="dxa"/>
            </w:tcMar>
          </w:tcPr>
          <w:p w14:paraId="04407B60"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95,827</w:t>
            </w:r>
          </w:p>
        </w:tc>
        <w:tc>
          <w:tcPr>
            <w:tcW w:w="1323" w:type="dxa"/>
            <w:shd w:val="clear" w:color="auto" w:fill="auto"/>
            <w:tcMar>
              <w:top w:w="20" w:type="dxa"/>
              <w:left w:w="20" w:type="dxa"/>
              <w:bottom w:w="20" w:type="dxa"/>
              <w:right w:w="20" w:type="dxa"/>
            </w:tcMar>
          </w:tcPr>
          <w:p w14:paraId="38C9CBCC"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shd w:val="clear" w:color="auto" w:fill="auto"/>
            <w:tcMar>
              <w:top w:w="20" w:type="dxa"/>
              <w:left w:w="20" w:type="dxa"/>
              <w:bottom w:w="20" w:type="dxa"/>
              <w:right w:w="20" w:type="dxa"/>
            </w:tcMar>
          </w:tcPr>
          <w:p w14:paraId="309C143F"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1,275</w:t>
            </w:r>
          </w:p>
        </w:tc>
        <w:tc>
          <w:tcPr>
            <w:tcW w:w="1276" w:type="dxa"/>
            <w:vAlign w:val="center"/>
          </w:tcPr>
          <w:p w14:paraId="6EC18522"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9,898</w:t>
            </w:r>
          </w:p>
        </w:tc>
        <w:tc>
          <w:tcPr>
            <w:tcW w:w="1559" w:type="dxa"/>
            <w:shd w:val="clear" w:color="auto" w:fill="auto"/>
            <w:tcMar>
              <w:top w:w="20" w:type="dxa"/>
              <w:left w:w="20" w:type="dxa"/>
              <w:bottom w:w="20" w:type="dxa"/>
              <w:right w:w="20" w:type="dxa"/>
            </w:tcMar>
          </w:tcPr>
          <w:p w14:paraId="111D57CD"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13,511</w:t>
            </w:r>
          </w:p>
        </w:tc>
        <w:tc>
          <w:tcPr>
            <w:tcW w:w="1276" w:type="dxa"/>
            <w:shd w:val="clear" w:color="auto" w:fill="auto"/>
            <w:tcMar>
              <w:top w:w="20" w:type="dxa"/>
              <w:left w:w="20" w:type="dxa"/>
              <w:bottom w:w="20" w:type="dxa"/>
              <w:right w:w="20" w:type="dxa"/>
            </w:tcMar>
            <w:vAlign w:val="center"/>
          </w:tcPr>
          <w:p w14:paraId="2DBDFD0F" w14:textId="77777777"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120,511</w:t>
            </w:r>
          </w:p>
        </w:tc>
      </w:tr>
      <w:tr w:rsidR="008D78F8" w:rsidRPr="000D67C6" w14:paraId="331AA58B" w14:textId="77777777" w:rsidTr="00E5421B">
        <w:trPr>
          <w:trHeight w:val="210"/>
          <w:jc w:val="center"/>
        </w:trPr>
        <w:tc>
          <w:tcPr>
            <w:tcW w:w="3403" w:type="dxa"/>
            <w:tcBorders>
              <w:top w:val="single" w:sz="2" w:space="0" w:color="000000"/>
            </w:tcBorders>
            <w:shd w:val="clear" w:color="auto" w:fill="auto"/>
            <w:tcMar>
              <w:top w:w="20" w:type="dxa"/>
              <w:left w:w="20" w:type="dxa"/>
              <w:bottom w:w="20" w:type="dxa"/>
              <w:right w:w="20" w:type="dxa"/>
            </w:tcMar>
          </w:tcPr>
          <w:p w14:paraId="1D27CF1A" w14:textId="77777777" w:rsidR="008D78F8" w:rsidRPr="000D67C6" w:rsidRDefault="008D78F8" w:rsidP="007F2FFD">
            <w:pPr>
              <w:pStyle w:val="T1TableStyle"/>
              <w:rPr>
                <w:rFonts w:ascii="Arial" w:eastAsia="Verdana" w:hAnsi="Arial" w:cs="Arial"/>
                <w:b/>
                <w:sz w:val="22"/>
                <w:szCs w:val="22"/>
                <w:lang w:val="pt-BR"/>
              </w:rPr>
            </w:pPr>
            <w:r w:rsidRPr="000D67C6">
              <w:rPr>
                <w:rFonts w:ascii="Arial" w:eastAsia="Verdana" w:hAnsi="Arial" w:cs="Arial"/>
                <w:b/>
                <w:sz w:val="22"/>
                <w:szCs w:val="22"/>
                <w:lang w:val="pt-BR"/>
              </w:rPr>
              <w:t>Clerk</w:t>
            </w:r>
          </w:p>
        </w:tc>
        <w:tc>
          <w:tcPr>
            <w:tcW w:w="850" w:type="dxa"/>
            <w:tcBorders>
              <w:top w:val="single" w:sz="2" w:space="0" w:color="000000"/>
            </w:tcBorders>
          </w:tcPr>
          <w:p w14:paraId="1B40DBA9" w14:textId="77777777" w:rsidR="008D78F8" w:rsidRPr="000D67C6" w:rsidRDefault="008D78F8" w:rsidP="007F2FFD">
            <w:pPr>
              <w:pStyle w:val="T1TableStyle"/>
              <w:jc w:val="center"/>
              <w:rPr>
                <w:rFonts w:ascii="Arial" w:eastAsia="Verdana" w:hAnsi="Arial" w:cs="Arial"/>
                <w:b/>
                <w:sz w:val="22"/>
                <w:szCs w:val="22"/>
                <w:lang w:val="pt-BR"/>
              </w:rPr>
            </w:pPr>
          </w:p>
        </w:tc>
        <w:tc>
          <w:tcPr>
            <w:tcW w:w="850" w:type="dxa"/>
            <w:tcBorders>
              <w:top w:val="single" w:sz="2" w:space="0" w:color="000000"/>
            </w:tcBorders>
            <w:shd w:val="clear" w:color="auto" w:fill="auto"/>
            <w:tcMar>
              <w:top w:w="20" w:type="dxa"/>
              <w:left w:w="20" w:type="dxa"/>
              <w:bottom w:w="20" w:type="dxa"/>
              <w:right w:w="20" w:type="dxa"/>
            </w:tcMar>
          </w:tcPr>
          <w:p w14:paraId="22379340"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2018/19</w:t>
            </w:r>
          </w:p>
        </w:tc>
        <w:tc>
          <w:tcPr>
            <w:tcW w:w="1371" w:type="dxa"/>
            <w:tcBorders>
              <w:top w:val="single" w:sz="2" w:space="0" w:color="000000"/>
            </w:tcBorders>
            <w:shd w:val="clear" w:color="auto" w:fill="auto"/>
            <w:tcMar>
              <w:top w:w="20" w:type="dxa"/>
              <w:left w:w="20" w:type="dxa"/>
              <w:bottom w:w="20" w:type="dxa"/>
              <w:right w:w="20" w:type="dxa"/>
            </w:tcMar>
          </w:tcPr>
          <w:p w14:paraId="4918C236"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37,100</w:t>
            </w:r>
          </w:p>
        </w:tc>
        <w:tc>
          <w:tcPr>
            <w:tcW w:w="1323" w:type="dxa"/>
            <w:tcBorders>
              <w:top w:val="single" w:sz="2" w:space="0" w:color="000000"/>
            </w:tcBorders>
            <w:shd w:val="clear" w:color="auto" w:fill="auto"/>
            <w:tcMar>
              <w:top w:w="20" w:type="dxa"/>
              <w:left w:w="20" w:type="dxa"/>
              <w:bottom w:w="20" w:type="dxa"/>
              <w:right w:w="20" w:type="dxa"/>
            </w:tcMar>
          </w:tcPr>
          <w:p w14:paraId="55DF61CA"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top w:val="single" w:sz="2" w:space="0" w:color="000000"/>
            </w:tcBorders>
            <w:shd w:val="clear" w:color="auto" w:fill="auto"/>
            <w:tcMar>
              <w:top w:w="20" w:type="dxa"/>
              <w:left w:w="20" w:type="dxa"/>
              <w:bottom w:w="20" w:type="dxa"/>
              <w:right w:w="20" w:type="dxa"/>
            </w:tcMar>
          </w:tcPr>
          <w:p w14:paraId="75B769DB"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485</w:t>
            </w:r>
          </w:p>
        </w:tc>
        <w:tc>
          <w:tcPr>
            <w:tcW w:w="1276" w:type="dxa"/>
            <w:tcBorders>
              <w:top w:val="single" w:sz="2" w:space="0" w:color="000000"/>
            </w:tcBorders>
            <w:vAlign w:val="center"/>
          </w:tcPr>
          <w:p w14:paraId="1864F0D8"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top w:val="single" w:sz="2" w:space="0" w:color="000000"/>
            </w:tcBorders>
            <w:shd w:val="clear" w:color="auto" w:fill="auto"/>
            <w:tcMar>
              <w:top w:w="20" w:type="dxa"/>
              <w:left w:w="20" w:type="dxa"/>
              <w:bottom w:w="20" w:type="dxa"/>
              <w:right w:w="20" w:type="dxa"/>
            </w:tcMar>
          </w:tcPr>
          <w:p w14:paraId="737852BA"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5,231</w:t>
            </w:r>
          </w:p>
        </w:tc>
        <w:tc>
          <w:tcPr>
            <w:tcW w:w="1276" w:type="dxa"/>
            <w:tcBorders>
              <w:top w:val="single" w:sz="2" w:space="0" w:color="000000"/>
            </w:tcBorders>
            <w:shd w:val="clear" w:color="auto" w:fill="auto"/>
            <w:tcMar>
              <w:top w:w="20" w:type="dxa"/>
              <w:left w:w="20" w:type="dxa"/>
              <w:bottom w:w="20" w:type="dxa"/>
              <w:right w:w="20" w:type="dxa"/>
            </w:tcMar>
            <w:vAlign w:val="center"/>
          </w:tcPr>
          <w:p w14:paraId="6A0A959D" w14:textId="126315AA"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42,81</w:t>
            </w:r>
            <w:r w:rsidR="00B53087" w:rsidRPr="000D67C6">
              <w:rPr>
                <w:rFonts w:ascii="Arial" w:eastAsia="Verdana" w:hAnsi="Arial" w:cs="Arial"/>
                <w:b/>
                <w:sz w:val="22"/>
                <w:szCs w:val="22"/>
                <w:lang w:val="pt-BR"/>
              </w:rPr>
              <w:t>6</w:t>
            </w:r>
          </w:p>
        </w:tc>
      </w:tr>
      <w:tr w:rsidR="008D78F8" w:rsidRPr="000D67C6" w14:paraId="10C7DCE3" w14:textId="77777777" w:rsidTr="00E5421B">
        <w:trPr>
          <w:trHeight w:val="210"/>
          <w:jc w:val="center"/>
        </w:trPr>
        <w:tc>
          <w:tcPr>
            <w:tcW w:w="3403" w:type="dxa"/>
            <w:tcBorders>
              <w:bottom w:val="single" w:sz="2" w:space="0" w:color="000000"/>
            </w:tcBorders>
            <w:shd w:val="clear" w:color="auto" w:fill="auto"/>
            <w:tcMar>
              <w:top w:w="20" w:type="dxa"/>
              <w:left w:w="20" w:type="dxa"/>
              <w:bottom w:w="20" w:type="dxa"/>
              <w:right w:w="20" w:type="dxa"/>
            </w:tcMar>
          </w:tcPr>
          <w:p w14:paraId="204D827D" w14:textId="77777777" w:rsidR="008D78F8" w:rsidRPr="000D67C6" w:rsidRDefault="008D78F8" w:rsidP="007F2FFD">
            <w:pPr>
              <w:pStyle w:val="T1TableStyle"/>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850" w:type="dxa"/>
            <w:tcBorders>
              <w:bottom w:val="single" w:sz="2" w:space="0" w:color="000000"/>
            </w:tcBorders>
          </w:tcPr>
          <w:p w14:paraId="5893C9B4" w14:textId="77777777" w:rsidR="008D78F8" w:rsidRPr="000D67C6" w:rsidRDefault="008D78F8" w:rsidP="007F2FFD">
            <w:pPr>
              <w:pStyle w:val="T1TableStyle"/>
              <w:jc w:val="center"/>
              <w:rPr>
                <w:rFonts w:ascii="Arial" w:eastAsia="Verdana" w:hAnsi="Arial" w:cs="Arial"/>
                <w:b/>
                <w:sz w:val="22"/>
                <w:szCs w:val="22"/>
                <w:lang w:val="pt-BR"/>
              </w:rPr>
            </w:pPr>
          </w:p>
        </w:tc>
        <w:tc>
          <w:tcPr>
            <w:tcW w:w="850" w:type="dxa"/>
            <w:tcBorders>
              <w:bottom w:val="single" w:sz="4" w:space="0" w:color="auto"/>
            </w:tcBorders>
            <w:shd w:val="clear" w:color="auto" w:fill="auto"/>
            <w:tcMar>
              <w:top w:w="20" w:type="dxa"/>
              <w:left w:w="20" w:type="dxa"/>
              <w:bottom w:w="20" w:type="dxa"/>
              <w:right w:w="20" w:type="dxa"/>
            </w:tcMar>
          </w:tcPr>
          <w:p w14:paraId="38ADE57E" w14:textId="77777777" w:rsidR="008D78F8" w:rsidRPr="000D67C6" w:rsidRDefault="008D78F8" w:rsidP="007F2FFD">
            <w:pPr>
              <w:pStyle w:val="T1TableStyle"/>
              <w:rPr>
                <w:rFonts w:ascii="Arial" w:eastAsia="Verdana" w:hAnsi="Arial" w:cs="Arial"/>
                <w:sz w:val="22"/>
                <w:szCs w:val="22"/>
                <w:lang w:val="pt-BR"/>
              </w:rPr>
            </w:pPr>
            <w:r w:rsidRPr="000D67C6">
              <w:rPr>
                <w:rFonts w:ascii="Arial" w:eastAsia="Verdana" w:hAnsi="Arial" w:cs="Arial"/>
                <w:sz w:val="22"/>
                <w:szCs w:val="22"/>
                <w:lang w:val="pt-BR"/>
              </w:rPr>
              <w:t>2017/18</w:t>
            </w:r>
          </w:p>
        </w:tc>
        <w:tc>
          <w:tcPr>
            <w:tcW w:w="1371" w:type="dxa"/>
            <w:tcBorders>
              <w:bottom w:val="single" w:sz="4" w:space="0" w:color="auto"/>
            </w:tcBorders>
            <w:shd w:val="clear" w:color="auto" w:fill="auto"/>
            <w:tcMar>
              <w:top w:w="20" w:type="dxa"/>
              <w:left w:w="20" w:type="dxa"/>
              <w:bottom w:w="20" w:type="dxa"/>
              <w:right w:w="20" w:type="dxa"/>
            </w:tcMar>
          </w:tcPr>
          <w:p w14:paraId="0249EA38"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35,644</w:t>
            </w:r>
          </w:p>
        </w:tc>
        <w:tc>
          <w:tcPr>
            <w:tcW w:w="1323" w:type="dxa"/>
            <w:tcBorders>
              <w:bottom w:val="single" w:sz="4" w:space="0" w:color="auto"/>
            </w:tcBorders>
            <w:shd w:val="clear" w:color="auto" w:fill="auto"/>
            <w:tcMar>
              <w:top w:w="20" w:type="dxa"/>
              <w:left w:w="20" w:type="dxa"/>
              <w:bottom w:w="20" w:type="dxa"/>
              <w:right w:w="20" w:type="dxa"/>
            </w:tcMar>
          </w:tcPr>
          <w:p w14:paraId="68AB18D8"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276" w:type="dxa"/>
            <w:tcBorders>
              <w:bottom w:val="single" w:sz="4" w:space="0" w:color="auto"/>
            </w:tcBorders>
            <w:shd w:val="clear" w:color="auto" w:fill="auto"/>
            <w:tcMar>
              <w:top w:w="20" w:type="dxa"/>
              <w:left w:w="20" w:type="dxa"/>
              <w:bottom w:w="20" w:type="dxa"/>
              <w:right w:w="20" w:type="dxa"/>
            </w:tcMar>
          </w:tcPr>
          <w:p w14:paraId="06E500A6"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663</w:t>
            </w:r>
          </w:p>
        </w:tc>
        <w:tc>
          <w:tcPr>
            <w:tcW w:w="1276" w:type="dxa"/>
            <w:tcBorders>
              <w:bottom w:val="single" w:sz="4" w:space="0" w:color="auto"/>
            </w:tcBorders>
            <w:vAlign w:val="center"/>
          </w:tcPr>
          <w:p w14:paraId="1A56932F"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0</w:t>
            </w:r>
          </w:p>
        </w:tc>
        <w:tc>
          <w:tcPr>
            <w:tcW w:w="1559" w:type="dxa"/>
            <w:tcBorders>
              <w:bottom w:val="single" w:sz="4" w:space="0" w:color="auto"/>
            </w:tcBorders>
            <w:shd w:val="clear" w:color="auto" w:fill="auto"/>
            <w:tcMar>
              <w:top w:w="20" w:type="dxa"/>
              <w:left w:w="20" w:type="dxa"/>
              <w:bottom w:w="20" w:type="dxa"/>
              <w:right w:w="20" w:type="dxa"/>
            </w:tcMar>
          </w:tcPr>
          <w:p w14:paraId="0659325E" w14:textId="77777777" w:rsidR="008D78F8" w:rsidRPr="000D67C6" w:rsidRDefault="008D78F8" w:rsidP="007F2FFD">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5,026</w:t>
            </w:r>
          </w:p>
        </w:tc>
        <w:tc>
          <w:tcPr>
            <w:tcW w:w="1276" w:type="dxa"/>
            <w:tcBorders>
              <w:bottom w:val="single" w:sz="4" w:space="0" w:color="auto"/>
            </w:tcBorders>
            <w:shd w:val="clear" w:color="auto" w:fill="auto"/>
            <w:tcMar>
              <w:top w:w="20" w:type="dxa"/>
              <w:left w:w="20" w:type="dxa"/>
              <w:bottom w:w="20" w:type="dxa"/>
              <w:right w:w="20" w:type="dxa"/>
            </w:tcMar>
            <w:vAlign w:val="center"/>
          </w:tcPr>
          <w:p w14:paraId="26EDEDC8" w14:textId="77777777" w:rsidR="008D78F8" w:rsidRPr="000D67C6" w:rsidRDefault="008D78F8" w:rsidP="007F2FF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41,333</w:t>
            </w:r>
          </w:p>
        </w:tc>
      </w:tr>
    </w:tbl>
    <w:p w14:paraId="5E71B207" w14:textId="77777777" w:rsidR="00F571F2" w:rsidRPr="000D67C6" w:rsidRDefault="00F571F2" w:rsidP="00F571F2">
      <w:pPr>
        <w:pStyle w:val="T1TableStyle"/>
        <w:rPr>
          <w:rFonts w:ascii="Arial" w:eastAsia="Calibri" w:hAnsi="Arial" w:cs="Arial"/>
          <w:sz w:val="22"/>
          <w:szCs w:val="22"/>
          <w:lang w:val="pt-BR"/>
        </w:rPr>
      </w:pPr>
    </w:p>
    <w:p w14:paraId="649BF58A" w14:textId="58DFF042" w:rsidR="00C56082" w:rsidRPr="000D67C6" w:rsidRDefault="00C21B74" w:rsidP="00E5421B">
      <w:pPr>
        <w:ind w:left="426"/>
        <w:jc w:val="both"/>
      </w:pPr>
      <w:r w:rsidRPr="000D67C6">
        <w:rPr>
          <w:rFonts w:ascii="Arial" w:eastAsia="Times New Roman" w:hAnsi="Arial" w:cs="Arial"/>
          <w:sz w:val="22"/>
          <w:szCs w:val="22"/>
          <w:lang w:val="en-GB" w:eastAsia="en-GB"/>
        </w:rPr>
        <w:t xml:space="preserve">* Benefit in Kind </w:t>
      </w:r>
      <w:r w:rsidR="00DB1837" w:rsidRPr="000D67C6">
        <w:rPr>
          <w:rFonts w:ascii="Arial" w:eastAsia="Times New Roman" w:hAnsi="Arial" w:cs="Arial"/>
          <w:sz w:val="22"/>
          <w:szCs w:val="22"/>
          <w:lang w:val="en-GB" w:eastAsia="en-GB"/>
        </w:rPr>
        <w:t>- f</w:t>
      </w:r>
      <w:r w:rsidR="00594411" w:rsidRPr="000D67C6">
        <w:rPr>
          <w:rFonts w:ascii="Arial" w:eastAsia="Times New Roman" w:hAnsi="Arial" w:cs="Arial"/>
          <w:sz w:val="22"/>
          <w:szCs w:val="22"/>
          <w:lang w:val="en-GB" w:eastAsia="en-GB"/>
        </w:rPr>
        <w:t>rom</w:t>
      </w:r>
      <w:r w:rsidR="0002364F" w:rsidRPr="000D67C6">
        <w:rPr>
          <w:rFonts w:ascii="Arial" w:eastAsia="Times New Roman" w:hAnsi="Arial" w:cs="Arial"/>
          <w:sz w:val="22"/>
          <w:szCs w:val="22"/>
          <w:lang w:val="en-GB" w:eastAsia="en-GB"/>
        </w:rPr>
        <w:t xml:space="preserve"> </w:t>
      </w:r>
      <w:r w:rsidR="00FF5F0D" w:rsidRPr="000D67C6">
        <w:rPr>
          <w:rFonts w:ascii="Arial" w:eastAsia="Times New Roman" w:hAnsi="Arial" w:cs="Arial"/>
          <w:sz w:val="22"/>
          <w:szCs w:val="22"/>
          <w:lang w:val="en-GB" w:eastAsia="en-GB"/>
        </w:rPr>
        <w:t>1</w:t>
      </w:r>
      <w:r w:rsidR="00FF5F0D" w:rsidRPr="000D67C6">
        <w:rPr>
          <w:rFonts w:ascii="Arial" w:eastAsia="Times New Roman" w:hAnsi="Arial" w:cs="Arial"/>
          <w:sz w:val="22"/>
          <w:szCs w:val="22"/>
          <w:vertAlign w:val="superscript"/>
          <w:lang w:val="en-GB" w:eastAsia="en-GB"/>
        </w:rPr>
        <w:t>st</w:t>
      </w:r>
      <w:r w:rsidR="00FF5F0D" w:rsidRPr="000D67C6">
        <w:rPr>
          <w:rFonts w:ascii="Arial" w:eastAsia="Times New Roman" w:hAnsi="Arial" w:cs="Arial"/>
          <w:sz w:val="22"/>
          <w:szCs w:val="22"/>
          <w:lang w:val="en-GB" w:eastAsia="en-GB"/>
        </w:rPr>
        <w:t xml:space="preserve"> April 2018</w:t>
      </w:r>
      <w:r w:rsidR="00CF3978" w:rsidRPr="000D67C6">
        <w:rPr>
          <w:rFonts w:ascii="Arial" w:eastAsia="Times New Roman" w:hAnsi="Arial" w:cs="Arial"/>
          <w:sz w:val="22"/>
          <w:szCs w:val="22"/>
          <w:lang w:val="en-GB" w:eastAsia="en-GB"/>
        </w:rPr>
        <w:t xml:space="preserve"> </w:t>
      </w:r>
      <w:r w:rsidR="00FF5F0D" w:rsidRPr="000D67C6">
        <w:rPr>
          <w:rFonts w:ascii="Arial" w:eastAsia="Times New Roman" w:hAnsi="Arial" w:cs="Arial"/>
          <w:sz w:val="22"/>
          <w:szCs w:val="22"/>
          <w:lang w:val="en-GB" w:eastAsia="en-GB"/>
        </w:rPr>
        <w:t>the P11d classification of operational senior officers leased vehicles was amended and agreed with the HMRC. This has resulted in no requirement to produce P11d’s for these officers</w:t>
      </w:r>
      <w:r w:rsidR="00594411" w:rsidRPr="000D67C6">
        <w:rPr>
          <w:rFonts w:ascii="Arial" w:eastAsia="Times New Roman" w:hAnsi="Arial" w:cs="Arial"/>
          <w:sz w:val="22"/>
          <w:szCs w:val="22"/>
          <w:lang w:val="en-GB" w:eastAsia="en-GB"/>
        </w:rPr>
        <w:t>, as they have no benefit in kind</w:t>
      </w:r>
      <w:r w:rsidR="00FF5F0D" w:rsidRPr="000D67C6">
        <w:rPr>
          <w:rFonts w:ascii="Arial" w:eastAsia="Times New Roman" w:hAnsi="Arial" w:cs="Arial"/>
          <w:sz w:val="22"/>
          <w:szCs w:val="22"/>
          <w:lang w:val="en-GB" w:eastAsia="en-GB"/>
        </w:rPr>
        <w:t>.</w:t>
      </w:r>
    </w:p>
    <w:p w14:paraId="4E279D6D" w14:textId="77777777" w:rsidR="00C56082" w:rsidRPr="000D67C6" w:rsidRDefault="00C56082" w:rsidP="00C4155A">
      <w:pPr>
        <w:tabs>
          <w:tab w:val="left" w:pos="10827"/>
        </w:tabs>
        <w:sectPr w:rsidR="00C56082" w:rsidRPr="000D67C6" w:rsidSect="00FB7274">
          <w:pgSz w:w="16840" w:h="11900" w:orient="landscape"/>
          <w:pgMar w:top="1440" w:right="1440" w:bottom="1440" w:left="1440" w:header="708" w:footer="708" w:gutter="0"/>
          <w:cols w:space="708"/>
          <w:docGrid w:linePitch="360"/>
        </w:sectPr>
      </w:pPr>
    </w:p>
    <w:p w14:paraId="60CF46D2" w14:textId="77777777" w:rsidR="00E32B76" w:rsidRPr="000D67C6" w:rsidRDefault="00E32B76" w:rsidP="00C4155A">
      <w:pPr>
        <w:tabs>
          <w:tab w:val="left" w:pos="10827"/>
        </w:tabs>
        <w:rPr>
          <w:rFonts w:ascii="Arial" w:hAnsi="Arial" w:cs="Arial"/>
          <w:b/>
          <w:szCs w:val="22"/>
        </w:rPr>
      </w:pPr>
      <w:r w:rsidRPr="000D67C6">
        <w:rPr>
          <w:rFonts w:ascii="Arial" w:hAnsi="Arial" w:cs="Arial"/>
          <w:b/>
          <w:szCs w:val="22"/>
        </w:rPr>
        <w:t>Notes</w:t>
      </w:r>
    </w:p>
    <w:p w14:paraId="0ADCD988" w14:textId="77777777" w:rsidR="00E32B76" w:rsidRPr="000D67C6" w:rsidRDefault="00E32B76" w:rsidP="00C4155A">
      <w:pPr>
        <w:tabs>
          <w:tab w:val="left" w:pos="10827"/>
        </w:tabs>
        <w:rPr>
          <w:rFonts w:ascii="Arial" w:hAnsi="Arial" w:cs="Arial"/>
          <w:sz w:val="22"/>
          <w:szCs w:val="22"/>
        </w:rPr>
      </w:pPr>
    </w:p>
    <w:p w14:paraId="5591F7D1" w14:textId="77777777" w:rsidR="00E32B76" w:rsidRPr="000D67C6" w:rsidRDefault="00E32B76" w:rsidP="00C4608B">
      <w:pPr>
        <w:pStyle w:val="ListParagraph"/>
        <w:numPr>
          <w:ilvl w:val="0"/>
          <w:numId w:val="33"/>
        </w:numPr>
        <w:tabs>
          <w:tab w:val="left" w:pos="10827"/>
        </w:tabs>
        <w:jc w:val="both"/>
        <w:rPr>
          <w:rFonts w:ascii="Arial" w:hAnsi="Arial" w:cs="Arial"/>
          <w:sz w:val="22"/>
          <w:szCs w:val="22"/>
        </w:rPr>
      </w:pPr>
      <w:r w:rsidRPr="000D67C6">
        <w:rPr>
          <w:rFonts w:ascii="Arial" w:hAnsi="Arial" w:cs="Arial"/>
          <w:sz w:val="22"/>
          <w:szCs w:val="22"/>
        </w:rPr>
        <w:t xml:space="preserve">Unlike the other Senior Officers, the Assistant Chief Officer (Director of Resources) </w:t>
      </w:r>
      <w:r w:rsidR="005C0EEB" w:rsidRPr="000D67C6">
        <w:rPr>
          <w:rFonts w:ascii="Arial" w:hAnsi="Arial" w:cs="Arial"/>
          <w:sz w:val="22"/>
          <w:szCs w:val="22"/>
        </w:rPr>
        <w:t xml:space="preserve">is </w:t>
      </w:r>
      <w:r w:rsidRPr="000D67C6">
        <w:rPr>
          <w:rFonts w:ascii="Arial" w:hAnsi="Arial" w:cs="Arial"/>
          <w:sz w:val="22"/>
          <w:szCs w:val="22"/>
        </w:rPr>
        <w:t>required to purchase car fuel for business mileage and then claim back expenses.  Also, tax on benefit in kind is calculated on a different basis to other Senior Officers, which results in much higher expenses and benefits in kind figures.</w:t>
      </w:r>
    </w:p>
    <w:p w14:paraId="5BDCFCB8" w14:textId="77777777" w:rsidR="00E32B76" w:rsidRPr="000D67C6" w:rsidRDefault="00E32B76" w:rsidP="00E32B76">
      <w:pPr>
        <w:pStyle w:val="ListParagraph"/>
        <w:tabs>
          <w:tab w:val="left" w:pos="10827"/>
        </w:tabs>
        <w:ind w:left="360"/>
        <w:jc w:val="both"/>
        <w:rPr>
          <w:rFonts w:ascii="Arial" w:hAnsi="Arial" w:cs="Arial"/>
          <w:sz w:val="22"/>
          <w:szCs w:val="22"/>
        </w:rPr>
      </w:pPr>
    </w:p>
    <w:p w14:paraId="47D7F8FB" w14:textId="151E208C" w:rsidR="00E32B76" w:rsidRPr="000D67C6" w:rsidRDefault="00E32B76" w:rsidP="00C4608B">
      <w:pPr>
        <w:pStyle w:val="ListParagraph"/>
        <w:numPr>
          <w:ilvl w:val="0"/>
          <w:numId w:val="33"/>
        </w:numPr>
        <w:tabs>
          <w:tab w:val="left" w:pos="10827"/>
        </w:tabs>
        <w:jc w:val="both"/>
        <w:rPr>
          <w:rFonts w:ascii="Arial" w:hAnsi="Arial" w:cs="Arial"/>
          <w:sz w:val="22"/>
          <w:szCs w:val="22"/>
        </w:rPr>
      </w:pPr>
      <w:r w:rsidRPr="000D67C6">
        <w:rPr>
          <w:rFonts w:ascii="Arial" w:hAnsi="Arial" w:cs="Arial"/>
          <w:sz w:val="22"/>
          <w:szCs w:val="22"/>
        </w:rPr>
        <w:t xml:space="preserve">Deputy Chief Fire Officer </w:t>
      </w:r>
      <w:r w:rsidR="005C0EEB" w:rsidRPr="000D67C6">
        <w:rPr>
          <w:rFonts w:ascii="Arial" w:hAnsi="Arial" w:cs="Arial"/>
          <w:sz w:val="22"/>
          <w:szCs w:val="22"/>
        </w:rPr>
        <w:t xml:space="preserve">1 left the Service </w:t>
      </w:r>
      <w:r w:rsidR="00CB47A8" w:rsidRPr="000D67C6">
        <w:rPr>
          <w:rFonts w:ascii="Arial" w:hAnsi="Arial" w:cs="Arial"/>
          <w:sz w:val="22"/>
          <w:szCs w:val="22"/>
        </w:rPr>
        <w:t>on 31</w:t>
      </w:r>
      <w:r w:rsidR="00CB47A8" w:rsidRPr="000D67C6">
        <w:rPr>
          <w:rFonts w:ascii="Arial" w:hAnsi="Arial" w:cs="Arial"/>
          <w:sz w:val="22"/>
          <w:szCs w:val="22"/>
          <w:vertAlign w:val="superscript"/>
        </w:rPr>
        <w:t>st</w:t>
      </w:r>
      <w:r w:rsidR="00CB47A8" w:rsidRPr="000D67C6">
        <w:rPr>
          <w:rFonts w:ascii="Arial" w:hAnsi="Arial" w:cs="Arial"/>
          <w:sz w:val="22"/>
          <w:szCs w:val="22"/>
        </w:rPr>
        <w:t xml:space="preserve"> August 2018 in order to take up the Chief Fire Officer’s post </w:t>
      </w:r>
      <w:r w:rsidR="000E16B6" w:rsidRPr="000D67C6">
        <w:rPr>
          <w:rFonts w:ascii="Arial" w:hAnsi="Arial" w:cs="Arial"/>
          <w:sz w:val="22"/>
          <w:szCs w:val="22"/>
        </w:rPr>
        <w:t xml:space="preserve">in Avon Fire and Rescue Service, where he had been </w:t>
      </w:r>
      <w:r w:rsidRPr="000D67C6">
        <w:rPr>
          <w:rFonts w:ascii="Arial" w:hAnsi="Arial" w:cs="Arial"/>
          <w:sz w:val="22"/>
          <w:szCs w:val="22"/>
        </w:rPr>
        <w:t xml:space="preserve">seconded </w:t>
      </w:r>
      <w:r w:rsidR="000E16B6" w:rsidRPr="000D67C6">
        <w:rPr>
          <w:rFonts w:ascii="Arial" w:hAnsi="Arial" w:cs="Arial"/>
          <w:sz w:val="22"/>
          <w:szCs w:val="22"/>
        </w:rPr>
        <w:t>to since 2</w:t>
      </w:r>
      <w:r w:rsidR="000E16B6" w:rsidRPr="000D67C6">
        <w:rPr>
          <w:rFonts w:ascii="Arial" w:hAnsi="Arial" w:cs="Arial"/>
          <w:sz w:val="22"/>
          <w:szCs w:val="22"/>
          <w:vertAlign w:val="superscript"/>
        </w:rPr>
        <w:t>nd</w:t>
      </w:r>
      <w:r w:rsidR="000E16B6" w:rsidRPr="000D67C6">
        <w:rPr>
          <w:rFonts w:ascii="Arial" w:hAnsi="Arial" w:cs="Arial"/>
          <w:sz w:val="22"/>
          <w:szCs w:val="22"/>
        </w:rPr>
        <w:t xml:space="preserve"> May 2017.  </w:t>
      </w:r>
      <w:r w:rsidR="00750CA0" w:rsidRPr="000D67C6">
        <w:rPr>
          <w:rFonts w:ascii="Arial" w:hAnsi="Arial" w:cs="Arial"/>
          <w:sz w:val="22"/>
          <w:szCs w:val="22"/>
        </w:rPr>
        <w:t>His annual salary upon resignation</w:t>
      </w:r>
      <w:r w:rsidR="00816AD6" w:rsidRPr="000D67C6">
        <w:rPr>
          <w:rFonts w:ascii="Arial" w:hAnsi="Arial" w:cs="Arial"/>
          <w:sz w:val="22"/>
          <w:szCs w:val="22"/>
        </w:rPr>
        <w:t xml:space="preserve"> was</w:t>
      </w:r>
      <w:r w:rsidR="00750CA0" w:rsidRPr="000D67C6">
        <w:rPr>
          <w:rFonts w:ascii="Arial" w:hAnsi="Arial" w:cs="Arial"/>
          <w:sz w:val="22"/>
          <w:szCs w:val="22"/>
        </w:rPr>
        <w:t xml:space="preserve"> </w:t>
      </w:r>
      <w:r w:rsidR="00881242" w:rsidRPr="000D67C6">
        <w:rPr>
          <w:rFonts w:ascii="Arial" w:hAnsi="Arial" w:cs="Arial"/>
          <w:sz w:val="22"/>
          <w:szCs w:val="22"/>
        </w:rPr>
        <w:t>£14</w:t>
      </w:r>
      <w:r w:rsidR="00750CA0" w:rsidRPr="000D67C6">
        <w:rPr>
          <w:rFonts w:ascii="Arial" w:hAnsi="Arial" w:cs="Arial"/>
          <w:sz w:val="22"/>
          <w:szCs w:val="22"/>
        </w:rPr>
        <w:t>9</w:t>
      </w:r>
      <w:r w:rsidR="00881242" w:rsidRPr="000D67C6">
        <w:rPr>
          <w:rFonts w:ascii="Arial" w:hAnsi="Arial" w:cs="Arial"/>
          <w:sz w:val="22"/>
          <w:szCs w:val="22"/>
        </w:rPr>
        <w:t>,</w:t>
      </w:r>
      <w:r w:rsidR="00750CA0" w:rsidRPr="000D67C6">
        <w:rPr>
          <w:rFonts w:ascii="Arial" w:hAnsi="Arial" w:cs="Arial"/>
          <w:sz w:val="22"/>
          <w:szCs w:val="22"/>
        </w:rPr>
        <w:t>229</w:t>
      </w:r>
      <w:r w:rsidR="00A9793E" w:rsidRPr="000D67C6">
        <w:rPr>
          <w:rFonts w:ascii="Arial" w:hAnsi="Arial" w:cs="Arial"/>
          <w:sz w:val="22"/>
          <w:szCs w:val="22"/>
        </w:rPr>
        <w:t>,</w:t>
      </w:r>
      <w:r w:rsidRPr="000D67C6">
        <w:rPr>
          <w:rFonts w:ascii="Arial" w:hAnsi="Arial" w:cs="Arial"/>
          <w:sz w:val="22"/>
          <w:szCs w:val="22"/>
        </w:rPr>
        <w:t xml:space="preserve"> which was </w:t>
      </w:r>
      <w:r w:rsidR="00750CA0" w:rsidRPr="000D67C6">
        <w:rPr>
          <w:rFonts w:ascii="Arial" w:hAnsi="Arial" w:cs="Arial"/>
          <w:sz w:val="22"/>
          <w:szCs w:val="22"/>
        </w:rPr>
        <w:t xml:space="preserve">his secondment salary </w:t>
      </w:r>
      <w:r w:rsidR="007F382F" w:rsidRPr="000D67C6">
        <w:rPr>
          <w:rFonts w:ascii="Arial" w:hAnsi="Arial" w:cs="Arial"/>
          <w:sz w:val="22"/>
          <w:szCs w:val="22"/>
        </w:rPr>
        <w:t xml:space="preserve">covered by </w:t>
      </w:r>
      <w:r w:rsidRPr="000D67C6">
        <w:rPr>
          <w:rFonts w:ascii="Arial" w:hAnsi="Arial" w:cs="Arial"/>
          <w:sz w:val="22"/>
          <w:szCs w:val="22"/>
        </w:rPr>
        <w:t xml:space="preserve">Avon Fire </w:t>
      </w:r>
      <w:r w:rsidR="00ED2B6F" w:rsidRPr="000D67C6">
        <w:rPr>
          <w:rFonts w:ascii="Arial" w:hAnsi="Arial" w:cs="Arial"/>
          <w:sz w:val="22"/>
          <w:szCs w:val="22"/>
        </w:rPr>
        <w:t>and</w:t>
      </w:r>
      <w:r w:rsidRPr="000D67C6">
        <w:rPr>
          <w:rFonts w:ascii="Arial" w:hAnsi="Arial" w:cs="Arial"/>
          <w:sz w:val="22"/>
          <w:szCs w:val="22"/>
        </w:rPr>
        <w:t xml:space="preserve"> Rescue Service.</w:t>
      </w:r>
    </w:p>
    <w:p w14:paraId="4377A2BB" w14:textId="77777777" w:rsidR="00E32B76" w:rsidRPr="000D67C6" w:rsidRDefault="00E32B76" w:rsidP="00E32B76">
      <w:pPr>
        <w:pStyle w:val="ListParagraph"/>
        <w:jc w:val="both"/>
        <w:rPr>
          <w:rFonts w:ascii="Arial" w:hAnsi="Arial" w:cs="Arial"/>
          <w:sz w:val="22"/>
          <w:szCs w:val="22"/>
        </w:rPr>
      </w:pPr>
    </w:p>
    <w:p w14:paraId="5FAAA8D6" w14:textId="2814C290" w:rsidR="00E32B76" w:rsidRPr="000D67C6" w:rsidRDefault="00881242" w:rsidP="00C4608B">
      <w:pPr>
        <w:pStyle w:val="ListParagraph"/>
        <w:numPr>
          <w:ilvl w:val="0"/>
          <w:numId w:val="33"/>
        </w:numPr>
        <w:tabs>
          <w:tab w:val="left" w:pos="10827"/>
        </w:tabs>
        <w:jc w:val="both"/>
        <w:rPr>
          <w:rFonts w:ascii="Arial" w:hAnsi="Arial" w:cs="Arial"/>
          <w:sz w:val="22"/>
          <w:szCs w:val="22"/>
        </w:rPr>
      </w:pPr>
      <w:r w:rsidRPr="000D67C6">
        <w:rPr>
          <w:rFonts w:ascii="Arial" w:hAnsi="Arial" w:cs="Arial"/>
          <w:sz w:val="22"/>
          <w:szCs w:val="22"/>
        </w:rPr>
        <w:t>From 9</w:t>
      </w:r>
      <w:r w:rsidRPr="000D67C6">
        <w:rPr>
          <w:rFonts w:ascii="Arial" w:hAnsi="Arial" w:cs="Arial"/>
          <w:sz w:val="22"/>
          <w:szCs w:val="22"/>
          <w:vertAlign w:val="superscript"/>
        </w:rPr>
        <w:t>th</w:t>
      </w:r>
      <w:r w:rsidRPr="000D67C6">
        <w:rPr>
          <w:rFonts w:ascii="Arial" w:hAnsi="Arial" w:cs="Arial"/>
          <w:sz w:val="22"/>
          <w:szCs w:val="22"/>
        </w:rPr>
        <w:t xml:space="preserve"> </w:t>
      </w:r>
      <w:r w:rsidR="00E32B76" w:rsidRPr="000D67C6">
        <w:rPr>
          <w:rFonts w:ascii="Arial" w:hAnsi="Arial" w:cs="Arial"/>
          <w:sz w:val="22"/>
          <w:szCs w:val="22"/>
        </w:rPr>
        <w:t xml:space="preserve">August 2017 Assistant Chief Fire Officer </w:t>
      </w:r>
      <w:r w:rsidR="00EB6701" w:rsidRPr="000D67C6">
        <w:rPr>
          <w:rFonts w:ascii="Arial" w:hAnsi="Arial" w:cs="Arial"/>
          <w:sz w:val="22"/>
          <w:szCs w:val="22"/>
        </w:rPr>
        <w:t xml:space="preserve">1 </w:t>
      </w:r>
      <w:r w:rsidR="00E32B76" w:rsidRPr="000D67C6">
        <w:rPr>
          <w:rFonts w:ascii="Arial" w:hAnsi="Arial" w:cs="Arial"/>
          <w:sz w:val="22"/>
          <w:szCs w:val="22"/>
        </w:rPr>
        <w:t xml:space="preserve">was </w:t>
      </w:r>
      <w:r w:rsidR="00CF3978" w:rsidRPr="000D67C6">
        <w:rPr>
          <w:rFonts w:ascii="Arial" w:hAnsi="Arial" w:cs="Arial"/>
          <w:sz w:val="22"/>
          <w:szCs w:val="22"/>
        </w:rPr>
        <w:t xml:space="preserve">temporarily </w:t>
      </w:r>
      <w:r w:rsidR="00E32B76" w:rsidRPr="000D67C6">
        <w:rPr>
          <w:rFonts w:ascii="Arial" w:hAnsi="Arial" w:cs="Arial"/>
          <w:sz w:val="22"/>
          <w:szCs w:val="22"/>
        </w:rPr>
        <w:t>appointed to Deputy Chief Fire Officer</w:t>
      </w:r>
      <w:r w:rsidR="00CF3978" w:rsidRPr="000D67C6">
        <w:rPr>
          <w:rFonts w:ascii="Arial" w:hAnsi="Arial" w:cs="Arial"/>
          <w:sz w:val="22"/>
          <w:szCs w:val="22"/>
        </w:rPr>
        <w:t xml:space="preserve"> 2</w:t>
      </w:r>
      <w:r w:rsidR="00E32B76" w:rsidRPr="000D67C6">
        <w:rPr>
          <w:rFonts w:ascii="Arial" w:hAnsi="Arial" w:cs="Arial"/>
          <w:sz w:val="22"/>
          <w:szCs w:val="22"/>
        </w:rPr>
        <w:t>.</w:t>
      </w:r>
      <w:r w:rsidR="00CF3978" w:rsidRPr="000D67C6">
        <w:rPr>
          <w:rFonts w:ascii="Arial" w:hAnsi="Arial" w:cs="Arial"/>
          <w:sz w:val="22"/>
          <w:szCs w:val="22"/>
        </w:rPr>
        <w:t xml:space="preserve"> He retired from the Service on 29th March 2019</w:t>
      </w:r>
      <w:r w:rsidR="005C571C" w:rsidRPr="000D67C6">
        <w:rPr>
          <w:rFonts w:ascii="Arial" w:hAnsi="Arial" w:cs="Arial"/>
          <w:sz w:val="22"/>
          <w:szCs w:val="22"/>
        </w:rPr>
        <w:t xml:space="preserve"> on an annualised salary of £122,482</w:t>
      </w:r>
      <w:r w:rsidR="00CF3978" w:rsidRPr="000D67C6">
        <w:rPr>
          <w:rFonts w:ascii="Arial" w:hAnsi="Arial" w:cs="Arial"/>
          <w:sz w:val="22"/>
          <w:szCs w:val="22"/>
        </w:rPr>
        <w:t>.</w:t>
      </w:r>
    </w:p>
    <w:p w14:paraId="311C0FD5" w14:textId="77777777" w:rsidR="00E32B76" w:rsidRPr="000D67C6" w:rsidRDefault="00E32B76" w:rsidP="00E32B76">
      <w:pPr>
        <w:pStyle w:val="ListParagraph"/>
        <w:jc w:val="both"/>
        <w:rPr>
          <w:rFonts w:ascii="Arial" w:hAnsi="Arial" w:cs="Arial"/>
          <w:sz w:val="22"/>
          <w:szCs w:val="22"/>
        </w:rPr>
      </w:pPr>
    </w:p>
    <w:p w14:paraId="1C981C0C" w14:textId="77777777" w:rsidR="00E32B76" w:rsidRPr="000D67C6" w:rsidRDefault="00E32B76" w:rsidP="00C4608B">
      <w:pPr>
        <w:pStyle w:val="ListParagraph"/>
        <w:numPr>
          <w:ilvl w:val="0"/>
          <w:numId w:val="33"/>
        </w:numPr>
        <w:tabs>
          <w:tab w:val="left" w:pos="10827"/>
        </w:tabs>
        <w:jc w:val="both"/>
        <w:rPr>
          <w:rFonts w:ascii="Arial" w:hAnsi="Arial" w:cs="Arial"/>
          <w:sz w:val="22"/>
          <w:szCs w:val="22"/>
        </w:rPr>
      </w:pPr>
      <w:r w:rsidRPr="000D67C6">
        <w:rPr>
          <w:rFonts w:ascii="Arial" w:hAnsi="Arial" w:cs="Arial"/>
          <w:sz w:val="22"/>
          <w:szCs w:val="22"/>
        </w:rPr>
        <w:t xml:space="preserve">Temporary Assistant Chief Fire Officer </w:t>
      </w:r>
      <w:r w:rsidR="00C96BFF" w:rsidRPr="000D67C6">
        <w:rPr>
          <w:rFonts w:ascii="Arial" w:hAnsi="Arial" w:cs="Arial"/>
          <w:sz w:val="22"/>
          <w:szCs w:val="22"/>
        </w:rPr>
        <w:t xml:space="preserve">2 </w:t>
      </w:r>
      <w:r w:rsidRPr="000D67C6">
        <w:rPr>
          <w:rFonts w:ascii="Arial" w:hAnsi="Arial" w:cs="Arial"/>
          <w:sz w:val="22"/>
          <w:szCs w:val="22"/>
        </w:rPr>
        <w:t xml:space="preserve">was </w:t>
      </w:r>
      <w:r w:rsidR="00C96BFF" w:rsidRPr="000D67C6">
        <w:rPr>
          <w:rFonts w:ascii="Arial" w:hAnsi="Arial" w:cs="Arial"/>
          <w:sz w:val="22"/>
          <w:szCs w:val="22"/>
        </w:rPr>
        <w:t xml:space="preserve">promoted to </w:t>
      </w:r>
      <w:r w:rsidRPr="000D67C6">
        <w:rPr>
          <w:rFonts w:ascii="Arial" w:hAnsi="Arial" w:cs="Arial"/>
          <w:sz w:val="22"/>
          <w:szCs w:val="22"/>
        </w:rPr>
        <w:t>Deputy Chief Fire Officer</w:t>
      </w:r>
      <w:r w:rsidR="004513AF" w:rsidRPr="000D67C6">
        <w:rPr>
          <w:rFonts w:ascii="Arial" w:hAnsi="Arial" w:cs="Arial"/>
          <w:sz w:val="22"/>
          <w:szCs w:val="22"/>
        </w:rPr>
        <w:t xml:space="preserve"> 3 from 30</w:t>
      </w:r>
      <w:r w:rsidR="004513AF" w:rsidRPr="000D67C6">
        <w:rPr>
          <w:rFonts w:ascii="Arial" w:hAnsi="Arial" w:cs="Arial"/>
          <w:sz w:val="22"/>
          <w:szCs w:val="22"/>
          <w:vertAlign w:val="superscript"/>
        </w:rPr>
        <w:t>th</w:t>
      </w:r>
      <w:r w:rsidR="004513AF" w:rsidRPr="000D67C6">
        <w:rPr>
          <w:rFonts w:ascii="Arial" w:hAnsi="Arial" w:cs="Arial"/>
          <w:sz w:val="22"/>
          <w:szCs w:val="22"/>
        </w:rPr>
        <w:t xml:space="preserve"> March 2019 following the retirement of the previous Deputy Chief Fire Officer</w:t>
      </w:r>
      <w:r w:rsidR="00CF3978" w:rsidRPr="000D67C6">
        <w:rPr>
          <w:rFonts w:ascii="Arial" w:hAnsi="Arial" w:cs="Arial"/>
          <w:sz w:val="22"/>
          <w:szCs w:val="22"/>
        </w:rPr>
        <w:t xml:space="preserve"> 2</w:t>
      </w:r>
      <w:r w:rsidR="00916F05" w:rsidRPr="000D67C6">
        <w:rPr>
          <w:rFonts w:ascii="Arial" w:hAnsi="Arial" w:cs="Arial"/>
          <w:sz w:val="22"/>
          <w:szCs w:val="22"/>
        </w:rPr>
        <w:t>,</w:t>
      </w:r>
      <w:r w:rsidRPr="000D67C6">
        <w:rPr>
          <w:rFonts w:ascii="Arial" w:hAnsi="Arial" w:cs="Arial"/>
          <w:sz w:val="22"/>
          <w:szCs w:val="22"/>
        </w:rPr>
        <w:t xml:space="preserve"> on an </w:t>
      </w:r>
      <w:r w:rsidR="00881242" w:rsidRPr="000D67C6">
        <w:rPr>
          <w:rFonts w:ascii="Arial" w:hAnsi="Arial" w:cs="Arial"/>
          <w:sz w:val="22"/>
          <w:szCs w:val="22"/>
        </w:rPr>
        <w:t>annualised salary of £1</w:t>
      </w:r>
      <w:r w:rsidR="008240E2" w:rsidRPr="000D67C6">
        <w:rPr>
          <w:rFonts w:ascii="Arial" w:hAnsi="Arial" w:cs="Arial"/>
          <w:sz w:val="22"/>
          <w:szCs w:val="22"/>
        </w:rPr>
        <w:t>22</w:t>
      </w:r>
      <w:r w:rsidR="00881242" w:rsidRPr="000D67C6">
        <w:rPr>
          <w:rFonts w:ascii="Arial" w:hAnsi="Arial" w:cs="Arial"/>
          <w:sz w:val="22"/>
          <w:szCs w:val="22"/>
        </w:rPr>
        <w:t>,</w:t>
      </w:r>
      <w:r w:rsidR="008240E2" w:rsidRPr="000D67C6">
        <w:rPr>
          <w:rFonts w:ascii="Arial" w:hAnsi="Arial" w:cs="Arial"/>
          <w:sz w:val="22"/>
          <w:szCs w:val="22"/>
        </w:rPr>
        <w:t>482</w:t>
      </w:r>
      <w:r w:rsidRPr="000D67C6">
        <w:rPr>
          <w:rFonts w:ascii="Arial" w:hAnsi="Arial" w:cs="Arial"/>
          <w:sz w:val="22"/>
          <w:szCs w:val="22"/>
        </w:rPr>
        <w:t>.</w:t>
      </w:r>
    </w:p>
    <w:p w14:paraId="1278BEA5" w14:textId="77777777" w:rsidR="00E32B76" w:rsidRPr="000D67C6" w:rsidRDefault="00E32B76" w:rsidP="00E32B76">
      <w:pPr>
        <w:pStyle w:val="ListParagraph"/>
        <w:jc w:val="both"/>
        <w:rPr>
          <w:rFonts w:ascii="Arial" w:hAnsi="Arial" w:cs="Arial"/>
          <w:sz w:val="22"/>
          <w:szCs w:val="22"/>
        </w:rPr>
      </w:pPr>
    </w:p>
    <w:p w14:paraId="3D3681F4" w14:textId="77777777" w:rsidR="00487004" w:rsidRPr="000D67C6" w:rsidRDefault="00E32B76" w:rsidP="00C4608B">
      <w:pPr>
        <w:pStyle w:val="ListParagraph"/>
        <w:numPr>
          <w:ilvl w:val="0"/>
          <w:numId w:val="33"/>
        </w:numPr>
        <w:tabs>
          <w:tab w:val="left" w:pos="10827"/>
        </w:tabs>
        <w:jc w:val="both"/>
        <w:rPr>
          <w:rFonts w:ascii="Arial" w:hAnsi="Arial" w:cs="Arial"/>
          <w:sz w:val="22"/>
          <w:szCs w:val="22"/>
        </w:rPr>
      </w:pPr>
      <w:bookmarkStart w:id="4" w:name="_Hlk531264570"/>
      <w:r w:rsidRPr="000D67C6">
        <w:rPr>
          <w:rFonts w:ascii="Arial" w:hAnsi="Arial" w:cs="Arial"/>
          <w:sz w:val="22"/>
          <w:szCs w:val="22"/>
        </w:rPr>
        <w:t xml:space="preserve">Assistant Chief Officer </w:t>
      </w:r>
      <w:r w:rsidR="00AD3DFC" w:rsidRPr="000D67C6">
        <w:rPr>
          <w:rFonts w:ascii="Arial" w:hAnsi="Arial" w:cs="Arial"/>
          <w:sz w:val="22"/>
          <w:szCs w:val="22"/>
        </w:rPr>
        <w:t xml:space="preserve">3 was appointed </w:t>
      </w:r>
      <w:r w:rsidR="00BE546F" w:rsidRPr="000D67C6">
        <w:rPr>
          <w:rFonts w:ascii="Arial" w:hAnsi="Arial" w:cs="Arial"/>
          <w:sz w:val="22"/>
          <w:szCs w:val="22"/>
        </w:rPr>
        <w:t>on 30</w:t>
      </w:r>
      <w:r w:rsidR="00BE546F" w:rsidRPr="000D67C6">
        <w:rPr>
          <w:rFonts w:ascii="Arial" w:hAnsi="Arial" w:cs="Arial"/>
          <w:sz w:val="22"/>
          <w:szCs w:val="22"/>
          <w:vertAlign w:val="superscript"/>
        </w:rPr>
        <w:t>th</w:t>
      </w:r>
      <w:r w:rsidR="00BE546F" w:rsidRPr="000D67C6">
        <w:rPr>
          <w:rFonts w:ascii="Arial" w:hAnsi="Arial" w:cs="Arial"/>
          <w:sz w:val="22"/>
          <w:szCs w:val="22"/>
        </w:rPr>
        <w:t xml:space="preserve"> March 2019 </w:t>
      </w:r>
      <w:r w:rsidR="006F0BED" w:rsidRPr="000D67C6">
        <w:rPr>
          <w:rFonts w:ascii="Arial" w:hAnsi="Arial" w:cs="Arial"/>
          <w:sz w:val="22"/>
          <w:szCs w:val="22"/>
        </w:rPr>
        <w:t>following</w:t>
      </w:r>
      <w:r w:rsidR="00BE546F" w:rsidRPr="000D67C6">
        <w:rPr>
          <w:rFonts w:ascii="Arial" w:hAnsi="Arial" w:cs="Arial"/>
          <w:sz w:val="22"/>
          <w:szCs w:val="22"/>
        </w:rPr>
        <w:t xml:space="preserve"> the promotion of the </w:t>
      </w:r>
      <w:r w:rsidR="006F0BED" w:rsidRPr="000D67C6">
        <w:rPr>
          <w:rFonts w:ascii="Arial" w:hAnsi="Arial" w:cs="Arial"/>
          <w:sz w:val="22"/>
          <w:szCs w:val="22"/>
        </w:rPr>
        <w:t>Temporary</w:t>
      </w:r>
      <w:r w:rsidR="00BE546F" w:rsidRPr="000D67C6">
        <w:rPr>
          <w:rFonts w:ascii="Arial" w:hAnsi="Arial" w:cs="Arial"/>
          <w:sz w:val="22"/>
          <w:szCs w:val="22"/>
        </w:rPr>
        <w:t xml:space="preserve"> </w:t>
      </w:r>
      <w:r w:rsidR="006F0BED" w:rsidRPr="000D67C6">
        <w:rPr>
          <w:rFonts w:ascii="Arial" w:hAnsi="Arial" w:cs="Arial"/>
          <w:sz w:val="22"/>
          <w:szCs w:val="22"/>
        </w:rPr>
        <w:t>Assistant</w:t>
      </w:r>
      <w:r w:rsidR="00BE546F" w:rsidRPr="000D67C6">
        <w:rPr>
          <w:rFonts w:ascii="Arial" w:hAnsi="Arial" w:cs="Arial"/>
          <w:sz w:val="22"/>
          <w:szCs w:val="22"/>
        </w:rPr>
        <w:t xml:space="preserve"> Chief Fire Officer </w:t>
      </w:r>
      <w:r w:rsidR="006F0BED" w:rsidRPr="000D67C6">
        <w:rPr>
          <w:rFonts w:ascii="Arial" w:hAnsi="Arial" w:cs="Arial"/>
          <w:sz w:val="22"/>
          <w:szCs w:val="22"/>
        </w:rPr>
        <w:t xml:space="preserve">2 </w:t>
      </w:r>
      <w:r w:rsidR="00BE546F" w:rsidRPr="000D67C6">
        <w:rPr>
          <w:rFonts w:ascii="Arial" w:hAnsi="Arial" w:cs="Arial"/>
          <w:sz w:val="22"/>
          <w:szCs w:val="22"/>
        </w:rPr>
        <w:t>to Deputy Chief Fire Officer</w:t>
      </w:r>
      <w:r w:rsidRPr="000D67C6">
        <w:rPr>
          <w:rFonts w:ascii="Arial" w:hAnsi="Arial" w:cs="Arial"/>
          <w:sz w:val="22"/>
          <w:szCs w:val="22"/>
        </w:rPr>
        <w:t xml:space="preserve"> </w:t>
      </w:r>
      <w:r w:rsidR="006F0BED" w:rsidRPr="000D67C6">
        <w:rPr>
          <w:rFonts w:ascii="Arial" w:hAnsi="Arial" w:cs="Arial"/>
          <w:sz w:val="22"/>
          <w:szCs w:val="22"/>
        </w:rPr>
        <w:t>3</w:t>
      </w:r>
      <w:r w:rsidR="00CF3978" w:rsidRPr="000D67C6">
        <w:rPr>
          <w:rFonts w:ascii="Arial" w:hAnsi="Arial" w:cs="Arial"/>
          <w:sz w:val="22"/>
          <w:szCs w:val="22"/>
        </w:rPr>
        <w:t xml:space="preserve">, on an annualised salary of </w:t>
      </w:r>
      <w:r w:rsidR="004B374E" w:rsidRPr="000D67C6">
        <w:rPr>
          <w:rFonts w:ascii="Arial" w:hAnsi="Arial" w:cs="Arial"/>
          <w:sz w:val="22"/>
          <w:szCs w:val="22"/>
        </w:rPr>
        <w:t>£105,873</w:t>
      </w:r>
      <w:r w:rsidR="006F0BED" w:rsidRPr="000D67C6">
        <w:rPr>
          <w:rFonts w:ascii="Arial" w:hAnsi="Arial" w:cs="Arial"/>
          <w:sz w:val="22"/>
          <w:szCs w:val="22"/>
        </w:rPr>
        <w:t>.</w:t>
      </w:r>
    </w:p>
    <w:p w14:paraId="6F244873" w14:textId="77777777" w:rsidR="00E32B76" w:rsidRPr="000D67C6" w:rsidRDefault="00E32B76" w:rsidP="00E32B76">
      <w:pPr>
        <w:pStyle w:val="ListParagraph"/>
        <w:jc w:val="both"/>
        <w:rPr>
          <w:rFonts w:ascii="Arial" w:hAnsi="Arial" w:cs="Arial"/>
          <w:sz w:val="22"/>
          <w:szCs w:val="22"/>
        </w:rPr>
      </w:pPr>
    </w:p>
    <w:bookmarkEnd w:id="4"/>
    <w:p w14:paraId="376EDC1A" w14:textId="1785EF5A" w:rsidR="00E32B76" w:rsidRPr="000D67C6" w:rsidRDefault="002A4F41" w:rsidP="00C4608B">
      <w:pPr>
        <w:pStyle w:val="ListParagraph"/>
        <w:numPr>
          <w:ilvl w:val="0"/>
          <w:numId w:val="33"/>
        </w:numPr>
        <w:tabs>
          <w:tab w:val="left" w:pos="10827"/>
        </w:tabs>
        <w:jc w:val="both"/>
        <w:rPr>
          <w:rFonts w:ascii="Arial" w:hAnsi="Arial" w:cs="Arial"/>
          <w:sz w:val="22"/>
          <w:szCs w:val="22"/>
        </w:rPr>
      </w:pPr>
      <w:r w:rsidRPr="000D67C6">
        <w:rPr>
          <w:rFonts w:ascii="Arial" w:hAnsi="Arial" w:cs="Arial"/>
          <w:sz w:val="22"/>
          <w:szCs w:val="22"/>
        </w:rPr>
        <w:t>From the 15</w:t>
      </w:r>
      <w:r w:rsidRPr="000D67C6">
        <w:rPr>
          <w:rFonts w:ascii="Arial" w:hAnsi="Arial" w:cs="Arial"/>
          <w:sz w:val="22"/>
          <w:szCs w:val="22"/>
          <w:vertAlign w:val="superscript"/>
        </w:rPr>
        <w:t>th</w:t>
      </w:r>
      <w:r w:rsidRPr="000D67C6">
        <w:rPr>
          <w:rFonts w:ascii="Arial" w:hAnsi="Arial" w:cs="Arial"/>
          <w:sz w:val="22"/>
          <w:szCs w:val="22"/>
        </w:rPr>
        <w:t xml:space="preserve"> January 2018 </w:t>
      </w:r>
      <w:r w:rsidR="00132E44" w:rsidRPr="000D67C6">
        <w:rPr>
          <w:rFonts w:ascii="Arial" w:hAnsi="Arial" w:cs="Arial"/>
          <w:sz w:val="22"/>
          <w:szCs w:val="22"/>
        </w:rPr>
        <w:t>a S</w:t>
      </w:r>
      <w:r w:rsidR="00DB17E3" w:rsidRPr="000D67C6">
        <w:rPr>
          <w:rFonts w:ascii="Arial" w:hAnsi="Arial" w:cs="Arial"/>
          <w:sz w:val="22"/>
          <w:szCs w:val="22"/>
        </w:rPr>
        <w:t xml:space="preserve">151 Officer </w:t>
      </w:r>
      <w:r w:rsidR="00132E44" w:rsidRPr="000D67C6">
        <w:rPr>
          <w:rFonts w:ascii="Arial" w:hAnsi="Arial" w:cs="Arial"/>
          <w:sz w:val="22"/>
          <w:szCs w:val="22"/>
        </w:rPr>
        <w:t>w</w:t>
      </w:r>
      <w:r w:rsidR="00DB17E3" w:rsidRPr="000D67C6">
        <w:rPr>
          <w:rFonts w:ascii="Arial" w:hAnsi="Arial" w:cs="Arial"/>
          <w:sz w:val="22"/>
          <w:szCs w:val="22"/>
        </w:rPr>
        <w:t>as appointed under a Service Level Agreement (SLA)</w:t>
      </w:r>
      <w:r w:rsidR="00F06BA9" w:rsidRPr="000D67C6">
        <w:rPr>
          <w:rFonts w:ascii="Arial" w:hAnsi="Arial" w:cs="Arial"/>
          <w:sz w:val="22"/>
          <w:szCs w:val="22"/>
        </w:rPr>
        <w:t xml:space="preserve"> with Carmarthenshire County Council</w:t>
      </w:r>
      <w:r w:rsidR="00E32B76" w:rsidRPr="000D67C6">
        <w:rPr>
          <w:rFonts w:ascii="Arial" w:hAnsi="Arial" w:cs="Arial"/>
          <w:sz w:val="22"/>
          <w:szCs w:val="22"/>
        </w:rPr>
        <w:t>.</w:t>
      </w:r>
      <w:r w:rsidR="00F06BA9" w:rsidRPr="000D67C6">
        <w:rPr>
          <w:rFonts w:ascii="Arial" w:hAnsi="Arial" w:cs="Arial"/>
          <w:sz w:val="22"/>
          <w:szCs w:val="22"/>
        </w:rPr>
        <w:t xml:space="preserve">  The SLA costs for 2018/19 were £35,000</w:t>
      </w:r>
      <w:r w:rsidR="00541A35" w:rsidRPr="000D67C6">
        <w:rPr>
          <w:rFonts w:ascii="Arial" w:hAnsi="Arial" w:cs="Arial"/>
          <w:sz w:val="22"/>
          <w:szCs w:val="22"/>
        </w:rPr>
        <w:t xml:space="preserve"> (</w:t>
      </w:r>
      <w:r w:rsidR="00FD1C36" w:rsidRPr="000D67C6">
        <w:rPr>
          <w:rFonts w:ascii="Arial" w:hAnsi="Arial" w:cs="Arial"/>
          <w:sz w:val="22"/>
          <w:szCs w:val="22"/>
        </w:rPr>
        <w:t>2017/18 £8,750)</w:t>
      </w:r>
    </w:p>
    <w:p w14:paraId="32FEAB83" w14:textId="1E45D63C" w:rsidR="00B90A53" w:rsidRPr="00EE7AF3" w:rsidRDefault="00B90A53" w:rsidP="00C4155A">
      <w:pPr>
        <w:tabs>
          <w:tab w:val="left" w:pos="10827"/>
        </w:tabs>
        <w:rPr>
          <w:rFonts w:ascii="Arial" w:hAnsi="Arial" w:cs="Arial"/>
          <w:sz w:val="32"/>
          <w:szCs w:val="22"/>
        </w:rPr>
      </w:pPr>
    </w:p>
    <w:p w14:paraId="6F0680CD" w14:textId="77777777" w:rsidR="00E32B76" w:rsidRPr="000D67C6" w:rsidRDefault="00E32B76" w:rsidP="00C4155A">
      <w:pPr>
        <w:tabs>
          <w:tab w:val="left" w:pos="10827"/>
        </w:tabs>
        <w:rPr>
          <w:rFonts w:ascii="Arial" w:hAnsi="Arial" w:cs="Arial"/>
          <w:b/>
          <w:szCs w:val="22"/>
        </w:rPr>
      </w:pPr>
      <w:r w:rsidRPr="000D67C6">
        <w:rPr>
          <w:rFonts w:ascii="Arial" w:hAnsi="Arial" w:cs="Arial"/>
          <w:b/>
          <w:szCs w:val="22"/>
        </w:rPr>
        <w:t>Officers Remuneration</w:t>
      </w:r>
    </w:p>
    <w:p w14:paraId="67882BDC" w14:textId="77777777" w:rsidR="00E32B76" w:rsidRPr="000D67C6" w:rsidRDefault="00E32B76" w:rsidP="00C4155A">
      <w:pPr>
        <w:tabs>
          <w:tab w:val="left" w:pos="10827"/>
        </w:tabs>
        <w:rPr>
          <w:rFonts w:ascii="Arial" w:hAnsi="Arial" w:cs="Arial"/>
          <w:sz w:val="22"/>
          <w:szCs w:val="22"/>
        </w:rPr>
      </w:pPr>
    </w:p>
    <w:p w14:paraId="6E078CA2" w14:textId="77777777" w:rsidR="00E32B76" w:rsidRPr="000D67C6" w:rsidRDefault="00E32B76" w:rsidP="00E146A7">
      <w:pPr>
        <w:tabs>
          <w:tab w:val="left" w:pos="10827"/>
        </w:tabs>
        <w:jc w:val="both"/>
        <w:rPr>
          <w:rFonts w:ascii="Arial" w:hAnsi="Arial" w:cs="Arial"/>
          <w:sz w:val="22"/>
        </w:rPr>
      </w:pPr>
      <w:r w:rsidRPr="000D67C6">
        <w:rPr>
          <w:rFonts w:ascii="Arial" w:eastAsia="Verdana" w:hAnsi="Arial" w:cs="Arial"/>
          <w:sz w:val="22"/>
          <w:szCs w:val="22"/>
          <w:lang w:val="pt-BR"/>
        </w:rPr>
        <w:t>The Authority’s other employees receiving more than £60,000 remuneration for the year (excluding employer’s pension contributions) were paid the following amounts</w:t>
      </w:r>
      <w:r w:rsidRPr="000D67C6">
        <w:rPr>
          <w:rFonts w:ascii="Arial" w:hAnsi="Arial" w:cs="Arial"/>
          <w:sz w:val="22"/>
        </w:rPr>
        <w:t>:</w:t>
      </w:r>
    </w:p>
    <w:p w14:paraId="32AB0A67" w14:textId="77777777" w:rsidR="00E32B76" w:rsidRPr="000D67C6" w:rsidRDefault="00E32B76" w:rsidP="00C4155A">
      <w:pPr>
        <w:tabs>
          <w:tab w:val="left" w:pos="10827"/>
        </w:tabs>
        <w:rPr>
          <w:rFonts w:ascii="Arial" w:hAnsi="Arial" w:cs="Arial"/>
          <w:sz w:val="22"/>
        </w:rPr>
      </w:pPr>
    </w:p>
    <w:tbl>
      <w:tblPr>
        <w:tblW w:w="9356" w:type="dxa"/>
        <w:jc w:val="center"/>
        <w:tblLayout w:type="fixed"/>
        <w:tblLook w:val="04A0" w:firstRow="1" w:lastRow="0" w:firstColumn="1" w:lastColumn="0" w:noHBand="0" w:noVBand="1"/>
      </w:tblPr>
      <w:tblGrid>
        <w:gridCol w:w="1572"/>
        <w:gridCol w:w="2407"/>
        <w:gridCol w:w="1421"/>
        <w:gridCol w:w="1415"/>
        <w:gridCol w:w="2541"/>
      </w:tblGrid>
      <w:tr w:rsidR="00464E99" w:rsidRPr="000D67C6" w14:paraId="32EB9BF2" w14:textId="77777777" w:rsidTr="00E146A7">
        <w:trPr>
          <w:gridBefore w:val="1"/>
          <w:gridAfter w:val="1"/>
          <w:wBefore w:w="1572" w:type="dxa"/>
          <w:wAfter w:w="2541" w:type="dxa"/>
          <w:trHeight w:val="48"/>
          <w:jc w:val="center"/>
        </w:trPr>
        <w:tc>
          <w:tcPr>
            <w:tcW w:w="2407" w:type="dxa"/>
            <w:shd w:val="clear" w:color="auto" w:fill="auto"/>
            <w:tcMar>
              <w:top w:w="20" w:type="dxa"/>
              <w:left w:w="20" w:type="dxa"/>
              <w:bottom w:w="20" w:type="dxa"/>
              <w:right w:w="20" w:type="dxa"/>
            </w:tcMar>
            <w:vAlign w:val="center"/>
          </w:tcPr>
          <w:p w14:paraId="66BAEC74" w14:textId="77777777" w:rsidR="00464E99" w:rsidRPr="000D67C6" w:rsidRDefault="00464E99" w:rsidP="00E32B76">
            <w:pPr>
              <w:pStyle w:val="T1TableStyle"/>
              <w:jc w:val="right"/>
              <w:rPr>
                <w:rFonts w:ascii="Arial" w:eastAsia="Verdana" w:hAnsi="Arial" w:cs="Arial"/>
                <w:b/>
                <w:sz w:val="22"/>
                <w:szCs w:val="22"/>
                <w:lang w:val="pt-BR"/>
              </w:rPr>
            </w:pPr>
          </w:p>
        </w:tc>
        <w:tc>
          <w:tcPr>
            <w:tcW w:w="2836" w:type="dxa"/>
            <w:gridSpan w:val="2"/>
            <w:shd w:val="clear" w:color="auto" w:fill="auto"/>
            <w:tcMar>
              <w:top w:w="20" w:type="dxa"/>
              <w:left w:w="20" w:type="dxa"/>
              <w:bottom w:w="20" w:type="dxa"/>
              <w:right w:w="20" w:type="dxa"/>
            </w:tcMar>
            <w:vAlign w:val="center"/>
          </w:tcPr>
          <w:p w14:paraId="2C0E1295" w14:textId="77777777" w:rsidR="00464E99" w:rsidRPr="000D67C6" w:rsidRDefault="008F013B" w:rsidP="00E32B76">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Number of Employees</w:t>
            </w:r>
          </w:p>
        </w:tc>
      </w:tr>
      <w:tr w:rsidR="00464E99" w:rsidRPr="000D67C6" w14:paraId="15CFA42A" w14:textId="77777777" w:rsidTr="00E146A7">
        <w:trPr>
          <w:gridBefore w:val="1"/>
          <w:gridAfter w:val="1"/>
          <w:wBefore w:w="1572" w:type="dxa"/>
          <w:wAfter w:w="2541" w:type="dxa"/>
          <w:trHeight w:val="48"/>
          <w:jc w:val="center"/>
        </w:trPr>
        <w:tc>
          <w:tcPr>
            <w:tcW w:w="2407" w:type="dxa"/>
            <w:tcBorders>
              <w:bottom w:val="single" w:sz="2" w:space="0" w:color="000000"/>
            </w:tcBorders>
            <w:shd w:val="clear" w:color="auto" w:fill="auto"/>
            <w:tcMar>
              <w:top w:w="20" w:type="dxa"/>
              <w:left w:w="20" w:type="dxa"/>
              <w:bottom w:w="20" w:type="dxa"/>
              <w:right w:w="20" w:type="dxa"/>
            </w:tcMar>
            <w:vAlign w:val="center"/>
          </w:tcPr>
          <w:p w14:paraId="13CA6723" w14:textId="77777777" w:rsidR="00464E99" w:rsidRPr="000D67C6" w:rsidRDefault="00464E99" w:rsidP="00E32B76">
            <w:pPr>
              <w:pStyle w:val="T1TableStyle"/>
              <w:jc w:val="right"/>
              <w:rPr>
                <w:rFonts w:ascii="Arial" w:eastAsia="Verdana" w:hAnsi="Arial" w:cs="Arial"/>
                <w:b/>
                <w:sz w:val="22"/>
                <w:szCs w:val="22"/>
                <w:lang w:val="pt-BR"/>
              </w:rPr>
            </w:pPr>
          </w:p>
        </w:tc>
        <w:tc>
          <w:tcPr>
            <w:tcW w:w="1421" w:type="dxa"/>
            <w:tcBorders>
              <w:bottom w:val="single" w:sz="2" w:space="0" w:color="000000"/>
            </w:tcBorders>
            <w:shd w:val="clear" w:color="auto" w:fill="auto"/>
            <w:tcMar>
              <w:top w:w="20" w:type="dxa"/>
              <w:left w:w="20" w:type="dxa"/>
              <w:bottom w:w="20" w:type="dxa"/>
              <w:right w:w="20" w:type="dxa"/>
            </w:tcMar>
            <w:vAlign w:val="center"/>
          </w:tcPr>
          <w:p w14:paraId="56E3637C" w14:textId="77777777" w:rsidR="00464E99" w:rsidRPr="000D67C6" w:rsidRDefault="00532056" w:rsidP="00E32B76">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8</w:t>
            </w:r>
          </w:p>
        </w:tc>
        <w:tc>
          <w:tcPr>
            <w:tcW w:w="1415" w:type="dxa"/>
            <w:tcBorders>
              <w:bottom w:val="single" w:sz="2" w:space="0" w:color="000000"/>
            </w:tcBorders>
            <w:shd w:val="clear" w:color="auto" w:fill="auto"/>
            <w:tcMar>
              <w:top w:w="20" w:type="dxa"/>
              <w:left w:w="20" w:type="dxa"/>
              <w:bottom w:w="20" w:type="dxa"/>
              <w:right w:w="20" w:type="dxa"/>
            </w:tcMar>
            <w:vAlign w:val="center"/>
          </w:tcPr>
          <w:p w14:paraId="6C6C679B" w14:textId="77777777" w:rsidR="00464E99" w:rsidRPr="000D67C6" w:rsidRDefault="00532056" w:rsidP="00E32B76">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9</w:t>
            </w:r>
          </w:p>
        </w:tc>
      </w:tr>
      <w:tr w:rsidR="00F20D20" w:rsidRPr="000D67C6" w14:paraId="404F4F35" w14:textId="77777777" w:rsidTr="00E146A7">
        <w:trPr>
          <w:gridBefore w:val="1"/>
          <w:gridAfter w:val="1"/>
          <w:wBefore w:w="1572" w:type="dxa"/>
          <w:wAfter w:w="2541" w:type="dxa"/>
          <w:trHeight w:val="210"/>
          <w:jc w:val="center"/>
        </w:trPr>
        <w:tc>
          <w:tcPr>
            <w:tcW w:w="2407" w:type="dxa"/>
            <w:shd w:val="clear" w:color="auto" w:fill="auto"/>
            <w:tcMar>
              <w:top w:w="20" w:type="dxa"/>
              <w:left w:w="20" w:type="dxa"/>
              <w:bottom w:w="20" w:type="dxa"/>
              <w:right w:w="20" w:type="dxa"/>
            </w:tcMar>
            <w:vAlign w:val="center"/>
          </w:tcPr>
          <w:p w14:paraId="59D9A6AA" w14:textId="77777777" w:rsidR="00F20D20" w:rsidRPr="000D67C6" w:rsidRDefault="00F20D20" w:rsidP="00F20D20">
            <w:pPr>
              <w:pStyle w:val="T1TableStyle"/>
              <w:jc w:val="right"/>
              <w:rPr>
                <w:rFonts w:ascii="Arial" w:eastAsia="Verdana" w:hAnsi="Arial" w:cs="Arial"/>
                <w:color w:val="000000"/>
                <w:sz w:val="22"/>
                <w:szCs w:val="22"/>
                <w:lang w:val="pt-BR"/>
              </w:rPr>
            </w:pPr>
            <w:r w:rsidRPr="000D67C6">
              <w:rPr>
                <w:rFonts w:ascii="Arial" w:eastAsia="Verdana" w:hAnsi="Arial" w:cs="Arial"/>
                <w:color w:val="000000"/>
                <w:sz w:val="22"/>
                <w:szCs w:val="22"/>
                <w:lang w:val="pt-BR"/>
              </w:rPr>
              <w:t>£60,001 to £65,000</w:t>
            </w:r>
          </w:p>
        </w:tc>
        <w:tc>
          <w:tcPr>
            <w:tcW w:w="1421" w:type="dxa"/>
            <w:shd w:val="clear" w:color="auto" w:fill="auto"/>
            <w:tcMar>
              <w:top w:w="20" w:type="dxa"/>
              <w:left w:w="20" w:type="dxa"/>
              <w:bottom w:w="20" w:type="dxa"/>
              <w:right w:w="20" w:type="dxa"/>
            </w:tcMar>
            <w:vAlign w:val="center"/>
          </w:tcPr>
          <w:p w14:paraId="0DDBA592"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6</w:t>
            </w:r>
          </w:p>
        </w:tc>
        <w:tc>
          <w:tcPr>
            <w:tcW w:w="1415" w:type="dxa"/>
            <w:shd w:val="clear" w:color="auto" w:fill="auto"/>
            <w:tcMar>
              <w:top w:w="20" w:type="dxa"/>
              <w:left w:w="20" w:type="dxa"/>
              <w:bottom w:w="20" w:type="dxa"/>
              <w:right w:w="20" w:type="dxa"/>
            </w:tcMar>
            <w:vAlign w:val="center"/>
          </w:tcPr>
          <w:p w14:paraId="3E6B9566" w14:textId="77777777" w:rsidR="00F20D20" w:rsidRPr="000D67C6" w:rsidRDefault="00D32E6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w:t>
            </w:r>
          </w:p>
        </w:tc>
      </w:tr>
      <w:tr w:rsidR="00F20D20" w:rsidRPr="000D67C6" w14:paraId="555AE85F" w14:textId="77777777" w:rsidTr="00E146A7">
        <w:trPr>
          <w:gridBefore w:val="1"/>
          <w:gridAfter w:val="1"/>
          <w:wBefore w:w="1572" w:type="dxa"/>
          <w:wAfter w:w="2541" w:type="dxa"/>
          <w:trHeight w:val="210"/>
          <w:jc w:val="center"/>
        </w:trPr>
        <w:tc>
          <w:tcPr>
            <w:tcW w:w="2407" w:type="dxa"/>
            <w:shd w:val="clear" w:color="auto" w:fill="auto"/>
            <w:tcMar>
              <w:top w:w="20" w:type="dxa"/>
              <w:left w:w="20" w:type="dxa"/>
              <w:bottom w:w="20" w:type="dxa"/>
              <w:right w:w="20" w:type="dxa"/>
            </w:tcMar>
            <w:vAlign w:val="center"/>
          </w:tcPr>
          <w:p w14:paraId="3D9E8656" w14:textId="77777777" w:rsidR="00F20D20" w:rsidRPr="000D67C6" w:rsidRDefault="00F20D20" w:rsidP="00F20D20">
            <w:pPr>
              <w:pStyle w:val="T1TableStyle"/>
              <w:jc w:val="right"/>
              <w:rPr>
                <w:rFonts w:ascii="Arial" w:eastAsia="Verdana" w:hAnsi="Arial" w:cs="Arial"/>
                <w:color w:val="000000"/>
                <w:sz w:val="22"/>
                <w:szCs w:val="22"/>
                <w:lang w:val="pt-BR"/>
              </w:rPr>
            </w:pPr>
            <w:r w:rsidRPr="000D67C6">
              <w:rPr>
                <w:rFonts w:ascii="Arial" w:eastAsia="Verdana" w:hAnsi="Arial" w:cs="Arial"/>
                <w:color w:val="000000"/>
                <w:sz w:val="22"/>
                <w:szCs w:val="22"/>
                <w:lang w:val="pt-BR"/>
              </w:rPr>
              <w:t>£65,001 to £70,000</w:t>
            </w:r>
          </w:p>
        </w:tc>
        <w:tc>
          <w:tcPr>
            <w:tcW w:w="1421" w:type="dxa"/>
            <w:shd w:val="clear" w:color="auto" w:fill="auto"/>
            <w:tcMar>
              <w:top w:w="20" w:type="dxa"/>
              <w:left w:w="20" w:type="dxa"/>
              <w:bottom w:w="20" w:type="dxa"/>
              <w:right w:w="20" w:type="dxa"/>
            </w:tcMar>
            <w:vAlign w:val="center"/>
          </w:tcPr>
          <w:p w14:paraId="0594622B"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w:t>
            </w:r>
          </w:p>
        </w:tc>
        <w:tc>
          <w:tcPr>
            <w:tcW w:w="1415" w:type="dxa"/>
            <w:shd w:val="clear" w:color="auto" w:fill="auto"/>
            <w:tcMar>
              <w:top w:w="20" w:type="dxa"/>
              <w:left w:w="20" w:type="dxa"/>
              <w:bottom w:w="20" w:type="dxa"/>
              <w:right w:w="20" w:type="dxa"/>
            </w:tcMar>
            <w:vAlign w:val="center"/>
          </w:tcPr>
          <w:p w14:paraId="2886C5B1" w14:textId="77777777" w:rsidR="00F20D20" w:rsidRPr="000D67C6" w:rsidRDefault="00D32E6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w:t>
            </w:r>
          </w:p>
        </w:tc>
      </w:tr>
      <w:tr w:rsidR="00F20D20" w:rsidRPr="000D67C6" w14:paraId="75963AEA" w14:textId="77777777" w:rsidTr="00E146A7">
        <w:trPr>
          <w:gridBefore w:val="1"/>
          <w:gridAfter w:val="1"/>
          <w:wBefore w:w="1572" w:type="dxa"/>
          <w:wAfter w:w="2541" w:type="dxa"/>
          <w:trHeight w:val="210"/>
          <w:jc w:val="center"/>
        </w:trPr>
        <w:tc>
          <w:tcPr>
            <w:tcW w:w="2407" w:type="dxa"/>
            <w:shd w:val="clear" w:color="auto" w:fill="auto"/>
            <w:tcMar>
              <w:top w:w="20" w:type="dxa"/>
              <w:left w:w="20" w:type="dxa"/>
              <w:bottom w:w="20" w:type="dxa"/>
              <w:right w:w="20" w:type="dxa"/>
            </w:tcMar>
            <w:vAlign w:val="center"/>
          </w:tcPr>
          <w:p w14:paraId="1B9172E2" w14:textId="77777777" w:rsidR="00F20D20" w:rsidRPr="000D67C6" w:rsidRDefault="00F20D20" w:rsidP="00F20D20">
            <w:pPr>
              <w:pStyle w:val="T1TableStyle"/>
              <w:jc w:val="right"/>
              <w:rPr>
                <w:rFonts w:ascii="Arial" w:eastAsia="Verdana" w:hAnsi="Arial" w:cs="Arial"/>
                <w:color w:val="000000"/>
                <w:sz w:val="22"/>
                <w:szCs w:val="22"/>
                <w:lang w:val="pt-BR"/>
              </w:rPr>
            </w:pPr>
            <w:r w:rsidRPr="000D67C6">
              <w:rPr>
                <w:rFonts w:ascii="Arial" w:eastAsia="Verdana" w:hAnsi="Arial" w:cs="Arial"/>
                <w:color w:val="000000"/>
                <w:sz w:val="22"/>
                <w:szCs w:val="22"/>
                <w:lang w:val="pt-BR"/>
              </w:rPr>
              <w:t>£70,001 to £75,000</w:t>
            </w:r>
          </w:p>
        </w:tc>
        <w:tc>
          <w:tcPr>
            <w:tcW w:w="1421" w:type="dxa"/>
            <w:shd w:val="clear" w:color="auto" w:fill="auto"/>
            <w:tcMar>
              <w:top w:w="20" w:type="dxa"/>
              <w:left w:w="20" w:type="dxa"/>
              <w:bottom w:w="20" w:type="dxa"/>
              <w:right w:w="20" w:type="dxa"/>
            </w:tcMar>
            <w:vAlign w:val="center"/>
          </w:tcPr>
          <w:p w14:paraId="35F110EF"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w:t>
            </w:r>
          </w:p>
        </w:tc>
        <w:tc>
          <w:tcPr>
            <w:tcW w:w="1415" w:type="dxa"/>
            <w:shd w:val="clear" w:color="auto" w:fill="auto"/>
            <w:tcMar>
              <w:top w:w="20" w:type="dxa"/>
              <w:left w:w="20" w:type="dxa"/>
              <w:bottom w:w="20" w:type="dxa"/>
              <w:right w:w="20" w:type="dxa"/>
            </w:tcMar>
            <w:vAlign w:val="center"/>
          </w:tcPr>
          <w:p w14:paraId="7C236994" w14:textId="77777777" w:rsidR="00F20D20" w:rsidRPr="000D67C6" w:rsidRDefault="00D32E6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w:t>
            </w:r>
          </w:p>
        </w:tc>
      </w:tr>
      <w:tr w:rsidR="00F20D20" w:rsidRPr="000D67C6" w14:paraId="5BA0D004" w14:textId="77777777" w:rsidTr="00E146A7">
        <w:trPr>
          <w:gridBefore w:val="1"/>
          <w:gridAfter w:val="1"/>
          <w:wBefore w:w="1572" w:type="dxa"/>
          <w:wAfter w:w="2541" w:type="dxa"/>
          <w:trHeight w:val="210"/>
          <w:jc w:val="center"/>
        </w:trPr>
        <w:tc>
          <w:tcPr>
            <w:tcW w:w="2407" w:type="dxa"/>
            <w:shd w:val="clear" w:color="auto" w:fill="auto"/>
            <w:tcMar>
              <w:top w:w="20" w:type="dxa"/>
              <w:left w:w="20" w:type="dxa"/>
              <w:bottom w:w="20" w:type="dxa"/>
              <w:right w:w="20" w:type="dxa"/>
            </w:tcMar>
            <w:vAlign w:val="center"/>
          </w:tcPr>
          <w:p w14:paraId="1F5F0F6E" w14:textId="77777777" w:rsidR="00F20D20" w:rsidRPr="000D67C6" w:rsidRDefault="00F20D20" w:rsidP="00F20D20">
            <w:pPr>
              <w:pStyle w:val="T1TableStyle"/>
              <w:jc w:val="right"/>
              <w:rPr>
                <w:rFonts w:ascii="Arial" w:eastAsia="Verdana" w:hAnsi="Arial" w:cs="Arial"/>
                <w:color w:val="000000"/>
                <w:sz w:val="22"/>
                <w:szCs w:val="22"/>
                <w:lang w:val="pt-BR"/>
              </w:rPr>
            </w:pPr>
            <w:r w:rsidRPr="000D67C6">
              <w:rPr>
                <w:rFonts w:ascii="Arial" w:eastAsia="Verdana" w:hAnsi="Arial" w:cs="Arial"/>
                <w:color w:val="000000"/>
                <w:sz w:val="22"/>
                <w:szCs w:val="22"/>
                <w:lang w:val="pt-BR"/>
              </w:rPr>
              <w:t>£75,001 to £80,000</w:t>
            </w:r>
          </w:p>
        </w:tc>
        <w:tc>
          <w:tcPr>
            <w:tcW w:w="1421" w:type="dxa"/>
            <w:shd w:val="clear" w:color="auto" w:fill="auto"/>
            <w:tcMar>
              <w:top w:w="20" w:type="dxa"/>
              <w:left w:w="20" w:type="dxa"/>
              <w:bottom w:w="20" w:type="dxa"/>
              <w:right w:w="20" w:type="dxa"/>
            </w:tcMar>
            <w:vAlign w:val="center"/>
          </w:tcPr>
          <w:p w14:paraId="1CDFC282"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w:t>
            </w:r>
          </w:p>
        </w:tc>
        <w:tc>
          <w:tcPr>
            <w:tcW w:w="1415" w:type="dxa"/>
            <w:shd w:val="clear" w:color="auto" w:fill="auto"/>
            <w:tcMar>
              <w:top w:w="20" w:type="dxa"/>
              <w:left w:w="20" w:type="dxa"/>
              <w:bottom w:w="20" w:type="dxa"/>
              <w:right w:w="20" w:type="dxa"/>
            </w:tcMar>
            <w:vAlign w:val="center"/>
          </w:tcPr>
          <w:p w14:paraId="4F35BD02" w14:textId="77777777" w:rsidR="00F20D20" w:rsidRPr="000D67C6" w:rsidRDefault="00D32E6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w:t>
            </w:r>
          </w:p>
        </w:tc>
      </w:tr>
      <w:tr w:rsidR="00F20D20" w:rsidRPr="000D67C6" w14:paraId="1C86274B" w14:textId="77777777" w:rsidTr="00E146A7">
        <w:trPr>
          <w:gridBefore w:val="1"/>
          <w:gridAfter w:val="1"/>
          <w:wBefore w:w="1572" w:type="dxa"/>
          <w:wAfter w:w="2541" w:type="dxa"/>
          <w:trHeight w:val="225"/>
          <w:jc w:val="center"/>
        </w:trPr>
        <w:tc>
          <w:tcPr>
            <w:tcW w:w="240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358FE92"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Total</w:t>
            </w:r>
          </w:p>
        </w:tc>
        <w:tc>
          <w:tcPr>
            <w:tcW w:w="142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2B0E11"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12</w:t>
            </w:r>
          </w:p>
        </w:tc>
        <w:tc>
          <w:tcPr>
            <w:tcW w:w="141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6C772A6" w14:textId="77777777" w:rsidR="00F20D20" w:rsidRPr="000D67C6" w:rsidRDefault="00D32E65"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19</w:t>
            </w:r>
          </w:p>
        </w:tc>
      </w:tr>
      <w:tr w:rsidR="00464E99" w:rsidRPr="000D67C6" w14:paraId="07E60968" w14:textId="77777777" w:rsidTr="00E146A7">
        <w:trPr>
          <w:trHeight w:val="255"/>
          <w:jc w:val="center"/>
        </w:trPr>
        <w:tc>
          <w:tcPr>
            <w:tcW w:w="9356" w:type="dxa"/>
            <w:gridSpan w:val="5"/>
            <w:shd w:val="clear" w:color="auto" w:fill="auto"/>
            <w:tcMar>
              <w:top w:w="20" w:type="dxa"/>
              <w:left w:w="20" w:type="dxa"/>
              <w:bottom w:w="20" w:type="dxa"/>
              <w:right w:w="20" w:type="dxa"/>
            </w:tcMar>
            <w:vAlign w:val="center"/>
          </w:tcPr>
          <w:p w14:paraId="619E2BAE" w14:textId="77777777" w:rsidR="00C56082" w:rsidRPr="000D67C6" w:rsidRDefault="00C56082" w:rsidP="00373B1D">
            <w:pPr>
              <w:pStyle w:val="T1TableStyle"/>
              <w:spacing w:line="22" w:lineRule="atLeast"/>
              <w:jc w:val="both"/>
              <w:rPr>
                <w:rFonts w:ascii="Arial" w:eastAsia="Verdana" w:hAnsi="Arial" w:cs="Arial"/>
                <w:sz w:val="20"/>
                <w:szCs w:val="20"/>
                <w:lang w:val="pt-BR"/>
              </w:rPr>
            </w:pPr>
          </w:p>
          <w:p w14:paraId="0BFE9E56" w14:textId="77777777" w:rsidR="00B90A53" w:rsidRPr="000D67C6" w:rsidRDefault="00B90A53" w:rsidP="00373B1D">
            <w:pPr>
              <w:pStyle w:val="T1TableStyle"/>
              <w:spacing w:line="22" w:lineRule="atLeast"/>
              <w:jc w:val="both"/>
              <w:rPr>
                <w:rFonts w:ascii="Arial" w:eastAsia="Verdana" w:hAnsi="Arial" w:cs="Arial"/>
                <w:sz w:val="20"/>
                <w:szCs w:val="20"/>
                <w:lang w:val="pt-BR"/>
              </w:rPr>
            </w:pPr>
          </w:p>
          <w:p w14:paraId="420D00D7" w14:textId="77777777" w:rsidR="003F6FEA" w:rsidRPr="000D67C6" w:rsidRDefault="00F520EB" w:rsidP="00C126F1">
            <w:pPr>
              <w:pStyle w:val="T1TableStyle"/>
              <w:spacing w:line="22" w:lineRule="atLeast"/>
              <w:ind w:right="546"/>
              <w:jc w:val="both"/>
              <w:rPr>
                <w:rFonts w:ascii="Arial" w:eastAsia="Verdana" w:hAnsi="Arial" w:cs="Arial"/>
                <w:b/>
                <w:sz w:val="20"/>
                <w:szCs w:val="20"/>
                <w:lang w:val="pt-BR"/>
              </w:rPr>
            </w:pPr>
            <w:r w:rsidRPr="000D67C6">
              <w:rPr>
                <w:rFonts w:ascii="Arial" w:eastAsia="Verdana" w:hAnsi="Arial" w:cs="Arial"/>
                <w:sz w:val="22"/>
                <w:szCs w:val="22"/>
                <w:lang w:val="pt-BR"/>
              </w:rPr>
              <w:t>In 201</w:t>
            </w:r>
            <w:r w:rsidR="00F20D20" w:rsidRPr="000D67C6">
              <w:rPr>
                <w:rFonts w:ascii="Arial" w:eastAsia="Verdana" w:hAnsi="Arial" w:cs="Arial"/>
                <w:sz w:val="22"/>
                <w:szCs w:val="22"/>
                <w:lang w:val="pt-BR"/>
              </w:rPr>
              <w:t>8</w:t>
            </w:r>
            <w:r w:rsidR="00532056" w:rsidRPr="000D67C6">
              <w:rPr>
                <w:rFonts w:ascii="Arial" w:eastAsia="Verdana" w:hAnsi="Arial" w:cs="Arial"/>
                <w:sz w:val="22"/>
                <w:szCs w:val="22"/>
                <w:lang w:val="pt-BR"/>
              </w:rPr>
              <w:t>/1</w:t>
            </w:r>
            <w:r w:rsidR="00F20D20" w:rsidRPr="000D67C6">
              <w:rPr>
                <w:rFonts w:ascii="Arial" w:eastAsia="Verdana" w:hAnsi="Arial" w:cs="Arial"/>
                <w:sz w:val="22"/>
                <w:szCs w:val="22"/>
                <w:lang w:val="pt-BR"/>
              </w:rPr>
              <w:t>9</w:t>
            </w:r>
            <w:r w:rsidRPr="000D67C6">
              <w:rPr>
                <w:rFonts w:ascii="Arial" w:eastAsia="Verdana" w:hAnsi="Arial" w:cs="Arial"/>
                <w:sz w:val="22"/>
                <w:szCs w:val="22"/>
                <w:lang w:val="pt-BR"/>
              </w:rPr>
              <w:t xml:space="preserve"> the ratio of the highest paid to the median full time equivalent sala</w:t>
            </w:r>
            <w:r w:rsidR="00532056" w:rsidRPr="000D67C6">
              <w:rPr>
                <w:rFonts w:ascii="Arial" w:eastAsia="Verdana" w:hAnsi="Arial" w:cs="Arial"/>
                <w:sz w:val="22"/>
                <w:szCs w:val="22"/>
                <w:lang w:val="pt-BR"/>
              </w:rPr>
              <w:t>ry of £</w:t>
            </w:r>
            <w:r w:rsidR="00D32E65" w:rsidRPr="000D67C6">
              <w:rPr>
                <w:rFonts w:ascii="Arial" w:eastAsia="Verdana" w:hAnsi="Arial" w:cs="Arial"/>
                <w:sz w:val="22"/>
                <w:szCs w:val="22"/>
                <w:lang w:val="pt-BR"/>
              </w:rPr>
              <w:t>30</w:t>
            </w:r>
            <w:r w:rsidR="00532056" w:rsidRPr="000D67C6">
              <w:rPr>
                <w:rFonts w:ascii="Arial" w:eastAsia="Verdana" w:hAnsi="Arial" w:cs="Arial"/>
                <w:sz w:val="22"/>
                <w:szCs w:val="22"/>
                <w:lang w:val="pt-BR"/>
              </w:rPr>
              <w:t>,</w:t>
            </w:r>
            <w:r w:rsidR="00D32E65" w:rsidRPr="000D67C6">
              <w:rPr>
                <w:rFonts w:ascii="Arial" w:eastAsia="Verdana" w:hAnsi="Arial" w:cs="Arial"/>
                <w:sz w:val="22"/>
                <w:szCs w:val="22"/>
                <w:lang w:val="pt-BR"/>
              </w:rPr>
              <w:t>530</w:t>
            </w:r>
            <w:r w:rsidR="00532056" w:rsidRPr="000D67C6">
              <w:rPr>
                <w:rFonts w:ascii="Arial" w:eastAsia="Verdana" w:hAnsi="Arial" w:cs="Arial"/>
                <w:sz w:val="22"/>
                <w:szCs w:val="22"/>
                <w:lang w:val="pt-BR"/>
              </w:rPr>
              <w:t xml:space="preserve"> is 4.</w:t>
            </w:r>
            <w:r w:rsidR="00C56082" w:rsidRPr="000D67C6">
              <w:rPr>
                <w:rFonts w:ascii="Arial" w:eastAsia="Verdana" w:hAnsi="Arial" w:cs="Arial"/>
                <w:sz w:val="22"/>
                <w:szCs w:val="22"/>
                <w:lang w:val="pt-BR"/>
              </w:rPr>
              <w:t>82</w:t>
            </w:r>
            <w:r w:rsidR="00532056" w:rsidRPr="000D67C6">
              <w:rPr>
                <w:rFonts w:ascii="Arial" w:eastAsia="Verdana" w:hAnsi="Arial" w:cs="Arial"/>
                <w:sz w:val="22"/>
                <w:szCs w:val="22"/>
                <w:lang w:val="pt-BR"/>
              </w:rPr>
              <w:t>:1 (in 201</w:t>
            </w:r>
            <w:r w:rsidR="00F20D20" w:rsidRPr="000D67C6">
              <w:rPr>
                <w:rFonts w:ascii="Arial" w:eastAsia="Verdana" w:hAnsi="Arial" w:cs="Arial"/>
                <w:sz w:val="22"/>
                <w:szCs w:val="22"/>
                <w:lang w:val="pt-BR"/>
              </w:rPr>
              <w:t>7</w:t>
            </w:r>
            <w:r w:rsidR="00532056" w:rsidRPr="000D67C6">
              <w:rPr>
                <w:rFonts w:ascii="Arial" w:eastAsia="Verdana" w:hAnsi="Arial" w:cs="Arial"/>
                <w:sz w:val="22"/>
                <w:szCs w:val="22"/>
                <w:lang w:val="pt-BR"/>
              </w:rPr>
              <w:t>/1</w:t>
            </w:r>
            <w:r w:rsidR="00F20D20" w:rsidRPr="000D67C6">
              <w:rPr>
                <w:rFonts w:ascii="Arial" w:eastAsia="Verdana" w:hAnsi="Arial" w:cs="Arial"/>
                <w:sz w:val="22"/>
                <w:szCs w:val="22"/>
                <w:lang w:val="pt-BR"/>
              </w:rPr>
              <w:t>8</w:t>
            </w:r>
            <w:r w:rsidRPr="000D67C6">
              <w:rPr>
                <w:rFonts w:ascii="Arial" w:eastAsia="Verdana" w:hAnsi="Arial" w:cs="Arial"/>
                <w:sz w:val="22"/>
                <w:szCs w:val="22"/>
                <w:lang w:val="pt-BR"/>
              </w:rPr>
              <w:t xml:space="preserve"> the median full ti</w:t>
            </w:r>
            <w:r w:rsidR="00532056" w:rsidRPr="000D67C6">
              <w:rPr>
                <w:rFonts w:ascii="Arial" w:eastAsia="Verdana" w:hAnsi="Arial" w:cs="Arial"/>
                <w:sz w:val="22"/>
                <w:szCs w:val="22"/>
                <w:lang w:val="pt-BR"/>
              </w:rPr>
              <w:t>me equivalent salary was £29,</w:t>
            </w:r>
            <w:r w:rsidR="00F20D20" w:rsidRPr="000D67C6">
              <w:rPr>
                <w:rFonts w:ascii="Arial" w:eastAsia="Verdana" w:hAnsi="Arial" w:cs="Arial"/>
                <w:sz w:val="22"/>
                <w:szCs w:val="22"/>
                <w:lang w:val="pt-BR"/>
              </w:rPr>
              <w:t>930</w:t>
            </w:r>
            <w:r w:rsidR="00532056" w:rsidRPr="000D67C6">
              <w:rPr>
                <w:rFonts w:ascii="Arial" w:eastAsia="Verdana" w:hAnsi="Arial" w:cs="Arial"/>
                <w:sz w:val="22"/>
                <w:szCs w:val="22"/>
                <w:lang w:val="pt-BR"/>
              </w:rPr>
              <w:t xml:space="preserve"> and the ratio was 4.</w:t>
            </w:r>
            <w:r w:rsidR="00F20D20" w:rsidRPr="000D67C6">
              <w:rPr>
                <w:rFonts w:ascii="Arial" w:eastAsia="Verdana" w:hAnsi="Arial" w:cs="Arial"/>
                <w:sz w:val="22"/>
                <w:szCs w:val="22"/>
                <w:lang w:val="pt-BR"/>
              </w:rPr>
              <w:t>82</w:t>
            </w:r>
            <w:r w:rsidRPr="000D67C6">
              <w:rPr>
                <w:rFonts w:ascii="Arial" w:eastAsia="Verdana" w:hAnsi="Arial" w:cs="Arial"/>
                <w:sz w:val="22"/>
                <w:szCs w:val="22"/>
                <w:lang w:val="pt-BR"/>
              </w:rPr>
              <w:t>:1).</w:t>
            </w:r>
          </w:p>
        </w:tc>
      </w:tr>
    </w:tbl>
    <w:p w14:paraId="1F039155" w14:textId="77777777" w:rsidR="00AD6997" w:rsidRPr="000D67C6" w:rsidRDefault="00AD6997">
      <w:r w:rsidRPr="000D67C6">
        <w:br w:type="page"/>
      </w:r>
    </w:p>
    <w:tbl>
      <w:tblPr>
        <w:tblW w:w="9640" w:type="dxa"/>
        <w:jc w:val="center"/>
        <w:tblLayout w:type="fixed"/>
        <w:tblLook w:val="04A0" w:firstRow="1" w:lastRow="0" w:firstColumn="1" w:lastColumn="0" w:noHBand="0" w:noVBand="1"/>
      </w:tblPr>
      <w:tblGrid>
        <w:gridCol w:w="2836"/>
        <w:gridCol w:w="850"/>
        <w:gridCol w:w="851"/>
        <w:gridCol w:w="850"/>
        <w:gridCol w:w="851"/>
        <w:gridCol w:w="850"/>
        <w:gridCol w:w="851"/>
        <w:gridCol w:w="850"/>
        <w:gridCol w:w="851"/>
      </w:tblGrid>
      <w:tr w:rsidR="002016B9" w:rsidRPr="000D67C6" w14:paraId="4D5E5306" w14:textId="77777777" w:rsidTr="00AD6997">
        <w:trPr>
          <w:trHeight w:val="501"/>
          <w:jc w:val="center"/>
        </w:trPr>
        <w:tc>
          <w:tcPr>
            <w:tcW w:w="2836" w:type="dxa"/>
            <w:shd w:val="clear" w:color="auto" w:fill="auto"/>
            <w:tcMar>
              <w:top w:w="20" w:type="dxa"/>
              <w:left w:w="20" w:type="dxa"/>
              <w:bottom w:w="20" w:type="dxa"/>
              <w:right w:w="20" w:type="dxa"/>
            </w:tcMar>
            <w:vAlign w:val="center"/>
          </w:tcPr>
          <w:p w14:paraId="66EB2658" w14:textId="77777777" w:rsidR="002016B9" w:rsidRPr="000D67C6" w:rsidRDefault="002016B9" w:rsidP="008F013B">
            <w:pPr>
              <w:pStyle w:val="T1TableStyle"/>
              <w:rPr>
                <w:rFonts w:ascii="Arial" w:eastAsia="Verdana" w:hAnsi="Arial" w:cs="Arial"/>
                <w:b/>
                <w:szCs w:val="20"/>
                <w:lang w:val="pt-BR"/>
              </w:rPr>
            </w:pPr>
            <w:r w:rsidRPr="000D67C6">
              <w:rPr>
                <w:rFonts w:ascii="Arial" w:eastAsia="Verdana" w:hAnsi="Arial" w:cs="Arial"/>
                <w:b/>
                <w:szCs w:val="20"/>
                <w:lang w:val="pt-BR"/>
              </w:rPr>
              <w:t>Exit Packages</w:t>
            </w:r>
          </w:p>
        </w:tc>
        <w:tc>
          <w:tcPr>
            <w:tcW w:w="1701" w:type="dxa"/>
            <w:gridSpan w:val="2"/>
            <w:shd w:val="clear" w:color="auto" w:fill="auto"/>
            <w:tcMar>
              <w:top w:w="20" w:type="dxa"/>
              <w:left w:w="20" w:type="dxa"/>
              <w:bottom w:w="20" w:type="dxa"/>
              <w:right w:w="20" w:type="dxa"/>
            </w:tcMar>
            <w:vAlign w:val="center"/>
          </w:tcPr>
          <w:p w14:paraId="662AEE36" w14:textId="77777777" w:rsidR="002016B9" w:rsidRPr="000D67C6" w:rsidRDefault="002016B9" w:rsidP="008F013B">
            <w:pPr>
              <w:pStyle w:val="T1TableStyle"/>
              <w:jc w:val="center"/>
              <w:rPr>
                <w:rFonts w:ascii="Arial" w:eastAsia="Verdana" w:hAnsi="Arial" w:cs="Arial"/>
                <w:b/>
                <w:szCs w:val="20"/>
                <w:lang w:val="pt-BR"/>
              </w:rPr>
            </w:pPr>
          </w:p>
        </w:tc>
        <w:tc>
          <w:tcPr>
            <w:tcW w:w="1701" w:type="dxa"/>
            <w:gridSpan w:val="2"/>
            <w:shd w:val="clear" w:color="auto" w:fill="auto"/>
            <w:tcMar>
              <w:top w:w="20" w:type="dxa"/>
              <w:left w:w="20" w:type="dxa"/>
              <w:bottom w:w="20" w:type="dxa"/>
              <w:right w:w="20" w:type="dxa"/>
            </w:tcMar>
            <w:vAlign w:val="center"/>
          </w:tcPr>
          <w:p w14:paraId="18016B35" w14:textId="77777777" w:rsidR="002016B9" w:rsidRPr="000D67C6" w:rsidRDefault="002016B9" w:rsidP="008F013B">
            <w:pPr>
              <w:pStyle w:val="T1TableStyle"/>
              <w:jc w:val="center"/>
              <w:rPr>
                <w:rFonts w:ascii="Arial" w:eastAsia="Verdana" w:hAnsi="Arial" w:cs="Arial"/>
                <w:b/>
                <w:szCs w:val="20"/>
                <w:lang w:val="pt-BR"/>
              </w:rPr>
            </w:pPr>
          </w:p>
        </w:tc>
        <w:tc>
          <w:tcPr>
            <w:tcW w:w="1701" w:type="dxa"/>
            <w:gridSpan w:val="2"/>
            <w:shd w:val="clear" w:color="auto" w:fill="auto"/>
            <w:tcMar>
              <w:top w:w="20" w:type="dxa"/>
              <w:left w:w="20" w:type="dxa"/>
              <w:bottom w:w="20" w:type="dxa"/>
              <w:right w:w="20" w:type="dxa"/>
            </w:tcMar>
            <w:vAlign w:val="center"/>
          </w:tcPr>
          <w:p w14:paraId="097A7EB7" w14:textId="77777777" w:rsidR="002016B9" w:rsidRPr="000D67C6" w:rsidRDefault="002016B9" w:rsidP="008F013B">
            <w:pPr>
              <w:pStyle w:val="T1TableStyle"/>
              <w:jc w:val="center"/>
              <w:rPr>
                <w:rFonts w:ascii="Arial" w:eastAsia="Verdana" w:hAnsi="Arial" w:cs="Arial"/>
                <w:b/>
                <w:szCs w:val="20"/>
                <w:lang w:val="pt-BR"/>
              </w:rPr>
            </w:pPr>
          </w:p>
        </w:tc>
        <w:tc>
          <w:tcPr>
            <w:tcW w:w="1701" w:type="dxa"/>
            <w:gridSpan w:val="2"/>
            <w:shd w:val="clear" w:color="auto" w:fill="auto"/>
            <w:tcMar>
              <w:top w:w="20" w:type="dxa"/>
              <w:left w:w="20" w:type="dxa"/>
              <w:bottom w:w="20" w:type="dxa"/>
              <w:right w:w="20" w:type="dxa"/>
            </w:tcMar>
            <w:vAlign w:val="center"/>
          </w:tcPr>
          <w:p w14:paraId="3B5BD745" w14:textId="77777777" w:rsidR="002016B9" w:rsidRPr="000D67C6" w:rsidRDefault="002016B9" w:rsidP="008F013B">
            <w:pPr>
              <w:pStyle w:val="T1TableStyle"/>
              <w:jc w:val="center"/>
              <w:rPr>
                <w:rFonts w:ascii="Arial" w:eastAsia="Verdana" w:hAnsi="Arial" w:cs="Arial"/>
                <w:b/>
                <w:szCs w:val="20"/>
                <w:lang w:val="pt-BR"/>
              </w:rPr>
            </w:pPr>
          </w:p>
        </w:tc>
      </w:tr>
      <w:tr w:rsidR="00464E99" w:rsidRPr="000D67C6" w14:paraId="53F04093" w14:textId="77777777" w:rsidTr="00AD6997">
        <w:trPr>
          <w:trHeight w:val="501"/>
          <w:jc w:val="center"/>
        </w:trPr>
        <w:tc>
          <w:tcPr>
            <w:tcW w:w="2836" w:type="dxa"/>
            <w:shd w:val="clear" w:color="auto" w:fill="auto"/>
            <w:tcMar>
              <w:top w:w="20" w:type="dxa"/>
              <w:left w:w="20" w:type="dxa"/>
              <w:bottom w:w="20" w:type="dxa"/>
              <w:right w:w="20" w:type="dxa"/>
            </w:tcMar>
            <w:vAlign w:val="center"/>
          </w:tcPr>
          <w:p w14:paraId="36A3E8AB" w14:textId="77777777" w:rsidR="00464E99" w:rsidRPr="000D67C6" w:rsidRDefault="008F013B" w:rsidP="008F013B">
            <w:pPr>
              <w:pStyle w:val="T1TableStyle"/>
              <w:rPr>
                <w:rFonts w:ascii="Arial" w:eastAsia="Verdana" w:hAnsi="Arial" w:cs="Arial"/>
                <w:b/>
                <w:sz w:val="20"/>
                <w:szCs w:val="20"/>
                <w:lang w:val="pt-BR"/>
              </w:rPr>
            </w:pPr>
            <w:r w:rsidRPr="000D67C6">
              <w:rPr>
                <w:rFonts w:ascii="Arial" w:eastAsia="Verdana" w:hAnsi="Arial" w:cs="Arial"/>
                <w:b/>
                <w:sz w:val="20"/>
                <w:szCs w:val="20"/>
                <w:lang w:val="pt-BR"/>
              </w:rPr>
              <w:t>Exit package cost band (including special payments)</w:t>
            </w:r>
          </w:p>
        </w:tc>
        <w:tc>
          <w:tcPr>
            <w:tcW w:w="1701" w:type="dxa"/>
            <w:gridSpan w:val="2"/>
            <w:shd w:val="clear" w:color="auto" w:fill="auto"/>
            <w:tcMar>
              <w:top w:w="20" w:type="dxa"/>
              <w:left w:w="20" w:type="dxa"/>
              <w:bottom w:w="20" w:type="dxa"/>
              <w:right w:w="20" w:type="dxa"/>
            </w:tcMar>
            <w:vAlign w:val="center"/>
          </w:tcPr>
          <w:p w14:paraId="4921B9A5" w14:textId="77777777" w:rsidR="00464E99" w:rsidRPr="000D67C6" w:rsidRDefault="008F013B" w:rsidP="008F013B">
            <w:pPr>
              <w:pStyle w:val="T1TableStyle"/>
              <w:jc w:val="center"/>
              <w:rPr>
                <w:rFonts w:ascii="Arial" w:eastAsia="Verdana" w:hAnsi="Arial" w:cs="Arial"/>
                <w:b/>
                <w:sz w:val="20"/>
                <w:szCs w:val="20"/>
                <w:lang w:val="pt-BR"/>
              </w:rPr>
            </w:pPr>
            <w:r w:rsidRPr="000D67C6">
              <w:rPr>
                <w:rFonts w:ascii="Arial" w:eastAsia="Verdana" w:hAnsi="Arial" w:cs="Arial"/>
                <w:b/>
                <w:sz w:val="20"/>
                <w:szCs w:val="20"/>
                <w:lang w:val="pt-BR"/>
              </w:rPr>
              <w:t>Number of compulsory redundancies</w:t>
            </w:r>
          </w:p>
        </w:tc>
        <w:tc>
          <w:tcPr>
            <w:tcW w:w="1701" w:type="dxa"/>
            <w:gridSpan w:val="2"/>
            <w:shd w:val="clear" w:color="auto" w:fill="auto"/>
            <w:tcMar>
              <w:top w:w="20" w:type="dxa"/>
              <w:left w:w="20" w:type="dxa"/>
              <w:bottom w:w="20" w:type="dxa"/>
              <w:right w:w="20" w:type="dxa"/>
            </w:tcMar>
            <w:vAlign w:val="center"/>
          </w:tcPr>
          <w:p w14:paraId="2DDBBA65" w14:textId="77777777" w:rsidR="00464E99" w:rsidRPr="000D67C6" w:rsidRDefault="008F013B" w:rsidP="008F013B">
            <w:pPr>
              <w:pStyle w:val="T1TableStyle"/>
              <w:jc w:val="center"/>
              <w:rPr>
                <w:rFonts w:ascii="Arial" w:eastAsia="Verdana" w:hAnsi="Arial" w:cs="Arial"/>
                <w:b/>
                <w:sz w:val="20"/>
                <w:szCs w:val="20"/>
                <w:lang w:val="pt-BR"/>
              </w:rPr>
            </w:pPr>
            <w:r w:rsidRPr="000D67C6">
              <w:rPr>
                <w:rFonts w:ascii="Arial" w:eastAsia="Verdana" w:hAnsi="Arial" w:cs="Arial"/>
                <w:b/>
                <w:sz w:val="20"/>
                <w:szCs w:val="20"/>
                <w:lang w:val="pt-BR"/>
              </w:rPr>
              <w:t>Number of other departures agreed</w:t>
            </w:r>
          </w:p>
        </w:tc>
        <w:tc>
          <w:tcPr>
            <w:tcW w:w="1701" w:type="dxa"/>
            <w:gridSpan w:val="2"/>
            <w:shd w:val="clear" w:color="auto" w:fill="auto"/>
            <w:tcMar>
              <w:top w:w="20" w:type="dxa"/>
              <w:left w:w="20" w:type="dxa"/>
              <w:bottom w:w="20" w:type="dxa"/>
              <w:right w:w="20" w:type="dxa"/>
            </w:tcMar>
            <w:vAlign w:val="center"/>
          </w:tcPr>
          <w:p w14:paraId="618A8B28" w14:textId="77777777" w:rsidR="00464E99" w:rsidRPr="000D67C6" w:rsidRDefault="008F013B" w:rsidP="008F013B">
            <w:pPr>
              <w:pStyle w:val="T1TableStyle"/>
              <w:jc w:val="center"/>
              <w:rPr>
                <w:rFonts w:ascii="Arial" w:eastAsia="Verdana" w:hAnsi="Arial" w:cs="Arial"/>
                <w:b/>
                <w:sz w:val="20"/>
                <w:szCs w:val="20"/>
                <w:lang w:val="pt-BR"/>
              </w:rPr>
            </w:pPr>
            <w:r w:rsidRPr="000D67C6">
              <w:rPr>
                <w:rFonts w:ascii="Arial" w:eastAsia="Verdana" w:hAnsi="Arial" w:cs="Arial"/>
                <w:b/>
                <w:sz w:val="20"/>
                <w:szCs w:val="20"/>
                <w:lang w:val="pt-BR"/>
              </w:rPr>
              <w:t>Total number of exit packages by cost band</w:t>
            </w:r>
          </w:p>
        </w:tc>
        <w:tc>
          <w:tcPr>
            <w:tcW w:w="1701" w:type="dxa"/>
            <w:gridSpan w:val="2"/>
            <w:shd w:val="clear" w:color="auto" w:fill="auto"/>
            <w:tcMar>
              <w:top w:w="20" w:type="dxa"/>
              <w:left w:w="20" w:type="dxa"/>
              <w:bottom w:w="20" w:type="dxa"/>
              <w:right w:w="20" w:type="dxa"/>
            </w:tcMar>
            <w:vAlign w:val="center"/>
          </w:tcPr>
          <w:p w14:paraId="1B096EE6" w14:textId="77777777" w:rsidR="00464E99" w:rsidRPr="000D67C6" w:rsidRDefault="008F013B" w:rsidP="008F013B">
            <w:pPr>
              <w:pStyle w:val="T1TableStyle"/>
              <w:jc w:val="center"/>
              <w:rPr>
                <w:rFonts w:ascii="Arial" w:eastAsia="Verdana" w:hAnsi="Arial" w:cs="Arial"/>
                <w:b/>
                <w:sz w:val="20"/>
                <w:szCs w:val="20"/>
                <w:lang w:val="pt-BR"/>
              </w:rPr>
            </w:pPr>
            <w:r w:rsidRPr="000D67C6">
              <w:rPr>
                <w:rFonts w:ascii="Arial" w:eastAsia="Verdana" w:hAnsi="Arial" w:cs="Arial"/>
                <w:b/>
                <w:sz w:val="20"/>
                <w:szCs w:val="20"/>
                <w:lang w:val="pt-BR"/>
              </w:rPr>
              <w:t>Total cost of exit packages in each band (£)</w:t>
            </w:r>
          </w:p>
        </w:tc>
      </w:tr>
      <w:tr w:rsidR="00532056" w:rsidRPr="000D67C6" w14:paraId="7A8BD8FF" w14:textId="77777777" w:rsidTr="00AD6997">
        <w:trPr>
          <w:trHeight w:val="101"/>
          <w:jc w:val="center"/>
        </w:trPr>
        <w:tc>
          <w:tcPr>
            <w:tcW w:w="2836" w:type="dxa"/>
            <w:tcBorders>
              <w:bottom w:val="single" w:sz="2" w:space="0" w:color="000000"/>
            </w:tcBorders>
            <w:shd w:val="clear" w:color="auto" w:fill="auto"/>
            <w:tcMar>
              <w:top w:w="20" w:type="dxa"/>
              <w:left w:w="20" w:type="dxa"/>
              <w:bottom w:w="20" w:type="dxa"/>
              <w:right w:w="20" w:type="dxa"/>
            </w:tcMar>
            <w:vAlign w:val="center"/>
          </w:tcPr>
          <w:p w14:paraId="42EA2B22" w14:textId="77777777" w:rsidR="00532056" w:rsidRPr="000D67C6" w:rsidRDefault="00532056" w:rsidP="00532056">
            <w:pPr>
              <w:pStyle w:val="T1TableStyle"/>
              <w:jc w:val="center"/>
              <w:rPr>
                <w:rFonts w:ascii="Arial" w:eastAsia="Verdana" w:hAnsi="Arial" w:cs="Arial"/>
                <w:b/>
                <w:sz w:val="20"/>
                <w:szCs w:val="20"/>
                <w:lang w:val="pt-BR"/>
              </w:rPr>
            </w:pPr>
            <w:r w:rsidRPr="000D67C6">
              <w:rPr>
                <w:rFonts w:ascii="Arial" w:eastAsia="Verdana" w:hAnsi="Arial" w:cs="Arial"/>
                <w:b/>
                <w:sz w:val="20"/>
                <w:szCs w:val="20"/>
                <w:lang w:val="pt-BR"/>
              </w:rPr>
              <w:t xml:space="preserve"> </w:t>
            </w:r>
          </w:p>
        </w:tc>
        <w:tc>
          <w:tcPr>
            <w:tcW w:w="850" w:type="dxa"/>
            <w:tcBorders>
              <w:bottom w:val="single" w:sz="2" w:space="0" w:color="000000"/>
            </w:tcBorders>
            <w:shd w:val="clear" w:color="auto" w:fill="auto"/>
            <w:tcMar>
              <w:top w:w="20" w:type="dxa"/>
              <w:left w:w="20" w:type="dxa"/>
              <w:bottom w:w="20" w:type="dxa"/>
              <w:right w:w="20" w:type="dxa"/>
            </w:tcMar>
            <w:vAlign w:val="center"/>
          </w:tcPr>
          <w:p w14:paraId="2C858820"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7</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8</w:t>
            </w:r>
          </w:p>
        </w:tc>
        <w:tc>
          <w:tcPr>
            <w:tcW w:w="851" w:type="dxa"/>
            <w:tcBorders>
              <w:bottom w:val="single" w:sz="2" w:space="0" w:color="000000"/>
            </w:tcBorders>
            <w:shd w:val="clear" w:color="auto" w:fill="auto"/>
            <w:tcMar>
              <w:top w:w="20" w:type="dxa"/>
              <w:left w:w="20" w:type="dxa"/>
              <w:bottom w:w="20" w:type="dxa"/>
              <w:right w:w="20" w:type="dxa"/>
            </w:tcMar>
            <w:vAlign w:val="center"/>
          </w:tcPr>
          <w:p w14:paraId="19C40620"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8</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9</w:t>
            </w:r>
          </w:p>
        </w:tc>
        <w:tc>
          <w:tcPr>
            <w:tcW w:w="850" w:type="dxa"/>
            <w:tcBorders>
              <w:bottom w:val="single" w:sz="2" w:space="0" w:color="000000"/>
            </w:tcBorders>
            <w:shd w:val="clear" w:color="auto" w:fill="auto"/>
            <w:tcMar>
              <w:top w:w="20" w:type="dxa"/>
              <w:left w:w="20" w:type="dxa"/>
              <w:bottom w:w="20" w:type="dxa"/>
              <w:right w:w="20" w:type="dxa"/>
            </w:tcMar>
            <w:vAlign w:val="center"/>
          </w:tcPr>
          <w:p w14:paraId="102BAC94"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7</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8</w:t>
            </w:r>
          </w:p>
        </w:tc>
        <w:tc>
          <w:tcPr>
            <w:tcW w:w="851" w:type="dxa"/>
            <w:tcBorders>
              <w:bottom w:val="single" w:sz="2" w:space="0" w:color="000000"/>
            </w:tcBorders>
            <w:shd w:val="clear" w:color="auto" w:fill="auto"/>
            <w:tcMar>
              <w:top w:w="20" w:type="dxa"/>
              <w:left w:w="20" w:type="dxa"/>
              <w:bottom w:w="20" w:type="dxa"/>
              <w:right w:w="20" w:type="dxa"/>
            </w:tcMar>
            <w:vAlign w:val="center"/>
          </w:tcPr>
          <w:p w14:paraId="76887105"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8</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9</w:t>
            </w:r>
          </w:p>
        </w:tc>
        <w:tc>
          <w:tcPr>
            <w:tcW w:w="850" w:type="dxa"/>
            <w:tcBorders>
              <w:bottom w:val="single" w:sz="2" w:space="0" w:color="000000"/>
            </w:tcBorders>
            <w:shd w:val="clear" w:color="auto" w:fill="auto"/>
            <w:tcMar>
              <w:top w:w="20" w:type="dxa"/>
              <w:left w:w="20" w:type="dxa"/>
              <w:bottom w:w="20" w:type="dxa"/>
              <w:right w:w="20" w:type="dxa"/>
            </w:tcMar>
            <w:vAlign w:val="center"/>
          </w:tcPr>
          <w:p w14:paraId="6B64C30D"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7</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8</w:t>
            </w:r>
          </w:p>
        </w:tc>
        <w:tc>
          <w:tcPr>
            <w:tcW w:w="851" w:type="dxa"/>
            <w:tcBorders>
              <w:bottom w:val="single" w:sz="2" w:space="0" w:color="000000"/>
            </w:tcBorders>
            <w:shd w:val="clear" w:color="auto" w:fill="auto"/>
            <w:tcMar>
              <w:top w:w="20" w:type="dxa"/>
              <w:left w:w="20" w:type="dxa"/>
              <w:bottom w:w="20" w:type="dxa"/>
              <w:right w:w="20" w:type="dxa"/>
            </w:tcMar>
            <w:vAlign w:val="center"/>
          </w:tcPr>
          <w:p w14:paraId="139BBBD7"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8</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9</w:t>
            </w:r>
          </w:p>
        </w:tc>
        <w:tc>
          <w:tcPr>
            <w:tcW w:w="850" w:type="dxa"/>
            <w:tcBorders>
              <w:bottom w:val="single" w:sz="2" w:space="0" w:color="000000"/>
            </w:tcBorders>
            <w:shd w:val="clear" w:color="auto" w:fill="auto"/>
            <w:tcMar>
              <w:top w:w="20" w:type="dxa"/>
              <w:left w:w="20" w:type="dxa"/>
              <w:bottom w:w="20" w:type="dxa"/>
              <w:right w:w="20" w:type="dxa"/>
            </w:tcMar>
            <w:vAlign w:val="center"/>
          </w:tcPr>
          <w:p w14:paraId="5881F328"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7</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8</w:t>
            </w:r>
          </w:p>
        </w:tc>
        <w:tc>
          <w:tcPr>
            <w:tcW w:w="851" w:type="dxa"/>
            <w:tcBorders>
              <w:bottom w:val="single" w:sz="2" w:space="0" w:color="000000"/>
            </w:tcBorders>
            <w:shd w:val="clear" w:color="auto" w:fill="auto"/>
            <w:tcMar>
              <w:top w:w="20" w:type="dxa"/>
              <w:left w:w="20" w:type="dxa"/>
              <w:bottom w:w="20" w:type="dxa"/>
              <w:right w:w="20" w:type="dxa"/>
            </w:tcMar>
            <w:vAlign w:val="center"/>
          </w:tcPr>
          <w:p w14:paraId="0C5A2D63" w14:textId="77777777" w:rsidR="00532056" w:rsidRPr="000D67C6" w:rsidRDefault="00532056" w:rsidP="00532056">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201</w:t>
            </w:r>
            <w:r w:rsidR="00F20D20" w:rsidRPr="000D67C6">
              <w:rPr>
                <w:rFonts w:ascii="Arial" w:eastAsia="Verdana" w:hAnsi="Arial" w:cs="Arial"/>
                <w:b/>
                <w:sz w:val="20"/>
                <w:szCs w:val="20"/>
                <w:lang w:val="pt-BR"/>
              </w:rPr>
              <w:t>8</w:t>
            </w:r>
            <w:r w:rsidRPr="000D67C6">
              <w:rPr>
                <w:rFonts w:ascii="Arial" w:eastAsia="Verdana" w:hAnsi="Arial" w:cs="Arial"/>
                <w:b/>
                <w:sz w:val="20"/>
                <w:szCs w:val="20"/>
                <w:lang w:val="pt-BR"/>
              </w:rPr>
              <w:t>/1</w:t>
            </w:r>
            <w:r w:rsidR="00F20D20" w:rsidRPr="000D67C6">
              <w:rPr>
                <w:rFonts w:ascii="Arial" w:eastAsia="Verdana" w:hAnsi="Arial" w:cs="Arial"/>
                <w:b/>
                <w:sz w:val="20"/>
                <w:szCs w:val="20"/>
                <w:lang w:val="pt-BR"/>
              </w:rPr>
              <w:t>9</w:t>
            </w:r>
          </w:p>
        </w:tc>
      </w:tr>
      <w:tr w:rsidR="00F20D20" w:rsidRPr="000D67C6" w14:paraId="15379BEC"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6210AB04"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£0-£20,000</w:t>
            </w:r>
          </w:p>
        </w:tc>
        <w:tc>
          <w:tcPr>
            <w:tcW w:w="850" w:type="dxa"/>
            <w:shd w:val="clear" w:color="auto" w:fill="auto"/>
            <w:tcMar>
              <w:top w:w="20" w:type="dxa"/>
              <w:left w:w="20" w:type="dxa"/>
              <w:bottom w:w="20" w:type="dxa"/>
              <w:right w:w="20" w:type="dxa"/>
            </w:tcMar>
            <w:vAlign w:val="center"/>
          </w:tcPr>
          <w:p w14:paraId="347DA660"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2</w:t>
            </w:r>
          </w:p>
        </w:tc>
        <w:tc>
          <w:tcPr>
            <w:tcW w:w="851" w:type="dxa"/>
            <w:shd w:val="clear" w:color="auto" w:fill="auto"/>
            <w:tcMar>
              <w:top w:w="20" w:type="dxa"/>
              <w:left w:w="20" w:type="dxa"/>
              <w:bottom w:w="20" w:type="dxa"/>
              <w:right w:w="20" w:type="dxa"/>
            </w:tcMar>
            <w:vAlign w:val="center"/>
          </w:tcPr>
          <w:p w14:paraId="53647642"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3</w:t>
            </w:r>
          </w:p>
        </w:tc>
        <w:tc>
          <w:tcPr>
            <w:tcW w:w="850" w:type="dxa"/>
            <w:shd w:val="clear" w:color="auto" w:fill="auto"/>
            <w:tcMar>
              <w:top w:w="20" w:type="dxa"/>
              <w:left w:w="20" w:type="dxa"/>
              <w:bottom w:w="20" w:type="dxa"/>
              <w:right w:w="20" w:type="dxa"/>
            </w:tcMar>
            <w:vAlign w:val="center"/>
          </w:tcPr>
          <w:p w14:paraId="5019A375"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02A0A569"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67F661D1"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2</w:t>
            </w:r>
          </w:p>
        </w:tc>
        <w:tc>
          <w:tcPr>
            <w:tcW w:w="851" w:type="dxa"/>
            <w:shd w:val="clear" w:color="auto" w:fill="auto"/>
            <w:tcMar>
              <w:top w:w="20" w:type="dxa"/>
              <w:left w:w="20" w:type="dxa"/>
              <w:bottom w:w="20" w:type="dxa"/>
              <w:right w:w="20" w:type="dxa"/>
            </w:tcMar>
            <w:vAlign w:val="center"/>
          </w:tcPr>
          <w:p w14:paraId="7213835D"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3</w:t>
            </w:r>
          </w:p>
        </w:tc>
        <w:tc>
          <w:tcPr>
            <w:tcW w:w="850" w:type="dxa"/>
            <w:shd w:val="clear" w:color="auto" w:fill="auto"/>
            <w:tcMar>
              <w:top w:w="20" w:type="dxa"/>
              <w:left w:w="20" w:type="dxa"/>
              <w:bottom w:w="20" w:type="dxa"/>
              <w:right w:w="20" w:type="dxa"/>
            </w:tcMar>
            <w:vAlign w:val="center"/>
          </w:tcPr>
          <w:p w14:paraId="71A381F7"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1,523</w:t>
            </w:r>
          </w:p>
        </w:tc>
        <w:tc>
          <w:tcPr>
            <w:tcW w:w="851" w:type="dxa"/>
            <w:shd w:val="clear" w:color="auto" w:fill="auto"/>
            <w:tcMar>
              <w:top w:w="20" w:type="dxa"/>
              <w:left w:w="20" w:type="dxa"/>
              <w:bottom w:w="20" w:type="dxa"/>
              <w:right w:w="20" w:type="dxa"/>
            </w:tcMar>
            <w:vAlign w:val="center"/>
          </w:tcPr>
          <w:p w14:paraId="28BDD240"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3,731</w:t>
            </w:r>
          </w:p>
        </w:tc>
      </w:tr>
      <w:tr w:rsidR="00F20D20" w:rsidRPr="000D67C6" w14:paraId="4A4D39B7"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116568D4"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£20,001 - £40,000</w:t>
            </w:r>
          </w:p>
        </w:tc>
        <w:tc>
          <w:tcPr>
            <w:tcW w:w="850" w:type="dxa"/>
            <w:shd w:val="clear" w:color="auto" w:fill="auto"/>
            <w:tcMar>
              <w:top w:w="20" w:type="dxa"/>
              <w:left w:w="20" w:type="dxa"/>
              <w:bottom w:w="20" w:type="dxa"/>
              <w:right w:w="20" w:type="dxa"/>
            </w:tcMar>
            <w:vAlign w:val="center"/>
          </w:tcPr>
          <w:p w14:paraId="7A735A6A"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366086B3"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301C53F9"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w:t>
            </w:r>
          </w:p>
        </w:tc>
        <w:tc>
          <w:tcPr>
            <w:tcW w:w="851" w:type="dxa"/>
            <w:shd w:val="clear" w:color="auto" w:fill="auto"/>
            <w:tcMar>
              <w:top w:w="20" w:type="dxa"/>
              <w:left w:w="20" w:type="dxa"/>
              <w:bottom w:w="20" w:type="dxa"/>
              <w:right w:w="20" w:type="dxa"/>
            </w:tcMar>
            <w:vAlign w:val="center"/>
          </w:tcPr>
          <w:p w14:paraId="49CE5438"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w:t>
            </w:r>
          </w:p>
        </w:tc>
        <w:tc>
          <w:tcPr>
            <w:tcW w:w="850" w:type="dxa"/>
            <w:shd w:val="clear" w:color="auto" w:fill="auto"/>
            <w:tcMar>
              <w:top w:w="20" w:type="dxa"/>
              <w:left w:w="20" w:type="dxa"/>
              <w:bottom w:w="20" w:type="dxa"/>
              <w:right w:w="20" w:type="dxa"/>
            </w:tcMar>
            <w:vAlign w:val="center"/>
          </w:tcPr>
          <w:p w14:paraId="0B81BD3E"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w:t>
            </w:r>
          </w:p>
        </w:tc>
        <w:tc>
          <w:tcPr>
            <w:tcW w:w="851" w:type="dxa"/>
            <w:shd w:val="clear" w:color="auto" w:fill="auto"/>
            <w:tcMar>
              <w:top w:w="20" w:type="dxa"/>
              <w:left w:w="20" w:type="dxa"/>
              <w:bottom w:w="20" w:type="dxa"/>
              <w:right w:w="20" w:type="dxa"/>
            </w:tcMar>
            <w:vAlign w:val="center"/>
          </w:tcPr>
          <w:p w14:paraId="0B459F49"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1</w:t>
            </w:r>
          </w:p>
        </w:tc>
        <w:tc>
          <w:tcPr>
            <w:tcW w:w="850" w:type="dxa"/>
            <w:shd w:val="clear" w:color="auto" w:fill="auto"/>
            <w:tcMar>
              <w:top w:w="20" w:type="dxa"/>
              <w:left w:w="20" w:type="dxa"/>
              <w:bottom w:w="20" w:type="dxa"/>
              <w:right w:w="20" w:type="dxa"/>
            </w:tcMar>
            <w:vAlign w:val="center"/>
          </w:tcPr>
          <w:p w14:paraId="08FC69FF"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30,193</w:t>
            </w:r>
          </w:p>
        </w:tc>
        <w:tc>
          <w:tcPr>
            <w:tcW w:w="851" w:type="dxa"/>
            <w:shd w:val="clear" w:color="auto" w:fill="auto"/>
            <w:tcMar>
              <w:top w:w="20" w:type="dxa"/>
              <w:left w:w="20" w:type="dxa"/>
              <w:bottom w:w="20" w:type="dxa"/>
              <w:right w:w="20" w:type="dxa"/>
            </w:tcMar>
            <w:vAlign w:val="center"/>
          </w:tcPr>
          <w:p w14:paraId="567B1122"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34,444</w:t>
            </w:r>
          </w:p>
        </w:tc>
      </w:tr>
      <w:tr w:rsidR="00F20D20" w:rsidRPr="000D67C6" w14:paraId="4BFC8CFB"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0FABFEB2"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£40,001 - £60,000</w:t>
            </w:r>
          </w:p>
        </w:tc>
        <w:tc>
          <w:tcPr>
            <w:tcW w:w="850" w:type="dxa"/>
            <w:shd w:val="clear" w:color="auto" w:fill="auto"/>
            <w:tcMar>
              <w:top w:w="20" w:type="dxa"/>
              <w:left w:w="20" w:type="dxa"/>
              <w:bottom w:w="20" w:type="dxa"/>
              <w:right w:w="20" w:type="dxa"/>
            </w:tcMar>
            <w:vAlign w:val="center"/>
          </w:tcPr>
          <w:p w14:paraId="5456A4A4"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1AF70757"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11E14D54"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0B605640"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09D99AB6"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7C10FA33"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325B7EAC"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7B1767F8"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r>
      <w:tr w:rsidR="00F20D20" w:rsidRPr="000D67C6" w14:paraId="42D01354"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32B944A3"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£60,001 - £80,000</w:t>
            </w:r>
          </w:p>
        </w:tc>
        <w:tc>
          <w:tcPr>
            <w:tcW w:w="850" w:type="dxa"/>
            <w:shd w:val="clear" w:color="auto" w:fill="auto"/>
            <w:tcMar>
              <w:top w:w="20" w:type="dxa"/>
              <w:left w:w="20" w:type="dxa"/>
              <w:bottom w:w="20" w:type="dxa"/>
              <w:right w:w="20" w:type="dxa"/>
            </w:tcMar>
            <w:vAlign w:val="center"/>
          </w:tcPr>
          <w:p w14:paraId="088AF7B0"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564CBF94"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595E63C9"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1526F9C1"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13480B87"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4DEEE62D"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610125A9"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040EB205"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r>
      <w:tr w:rsidR="00F20D20" w:rsidRPr="000D67C6" w14:paraId="6EBD01EF"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4382491E"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£80,001 - £100,000</w:t>
            </w:r>
          </w:p>
        </w:tc>
        <w:tc>
          <w:tcPr>
            <w:tcW w:w="850" w:type="dxa"/>
            <w:shd w:val="clear" w:color="auto" w:fill="auto"/>
            <w:tcMar>
              <w:top w:w="20" w:type="dxa"/>
              <w:left w:w="20" w:type="dxa"/>
              <w:bottom w:w="20" w:type="dxa"/>
              <w:right w:w="20" w:type="dxa"/>
            </w:tcMar>
            <w:vAlign w:val="center"/>
          </w:tcPr>
          <w:p w14:paraId="783BE84D"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2D4BBB19"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4D5581ED"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646644C0"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426869EB"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3AB432FD"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2E14ECDA"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73CF31F9"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r>
      <w:tr w:rsidR="00F20D20" w:rsidRPr="000D67C6" w14:paraId="4AB8CE19"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64001DFD"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£100,001 - £150,000</w:t>
            </w:r>
          </w:p>
        </w:tc>
        <w:tc>
          <w:tcPr>
            <w:tcW w:w="850" w:type="dxa"/>
            <w:shd w:val="clear" w:color="auto" w:fill="auto"/>
            <w:tcMar>
              <w:top w:w="20" w:type="dxa"/>
              <w:left w:w="20" w:type="dxa"/>
              <w:bottom w:w="20" w:type="dxa"/>
              <w:right w:w="20" w:type="dxa"/>
            </w:tcMar>
            <w:vAlign w:val="center"/>
          </w:tcPr>
          <w:p w14:paraId="738B6FF6"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475336A3"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5E63F83C"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3C36FAA7"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243A9EE1"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77EDD8C7"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7AA24F96"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3FD43317"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r>
      <w:tr w:rsidR="00F20D20" w:rsidRPr="000D67C6" w14:paraId="3069343A" w14:textId="77777777" w:rsidTr="00AD6997">
        <w:trPr>
          <w:trHeight w:val="210"/>
          <w:jc w:val="center"/>
        </w:trPr>
        <w:tc>
          <w:tcPr>
            <w:tcW w:w="2836" w:type="dxa"/>
            <w:shd w:val="clear" w:color="auto" w:fill="auto"/>
            <w:tcMar>
              <w:top w:w="20" w:type="dxa"/>
              <w:left w:w="20" w:type="dxa"/>
              <w:bottom w:w="20" w:type="dxa"/>
              <w:right w:w="20" w:type="dxa"/>
            </w:tcMar>
            <w:vAlign w:val="center"/>
          </w:tcPr>
          <w:p w14:paraId="2EC77FA2" w14:textId="77777777" w:rsidR="00F20D20" w:rsidRPr="000D67C6" w:rsidRDefault="00F20D20" w:rsidP="00F20D20">
            <w:pPr>
              <w:pStyle w:val="T1TableStyle"/>
              <w:rPr>
                <w:rFonts w:ascii="Arial" w:eastAsia="Verdana" w:hAnsi="Arial" w:cs="Arial"/>
                <w:sz w:val="20"/>
                <w:szCs w:val="20"/>
                <w:lang w:val="pt-BR"/>
              </w:rPr>
            </w:pPr>
            <w:r w:rsidRPr="000D67C6">
              <w:rPr>
                <w:rFonts w:ascii="Arial" w:eastAsia="Verdana" w:hAnsi="Arial" w:cs="Arial"/>
                <w:sz w:val="20"/>
                <w:szCs w:val="20"/>
                <w:lang w:val="pt-BR"/>
              </w:rPr>
              <w:t>£150,001 to £200,000</w:t>
            </w:r>
          </w:p>
        </w:tc>
        <w:tc>
          <w:tcPr>
            <w:tcW w:w="850" w:type="dxa"/>
            <w:shd w:val="clear" w:color="auto" w:fill="auto"/>
            <w:tcMar>
              <w:top w:w="20" w:type="dxa"/>
              <w:left w:w="20" w:type="dxa"/>
              <w:bottom w:w="20" w:type="dxa"/>
              <w:right w:w="20" w:type="dxa"/>
            </w:tcMar>
            <w:vAlign w:val="center"/>
          </w:tcPr>
          <w:p w14:paraId="36782891"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3AB91DCA"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6AB8A36D"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48626CA8"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02EF3DA1"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2F1BFFBD"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0" w:type="dxa"/>
            <w:shd w:val="clear" w:color="auto" w:fill="auto"/>
            <w:tcMar>
              <w:top w:w="20" w:type="dxa"/>
              <w:left w:w="20" w:type="dxa"/>
              <w:bottom w:w="20" w:type="dxa"/>
              <w:right w:w="20" w:type="dxa"/>
            </w:tcMar>
            <w:vAlign w:val="center"/>
          </w:tcPr>
          <w:p w14:paraId="602EBC9E" w14:textId="77777777" w:rsidR="00F20D20" w:rsidRPr="000D67C6" w:rsidRDefault="00F20D20"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c>
          <w:tcPr>
            <w:tcW w:w="851" w:type="dxa"/>
            <w:shd w:val="clear" w:color="auto" w:fill="auto"/>
            <w:tcMar>
              <w:top w:w="20" w:type="dxa"/>
              <w:left w:w="20" w:type="dxa"/>
              <w:bottom w:w="20" w:type="dxa"/>
              <w:right w:w="20" w:type="dxa"/>
            </w:tcMar>
            <w:vAlign w:val="center"/>
          </w:tcPr>
          <w:p w14:paraId="7C06EAC3" w14:textId="77777777" w:rsidR="00F20D20" w:rsidRPr="000D67C6" w:rsidRDefault="00F521F8" w:rsidP="00F20D20">
            <w:pPr>
              <w:pStyle w:val="T1TableStyle"/>
              <w:jc w:val="right"/>
              <w:rPr>
                <w:rFonts w:ascii="Arial" w:eastAsia="Verdana" w:hAnsi="Arial" w:cs="Arial"/>
                <w:sz w:val="20"/>
                <w:szCs w:val="20"/>
                <w:lang w:val="pt-BR"/>
              </w:rPr>
            </w:pPr>
            <w:r w:rsidRPr="000D67C6">
              <w:rPr>
                <w:rFonts w:ascii="Arial" w:eastAsia="Verdana" w:hAnsi="Arial" w:cs="Arial"/>
                <w:sz w:val="20"/>
                <w:szCs w:val="20"/>
                <w:lang w:val="pt-BR"/>
              </w:rPr>
              <w:t>0</w:t>
            </w:r>
          </w:p>
        </w:tc>
      </w:tr>
      <w:tr w:rsidR="00F20D20" w:rsidRPr="000D67C6" w14:paraId="6EEBB4D8" w14:textId="77777777" w:rsidTr="00AD6997">
        <w:trPr>
          <w:trHeight w:val="225"/>
          <w:jc w:val="center"/>
        </w:trPr>
        <w:tc>
          <w:tcPr>
            <w:tcW w:w="283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F055270" w14:textId="77777777" w:rsidR="00F20D20" w:rsidRPr="000D67C6" w:rsidRDefault="00F20D20" w:rsidP="00F20D20">
            <w:pPr>
              <w:pStyle w:val="T1TableStyle"/>
              <w:rPr>
                <w:rFonts w:ascii="Arial" w:eastAsia="Verdana" w:hAnsi="Arial" w:cs="Arial"/>
                <w:b/>
                <w:sz w:val="20"/>
                <w:szCs w:val="20"/>
                <w:lang w:val="pt-BR"/>
              </w:rPr>
            </w:pPr>
            <w:r w:rsidRPr="000D67C6">
              <w:rPr>
                <w:rFonts w:ascii="Arial" w:eastAsia="Verdana" w:hAnsi="Arial" w:cs="Arial"/>
                <w:b/>
                <w:sz w:val="20"/>
                <w:szCs w:val="20"/>
                <w:lang w:val="pt-BR"/>
              </w:rPr>
              <w:t>Total cost included in CIES</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A386376" w14:textId="77777777" w:rsidR="00F20D20" w:rsidRPr="000D67C6" w:rsidRDefault="00F20D20"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2</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04C785E" w14:textId="77777777" w:rsidR="00F20D20" w:rsidRPr="000D67C6" w:rsidRDefault="00F521F8"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0B2611A" w14:textId="77777777" w:rsidR="00F20D20" w:rsidRPr="000D67C6" w:rsidRDefault="00F20D20"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643E9B5" w14:textId="77777777" w:rsidR="00F20D20" w:rsidRPr="000D67C6" w:rsidRDefault="00F521F8"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1</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6697CA2" w14:textId="77777777" w:rsidR="00F20D20" w:rsidRPr="000D67C6" w:rsidRDefault="00F20D20"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7DF2186" w14:textId="77777777" w:rsidR="00F20D20" w:rsidRPr="000D67C6" w:rsidRDefault="00F521F8"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4</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616073D" w14:textId="77777777" w:rsidR="00F20D20" w:rsidRPr="000D67C6" w:rsidRDefault="00F20D20"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31,716</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20AF23" w14:textId="77777777" w:rsidR="00F20D20" w:rsidRPr="000D67C6" w:rsidRDefault="00F521F8" w:rsidP="00F20D20">
            <w:pPr>
              <w:pStyle w:val="T1TableStyle"/>
              <w:jc w:val="right"/>
              <w:rPr>
                <w:rFonts w:ascii="Arial" w:eastAsia="Verdana" w:hAnsi="Arial" w:cs="Arial"/>
                <w:b/>
                <w:sz w:val="20"/>
                <w:szCs w:val="20"/>
                <w:lang w:val="pt-BR"/>
              </w:rPr>
            </w:pPr>
            <w:r w:rsidRPr="000D67C6">
              <w:rPr>
                <w:rFonts w:ascii="Arial" w:eastAsia="Verdana" w:hAnsi="Arial" w:cs="Arial"/>
                <w:b/>
                <w:sz w:val="20"/>
                <w:szCs w:val="20"/>
                <w:lang w:val="pt-BR"/>
              </w:rPr>
              <w:t>38,17</w:t>
            </w:r>
            <w:r w:rsidR="00CE4764" w:rsidRPr="000D67C6">
              <w:rPr>
                <w:rFonts w:ascii="Arial" w:eastAsia="Verdana" w:hAnsi="Arial" w:cs="Arial"/>
                <w:b/>
                <w:sz w:val="20"/>
                <w:szCs w:val="20"/>
                <w:lang w:val="pt-BR"/>
              </w:rPr>
              <w:t>5</w:t>
            </w:r>
          </w:p>
        </w:tc>
      </w:tr>
    </w:tbl>
    <w:p w14:paraId="40DF48A2" w14:textId="77777777" w:rsidR="00055140" w:rsidRPr="00055140" w:rsidRDefault="00055140" w:rsidP="00055140">
      <w:pPr>
        <w:pStyle w:val="Heading1"/>
        <w:spacing w:before="0"/>
        <w:rPr>
          <w:rFonts w:ascii="Arial" w:eastAsia="Calibri" w:hAnsi="Arial" w:cs="Arial"/>
          <w:sz w:val="36"/>
          <w:szCs w:val="28"/>
          <w:lang w:val="pt-BR"/>
        </w:rPr>
      </w:pPr>
    </w:p>
    <w:p w14:paraId="19935FF6" w14:textId="42E0B07B" w:rsidR="008F013B" w:rsidRPr="000D67C6" w:rsidRDefault="007A68D3" w:rsidP="00055140">
      <w:pPr>
        <w:pStyle w:val="Heading1"/>
        <w:spacing w:before="0"/>
        <w:rPr>
          <w:rFonts w:ascii="Arial" w:hAnsi="Arial" w:cs="Arial"/>
          <w:sz w:val="28"/>
          <w:szCs w:val="28"/>
          <w:lang w:val="en-GB"/>
        </w:rPr>
      </w:pPr>
      <w:r w:rsidRPr="000D67C6">
        <w:rPr>
          <w:rFonts w:ascii="Arial" w:eastAsia="Calibri" w:hAnsi="Arial" w:cs="Arial"/>
          <w:sz w:val="28"/>
          <w:szCs w:val="28"/>
          <w:lang w:val="pt-BR"/>
        </w:rPr>
        <w:t>Note</w:t>
      </w:r>
      <w:r w:rsidR="002F5FB5" w:rsidRPr="000D67C6">
        <w:rPr>
          <w:rFonts w:ascii="Arial" w:hAnsi="Arial" w:cs="Arial"/>
          <w:sz w:val="28"/>
          <w:szCs w:val="28"/>
          <w:lang w:val="en-GB"/>
        </w:rPr>
        <w:t xml:space="preserve"> 24</w:t>
      </w:r>
      <w:r w:rsidR="008F013B" w:rsidRPr="000D67C6">
        <w:rPr>
          <w:rFonts w:ascii="Arial" w:hAnsi="Arial" w:cs="Arial"/>
          <w:sz w:val="28"/>
          <w:szCs w:val="28"/>
          <w:lang w:val="en-GB"/>
        </w:rPr>
        <w:t xml:space="preserve"> - External Audit Costs</w:t>
      </w:r>
    </w:p>
    <w:p w14:paraId="45D51E42" w14:textId="77777777" w:rsidR="00383191" w:rsidRPr="000D67C6" w:rsidRDefault="00383191" w:rsidP="00055140">
      <w:pPr>
        <w:rPr>
          <w:rFonts w:ascii="Arial" w:hAnsi="Arial" w:cs="Arial"/>
          <w:sz w:val="22"/>
          <w:szCs w:val="22"/>
          <w:lang w:val="en-GB"/>
        </w:rPr>
      </w:pPr>
    </w:p>
    <w:p w14:paraId="1BF6A52B" w14:textId="77777777" w:rsidR="00383191" w:rsidRPr="000D67C6" w:rsidRDefault="00F075B7" w:rsidP="00383191">
      <w:pPr>
        <w:rPr>
          <w:rFonts w:ascii="Arial" w:hAnsi="Arial" w:cs="Arial"/>
          <w:sz w:val="22"/>
          <w:szCs w:val="22"/>
          <w:lang w:val="en-GB"/>
        </w:rPr>
      </w:pPr>
      <w:r w:rsidRPr="000D67C6">
        <w:rPr>
          <w:rFonts w:ascii="Arial" w:hAnsi="Arial" w:cs="Arial"/>
          <w:sz w:val="22"/>
          <w:szCs w:val="22"/>
          <w:lang w:val="en-GB"/>
        </w:rPr>
        <w:t>The following fees are payable</w:t>
      </w:r>
      <w:r w:rsidR="00383191" w:rsidRPr="000D67C6">
        <w:rPr>
          <w:rFonts w:ascii="Arial" w:hAnsi="Arial" w:cs="Arial"/>
          <w:sz w:val="22"/>
          <w:szCs w:val="22"/>
          <w:lang w:val="en-GB"/>
        </w:rPr>
        <w:t xml:space="preserve"> in relation to the audit of the Statement of Accounts, statutory inspections and other non-audit services provided by the Authority’s external auditors:</w:t>
      </w:r>
    </w:p>
    <w:p w14:paraId="602B1845" w14:textId="77777777" w:rsidR="007A68D3" w:rsidRPr="000D67C6" w:rsidRDefault="007A68D3" w:rsidP="007A68D3">
      <w:pPr>
        <w:rPr>
          <w:lang w:val="en-GB"/>
        </w:rPr>
      </w:pPr>
    </w:p>
    <w:tbl>
      <w:tblPr>
        <w:tblW w:w="0" w:type="auto"/>
        <w:tblLayout w:type="fixed"/>
        <w:tblLook w:val="04A0" w:firstRow="1" w:lastRow="0" w:firstColumn="1" w:lastColumn="0" w:noHBand="0" w:noVBand="1"/>
      </w:tblPr>
      <w:tblGrid>
        <w:gridCol w:w="1365"/>
        <w:gridCol w:w="180"/>
        <w:gridCol w:w="5968"/>
        <w:gridCol w:w="1276"/>
      </w:tblGrid>
      <w:tr w:rsidR="00464E99" w:rsidRPr="000D67C6" w14:paraId="779A2E37" w14:textId="77777777" w:rsidTr="00373B1D">
        <w:trPr>
          <w:trHeight w:val="300"/>
        </w:trPr>
        <w:tc>
          <w:tcPr>
            <w:tcW w:w="1365" w:type="dxa"/>
            <w:shd w:val="clear" w:color="auto" w:fill="auto"/>
            <w:tcMar>
              <w:top w:w="20" w:type="dxa"/>
              <w:left w:w="20" w:type="dxa"/>
              <w:bottom w:w="20" w:type="dxa"/>
              <w:right w:w="20" w:type="dxa"/>
            </w:tcMar>
            <w:vAlign w:val="bottom"/>
          </w:tcPr>
          <w:p w14:paraId="704EEB00" w14:textId="38030163" w:rsidR="00285C63" w:rsidRPr="000D67C6" w:rsidRDefault="00540C24" w:rsidP="00540C24">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r w:rsidR="0047745F" w:rsidRPr="000D67C6">
              <w:rPr>
                <w:rFonts w:ascii="Arial" w:eastAsia="Verdana" w:hAnsi="Arial" w:cs="Arial"/>
                <w:b/>
                <w:sz w:val="22"/>
                <w:szCs w:val="22"/>
                <w:lang w:val="en-GB"/>
              </w:rPr>
              <w:t>2</w:t>
            </w:r>
            <w:r w:rsidR="00532056" w:rsidRPr="000D67C6">
              <w:rPr>
                <w:rFonts w:ascii="Arial" w:eastAsia="Verdana" w:hAnsi="Arial" w:cs="Arial"/>
                <w:b/>
                <w:sz w:val="22"/>
                <w:szCs w:val="22"/>
                <w:lang w:val="en-GB"/>
              </w:rPr>
              <w:t>01</w:t>
            </w:r>
            <w:r w:rsidR="00F20D20" w:rsidRPr="000D67C6">
              <w:rPr>
                <w:rFonts w:ascii="Arial" w:eastAsia="Verdana" w:hAnsi="Arial" w:cs="Arial"/>
                <w:b/>
                <w:sz w:val="22"/>
                <w:szCs w:val="22"/>
                <w:lang w:val="en-GB"/>
              </w:rPr>
              <w:t>7</w:t>
            </w:r>
            <w:r w:rsidR="00532056"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8</w:t>
            </w:r>
          </w:p>
        </w:tc>
        <w:tc>
          <w:tcPr>
            <w:tcW w:w="180" w:type="dxa"/>
            <w:shd w:val="clear" w:color="auto" w:fill="auto"/>
            <w:tcMar>
              <w:top w:w="20" w:type="dxa"/>
              <w:left w:w="20" w:type="dxa"/>
              <w:bottom w:w="20" w:type="dxa"/>
              <w:right w:w="20" w:type="dxa"/>
            </w:tcMar>
            <w:vAlign w:val="bottom"/>
          </w:tcPr>
          <w:p w14:paraId="1E9A5A56" w14:textId="77777777" w:rsidR="00464E99" w:rsidRPr="000D67C6" w:rsidRDefault="008F013B"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68" w:type="dxa"/>
            <w:shd w:val="clear" w:color="auto" w:fill="auto"/>
            <w:tcMar>
              <w:top w:w="20" w:type="dxa"/>
              <w:left w:w="20" w:type="dxa"/>
              <w:bottom w:w="20" w:type="dxa"/>
              <w:right w:w="20" w:type="dxa"/>
            </w:tcMar>
            <w:vAlign w:val="bottom"/>
          </w:tcPr>
          <w:p w14:paraId="2288481F" w14:textId="77777777" w:rsidR="00464E99" w:rsidRPr="000D67C6" w:rsidRDefault="008F013B"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shd w:val="clear" w:color="auto" w:fill="auto"/>
            <w:tcMar>
              <w:top w:w="20" w:type="dxa"/>
              <w:left w:w="20" w:type="dxa"/>
              <w:bottom w:w="20" w:type="dxa"/>
              <w:right w:w="20" w:type="dxa"/>
            </w:tcMar>
            <w:vAlign w:val="bottom"/>
          </w:tcPr>
          <w:p w14:paraId="61438D8C" w14:textId="77777777" w:rsidR="00464E99" w:rsidRPr="000D67C6" w:rsidRDefault="00532056" w:rsidP="007A68D3">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9</w:t>
            </w:r>
          </w:p>
        </w:tc>
      </w:tr>
      <w:tr w:rsidR="00464E99" w:rsidRPr="000D67C6" w14:paraId="2757EF02" w14:textId="77777777" w:rsidTr="00373B1D">
        <w:trPr>
          <w:trHeight w:val="300"/>
        </w:trPr>
        <w:tc>
          <w:tcPr>
            <w:tcW w:w="1365" w:type="dxa"/>
            <w:tcBorders>
              <w:bottom w:val="single" w:sz="2" w:space="0" w:color="000000"/>
            </w:tcBorders>
            <w:shd w:val="clear" w:color="auto" w:fill="auto"/>
            <w:tcMar>
              <w:top w:w="20" w:type="dxa"/>
              <w:left w:w="20" w:type="dxa"/>
              <w:bottom w:w="20" w:type="dxa"/>
              <w:right w:w="20" w:type="dxa"/>
            </w:tcMar>
            <w:vAlign w:val="bottom"/>
          </w:tcPr>
          <w:p w14:paraId="70EBE592"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vAlign w:val="bottom"/>
          </w:tcPr>
          <w:p w14:paraId="24D2F9F7"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68" w:type="dxa"/>
            <w:tcBorders>
              <w:bottom w:val="single" w:sz="2" w:space="0" w:color="000000"/>
            </w:tcBorders>
            <w:shd w:val="clear" w:color="auto" w:fill="auto"/>
            <w:tcMar>
              <w:top w:w="20" w:type="dxa"/>
              <w:left w:w="20" w:type="dxa"/>
              <w:bottom w:w="20" w:type="dxa"/>
              <w:right w:w="20" w:type="dxa"/>
            </w:tcMar>
            <w:vAlign w:val="bottom"/>
          </w:tcPr>
          <w:p w14:paraId="4CCC502C"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552C80D9"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464E99" w:rsidRPr="000D67C6" w14:paraId="6B81AD9A" w14:textId="77777777" w:rsidTr="00775636">
        <w:trPr>
          <w:trHeight w:val="468"/>
        </w:trPr>
        <w:tc>
          <w:tcPr>
            <w:tcW w:w="1365" w:type="dxa"/>
            <w:shd w:val="clear" w:color="auto" w:fill="auto"/>
            <w:tcMar>
              <w:top w:w="20" w:type="dxa"/>
              <w:left w:w="20" w:type="dxa"/>
              <w:bottom w:w="20" w:type="dxa"/>
              <w:right w:w="20" w:type="dxa"/>
            </w:tcMar>
            <w:vAlign w:val="center"/>
          </w:tcPr>
          <w:p w14:paraId="7378E1F6" w14:textId="77777777" w:rsidR="00464E99" w:rsidRPr="000D67C6" w:rsidRDefault="00464E99">
            <w:pPr>
              <w:pStyle w:val="T1TableStyle"/>
              <w:jc w:val="right"/>
              <w:rPr>
                <w:rFonts w:ascii="Arial" w:eastAsia="Verdana" w:hAnsi="Arial" w:cs="Arial"/>
                <w:sz w:val="22"/>
                <w:szCs w:val="22"/>
                <w:lang w:val="en-GB"/>
              </w:rPr>
            </w:pPr>
          </w:p>
        </w:tc>
        <w:tc>
          <w:tcPr>
            <w:tcW w:w="180" w:type="dxa"/>
            <w:shd w:val="clear" w:color="auto" w:fill="auto"/>
            <w:tcMar>
              <w:top w:w="20" w:type="dxa"/>
              <w:left w:w="20" w:type="dxa"/>
              <w:bottom w:w="20" w:type="dxa"/>
              <w:right w:w="20" w:type="dxa"/>
            </w:tcMar>
            <w:vAlign w:val="center"/>
          </w:tcPr>
          <w:p w14:paraId="7F818A15" w14:textId="77777777" w:rsidR="00464E99"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968" w:type="dxa"/>
            <w:shd w:val="clear" w:color="auto" w:fill="auto"/>
            <w:tcMar>
              <w:top w:w="20" w:type="dxa"/>
              <w:left w:w="20" w:type="dxa"/>
              <w:bottom w:w="20" w:type="dxa"/>
              <w:right w:w="20" w:type="dxa"/>
            </w:tcMar>
            <w:vAlign w:val="center"/>
          </w:tcPr>
          <w:p w14:paraId="279B413D" w14:textId="77777777" w:rsidR="00464E99" w:rsidRPr="000D67C6" w:rsidRDefault="008F013B">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Fees payable to external auditors with regard to external audit services carried out by the appointed auditor for the year </w:t>
            </w:r>
            <w:r w:rsidR="007A68D3" w:rsidRPr="000D67C6">
              <w:rPr>
                <w:rFonts w:ascii="Arial" w:eastAsia="Verdana" w:hAnsi="Arial" w:cs="Arial"/>
                <w:sz w:val="22"/>
                <w:szCs w:val="22"/>
                <w:lang w:val="en-GB"/>
              </w:rPr>
              <w:t>for:</w:t>
            </w:r>
          </w:p>
        </w:tc>
        <w:tc>
          <w:tcPr>
            <w:tcW w:w="1276" w:type="dxa"/>
            <w:shd w:val="clear" w:color="auto" w:fill="auto"/>
            <w:tcMar>
              <w:top w:w="20" w:type="dxa"/>
              <w:left w:w="20" w:type="dxa"/>
              <w:bottom w:w="20" w:type="dxa"/>
              <w:right w:w="20" w:type="dxa"/>
            </w:tcMar>
            <w:vAlign w:val="center"/>
          </w:tcPr>
          <w:p w14:paraId="0A229383" w14:textId="77777777" w:rsidR="00464E99" w:rsidRPr="000D67C6" w:rsidRDefault="00464E99">
            <w:pPr>
              <w:pStyle w:val="T1TableStyle"/>
              <w:jc w:val="right"/>
              <w:rPr>
                <w:rFonts w:ascii="Arial" w:eastAsia="Verdana" w:hAnsi="Arial" w:cs="Arial"/>
                <w:sz w:val="22"/>
                <w:szCs w:val="22"/>
                <w:lang w:val="en-GB"/>
              </w:rPr>
            </w:pPr>
          </w:p>
        </w:tc>
      </w:tr>
      <w:tr w:rsidR="00532056" w:rsidRPr="000D67C6" w14:paraId="3D556C01" w14:textId="77777777" w:rsidTr="008C4E14">
        <w:trPr>
          <w:trHeight w:val="291"/>
        </w:trPr>
        <w:tc>
          <w:tcPr>
            <w:tcW w:w="1365" w:type="dxa"/>
            <w:shd w:val="clear" w:color="auto" w:fill="auto"/>
            <w:tcMar>
              <w:top w:w="20" w:type="dxa"/>
              <w:left w:w="20" w:type="dxa"/>
              <w:bottom w:w="20" w:type="dxa"/>
              <w:right w:w="20" w:type="dxa"/>
            </w:tcMar>
            <w:vAlign w:val="center"/>
          </w:tcPr>
          <w:p w14:paraId="68EDE2CE" w14:textId="1449BA38" w:rsidR="00532056" w:rsidRPr="000D67C6" w:rsidRDefault="007B175B" w:rsidP="00532056">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59</w:t>
            </w:r>
          </w:p>
        </w:tc>
        <w:tc>
          <w:tcPr>
            <w:tcW w:w="180" w:type="dxa"/>
            <w:shd w:val="clear" w:color="auto" w:fill="auto"/>
            <w:tcMar>
              <w:top w:w="20" w:type="dxa"/>
              <w:left w:w="20" w:type="dxa"/>
              <w:bottom w:w="20" w:type="dxa"/>
              <w:right w:w="20" w:type="dxa"/>
            </w:tcMar>
            <w:vAlign w:val="center"/>
          </w:tcPr>
          <w:p w14:paraId="0922EE67" w14:textId="77777777" w:rsidR="00532056" w:rsidRPr="000D67C6" w:rsidRDefault="00532056" w:rsidP="00532056">
            <w:pPr>
              <w:pStyle w:val="T1TableStyle"/>
              <w:jc w:val="center"/>
              <w:rPr>
                <w:rFonts w:ascii="Arial" w:eastAsia="Verdana" w:hAnsi="Arial" w:cs="Arial"/>
                <w:sz w:val="22"/>
                <w:szCs w:val="22"/>
                <w:lang w:val="en-GB"/>
              </w:rPr>
            </w:pPr>
          </w:p>
        </w:tc>
        <w:tc>
          <w:tcPr>
            <w:tcW w:w="5968" w:type="dxa"/>
            <w:shd w:val="clear" w:color="auto" w:fill="auto"/>
            <w:tcMar>
              <w:top w:w="20" w:type="dxa"/>
              <w:left w:w="20" w:type="dxa"/>
              <w:bottom w:w="20" w:type="dxa"/>
              <w:right w:w="20" w:type="dxa"/>
            </w:tcMar>
            <w:vAlign w:val="center"/>
          </w:tcPr>
          <w:p w14:paraId="1C2098AC" w14:textId="77777777" w:rsidR="00532056" w:rsidRPr="000D67C6" w:rsidRDefault="00532056" w:rsidP="00532056">
            <w:pPr>
              <w:pStyle w:val="T1TableStyle"/>
              <w:rPr>
                <w:rFonts w:ascii="Arial" w:eastAsia="Verdana" w:hAnsi="Arial" w:cs="Arial"/>
                <w:sz w:val="22"/>
                <w:szCs w:val="22"/>
                <w:lang w:val="en-GB"/>
              </w:rPr>
            </w:pPr>
            <w:r w:rsidRPr="000D67C6">
              <w:rPr>
                <w:rFonts w:ascii="Arial" w:eastAsia="Verdana" w:hAnsi="Arial" w:cs="Arial"/>
                <w:sz w:val="22"/>
                <w:szCs w:val="22"/>
                <w:lang w:val="en-GB"/>
              </w:rPr>
              <w:t>Financial Audit Work</w:t>
            </w:r>
          </w:p>
        </w:tc>
        <w:tc>
          <w:tcPr>
            <w:tcW w:w="1276" w:type="dxa"/>
            <w:shd w:val="clear" w:color="auto" w:fill="auto"/>
            <w:tcMar>
              <w:top w:w="20" w:type="dxa"/>
              <w:left w:w="20" w:type="dxa"/>
              <w:bottom w:w="20" w:type="dxa"/>
              <w:right w:w="20" w:type="dxa"/>
            </w:tcMar>
            <w:vAlign w:val="center"/>
          </w:tcPr>
          <w:p w14:paraId="298DBB41" w14:textId="77777777" w:rsidR="00B57003" w:rsidRPr="000D67C6" w:rsidRDefault="00EF60CC" w:rsidP="00532056">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54</w:t>
            </w:r>
          </w:p>
        </w:tc>
      </w:tr>
      <w:tr w:rsidR="008C4E14" w:rsidRPr="000D67C6" w14:paraId="761C5C6B" w14:textId="77777777" w:rsidTr="008C4E14">
        <w:trPr>
          <w:trHeight w:val="115"/>
        </w:trPr>
        <w:tc>
          <w:tcPr>
            <w:tcW w:w="1365" w:type="dxa"/>
            <w:shd w:val="clear" w:color="auto" w:fill="auto"/>
            <w:tcMar>
              <w:top w:w="20" w:type="dxa"/>
              <w:left w:w="20" w:type="dxa"/>
              <w:bottom w:w="20" w:type="dxa"/>
              <w:right w:w="20" w:type="dxa"/>
            </w:tcMar>
            <w:vAlign w:val="center"/>
          </w:tcPr>
          <w:p w14:paraId="111D2F78" w14:textId="77777777" w:rsidR="008C4E14" w:rsidRPr="000D67C6" w:rsidRDefault="008C4E14" w:rsidP="00532056">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w:t>
            </w:r>
            <w:r w:rsidR="00F20D20" w:rsidRPr="000D67C6">
              <w:rPr>
                <w:rFonts w:ascii="Arial" w:eastAsia="Verdana" w:hAnsi="Arial" w:cs="Arial"/>
                <w:sz w:val="22"/>
                <w:szCs w:val="22"/>
                <w:lang w:val="en-GB"/>
              </w:rPr>
              <w:t>5</w:t>
            </w:r>
          </w:p>
        </w:tc>
        <w:tc>
          <w:tcPr>
            <w:tcW w:w="180" w:type="dxa"/>
            <w:shd w:val="clear" w:color="auto" w:fill="auto"/>
            <w:tcMar>
              <w:top w:w="20" w:type="dxa"/>
              <w:left w:w="20" w:type="dxa"/>
              <w:bottom w:w="20" w:type="dxa"/>
              <w:right w:w="20" w:type="dxa"/>
            </w:tcMar>
            <w:vAlign w:val="center"/>
          </w:tcPr>
          <w:p w14:paraId="27B2BE8D" w14:textId="77777777" w:rsidR="008C4E14" w:rsidRPr="000D67C6" w:rsidRDefault="008C4E14" w:rsidP="00532056">
            <w:pPr>
              <w:pStyle w:val="T1TableStyle"/>
              <w:jc w:val="center"/>
              <w:rPr>
                <w:rFonts w:ascii="Arial" w:eastAsia="Verdana" w:hAnsi="Arial" w:cs="Arial"/>
                <w:sz w:val="22"/>
                <w:szCs w:val="22"/>
                <w:lang w:val="en-GB"/>
              </w:rPr>
            </w:pPr>
          </w:p>
        </w:tc>
        <w:tc>
          <w:tcPr>
            <w:tcW w:w="5968" w:type="dxa"/>
            <w:shd w:val="clear" w:color="auto" w:fill="auto"/>
            <w:tcMar>
              <w:top w:w="20" w:type="dxa"/>
              <w:left w:w="20" w:type="dxa"/>
              <w:bottom w:w="20" w:type="dxa"/>
              <w:right w:w="20" w:type="dxa"/>
            </w:tcMar>
            <w:vAlign w:val="center"/>
          </w:tcPr>
          <w:p w14:paraId="0F44E44B" w14:textId="77777777" w:rsidR="008C4E14" w:rsidRPr="000D67C6" w:rsidRDefault="008C4E14" w:rsidP="00532056">
            <w:pPr>
              <w:pStyle w:val="T1TableStyle"/>
              <w:rPr>
                <w:rFonts w:ascii="Arial" w:eastAsia="Verdana" w:hAnsi="Arial" w:cs="Arial"/>
                <w:sz w:val="22"/>
                <w:szCs w:val="22"/>
                <w:lang w:val="en-GB"/>
              </w:rPr>
            </w:pPr>
            <w:r w:rsidRPr="000D67C6">
              <w:rPr>
                <w:rFonts w:ascii="Arial" w:eastAsia="Verdana" w:hAnsi="Arial" w:cs="Arial"/>
                <w:sz w:val="22"/>
                <w:szCs w:val="22"/>
                <w:lang w:val="en-GB"/>
              </w:rPr>
              <w:t>Performance Audit Work</w:t>
            </w:r>
          </w:p>
        </w:tc>
        <w:tc>
          <w:tcPr>
            <w:tcW w:w="1276" w:type="dxa"/>
            <w:shd w:val="clear" w:color="auto" w:fill="auto"/>
            <w:tcMar>
              <w:top w:w="20" w:type="dxa"/>
              <w:left w:w="20" w:type="dxa"/>
              <w:bottom w:w="20" w:type="dxa"/>
              <w:right w:w="20" w:type="dxa"/>
            </w:tcMar>
            <w:vAlign w:val="center"/>
          </w:tcPr>
          <w:p w14:paraId="60F6C625" w14:textId="77777777" w:rsidR="008C4E14" w:rsidRPr="000D67C6" w:rsidRDefault="00EF60CC" w:rsidP="00532056">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w:t>
            </w:r>
          </w:p>
        </w:tc>
      </w:tr>
      <w:tr w:rsidR="00532056" w:rsidRPr="000D67C6" w14:paraId="6669D13F" w14:textId="77777777" w:rsidTr="00775636">
        <w:trPr>
          <w:trHeight w:val="340"/>
        </w:trPr>
        <w:tc>
          <w:tcPr>
            <w:tcW w:w="136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912730D" w14:textId="3F963B02" w:rsidR="00532056" w:rsidRPr="000D67C6" w:rsidRDefault="007B175B" w:rsidP="0053205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74</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3D48F12" w14:textId="77777777" w:rsidR="00532056" w:rsidRPr="000D67C6" w:rsidRDefault="00532056" w:rsidP="00532056">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6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C8154BE" w14:textId="77777777" w:rsidR="00532056" w:rsidRPr="000D67C6" w:rsidRDefault="00532056" w:rsidP="00532056">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89CE77F" w14:textId="77777777" w:rsidR="00532056" w:rsidRPr="000D67C6" w:rsidRDefault="00EF60CC" w:rsidP="0053205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69</w:t>
            </w:r>
          </w:p>
        </w:tc>
      </w:tr>
    </w:tbl>
    <w:p w14:paraId="048D3D20" w14:textId="77777777" w:rsidR="00BE3994" w:rsidRPr="00055140" w:rsidRDefault="00BE3994" w:rsidP="002014FB">
      <w:pPr>
        <w:rPr>
          <w:rFonts w:ascii="Arial" w:hAnsi="Arial" w:cs="Arial"/>
          <w:sz w:val="36"/>
          <w:szCs w:val="22"/>
          <w:lang w:val="en-GB"/>
        </w:rPr>
      </w:pPr>
    </w:p>
    <w:tbl>
      <w:tblPr>
        <w:tblW w:w="0" w:type="auto"/>
        <w:tblLayout w:type="fixed"/>
        <w:tblLook w:val="04A0" w:firstRow="1" w:lastRow="0" w:firstColumn="1" w:lastColumn="0" w:noHBand="0" w:noVBand="1"/>
      </w:tblPr>
      <w:tblGrid>
        <w:gridCol w:w="1924"/>
        <w:gridCol w:w="236"/>
        <w:gridCol w:w="4800"/>
        <w:gridCol w:w="1965"/>
      </w:tblGrid>
      <w:tr w:rsidR="00464E99" w:rsidRPr="000D67C6" w14:paraId="31AA61D9" w14:textId="77777777" w:rsidTr="788D03D9">
        <w:trPr>
          <w:trHeight w:val="1110"/>
        </w:trPr>
        <w:tc>
          <w:tcPr>
            <w:tcW w:w="8925" w:type="dxa"/>
            <w:gridSpan w:val="4"/>
            <w:shd w:val="clear" w:color="auto" w:fill="auto"/>
            <w:tcMar>
              <w:top w:w="20" w:type="dxa"/>
              <w:left w:w="20" w:type="dxa"/>
              <w:bottom w:w="20" w:type="dxa"/>
              <w:right w:w="20" w:type="dxa"/>
            </w:tcMar>
            <w:vAlign w:val="bottom"/>
          </w:tcPr>
          <w:p w14:paraId="4A87361E" w14:textId="77777777" w:rsidR="003F6FEA" w:rsidRPr="000D67C6" w:rsidRDefault="00ED39AD" w:rsidP="008F013B">
            <w:pPr>
              <w:pStyle w:val="T1TableStyle"/>
              <w:rPr>
                <w:rFonts w:ascii="Arial" w:hAnsi="Arial" w:cs="Arial"/>
                <w:b/>
                <w:sz w:val="28"/>
                <w:lang w:val="en-GB"/>
              </w:rPr>
            </w:pPr>
            <w:r w:rsidRPr="000D67C6">
              <w:rPr>
                <w:rFonts w:ascii="Arial" w:hAnsi="Arial" w:cs="Arial"/>
                <w:b/>
                <w:sz w:val="28"/>
                <w:lang w:val="en-GB"/>
              </w:rPr>
              <w:t>Note 2</w:t>
            </w:r>
            <w:r w:rsidR="002F5FB5" w:rsidRPr="000D67C6">
              <w:rPr>
                <w:rFonts w:ascii="Arial" w:hAnsi="Arial" w:cs="Arial"/>
                <w:b/>
                <w:sz w:val="28"/>
                <w:lang w:val="en-GB"/>
              </w:rPr>
              <w:t>5</w:t>
            </w:r>
            <w:r w:rsidR="008F013B" w:rsidRPr="000D67C6">
              <w:rPr>
                <w:rFonts w:ascii="Arial" w:hAnsi="Arial" w:cs="Arial"/>
                <w:b/>
                <w:sz w:val="28"/>
                <w:lang w:val="en-GB"/>
              </w:rPr>
              <w:t xml:space="preserve"> - Grant Income</w:t>
            </w:r>
            <w:bookmarkStart w:id="5" w:name="_GoBack_3"/>
          </w:p>
          <w:p w14:paraId="4033F577" w14:textId="77777777" w:rsidR="003F6FEA" w:rsidRPr="000D67C6" w:rsidRDefault="003F6FEA" w:rsidP="008F013B">
            <w:pPr>
              <w:pStyle w:val="T1TableStyle"/>
              <w:rPr>
                <w:rFonts w:ascii="Arial" w:hAnsi="Arial" w:cs="Arial"/>
                <w:lang w:val="en-GB"/>
              </w:rPr>
            </w:pPr>
          </w:p>
          <w:p w14:paraId="245CA488" w14:textId="77777777" w:rsidR="00464E99" w:rsidRPr="000D67C6" w:rsidRDefault="008F013B" w:rsidP="008F013B">
            <w:pPr>
              <w:pStyle w:val="T1TableStyle"/>
              <w:rPr>
                <w:rFonts w:ascii="Arial" w:eastAsia="Verdana" w:hAnsi="Arial" w:cs="Arial"/>
                <w:b/>
                <w:szCs w:val="22"/>
                <w:lang w:val="en-GB"/>
              </w:rPr>
            </w:pPr>
            <w:r w:rsidRPr="000D67C6">
              <w:rPr>
                <w:rFonts w:ascii="Arial" w:eastAsia="Verdana" w:hAnsi="Arial" w:cs="Arial"/>
                <w:b/>
                <w:szCs w:val="22"/>
                <w:lang w:val="en-GB"/>
              </w:rPr>
              <w:t xml:space="preserve">Grant Income Credited to Taxation and non-specific Grant Income and Expenditure </w:t>
            </w:r>
          </w:p>
          <w:p w14:paraId="1120C821" w14:textId="77777777" w:rsidR="00774A2D" w:rsidRPr="000D67C6" w:rsidRDefault="00774A2D" w:rsidP="008F013B">
            <w:pPr>
              <w:pStyle w:val="T1TableStyle"/>
              <w:rPr>
                <w:rFonts w:ascii="Arial" w:eastAsia="Verdana" w:hAnsi="Arial" w:cs="Arial"/>
                <w:b/>
                <w:szCs w:val="22"/>
                <w:lang w:val="en-GB"/>
              </w:rPr>
            </w:pPr>
          </w:p>
        </w:tc>
      </w:tr>
      <w:tr w:rsidR="00464E99" w:rsidRPr="000D67C6" w14:paraId="21B8909E" w14:textId="77777777" w:rsidTr="788D03D9">
        <w:trPr>
          <w:trHeight w:val="255"/>
        </w:trPr>
        <w:tc>
          <w:tcPr>
            <w:tcW w:w="1924" w:type="dxa"/>
            <w:shd w:val="clear" w:color="auto" w:fill="auto"/>
            <w:tcMar>
              <w:top w:w="20" w:type="dxa"/>
              <w:left w:w="20" w:type="dxa"/>
              <w:bottom w:w="20" w:type="dxa"/>
              <w:right w:w="20" w:type="dxa"/>
            </w:tcMar>
            <w:vAlign w:val="bottom"/>
          </w:tcPr>
          <w:p w14:paraId="70787CB9" w14:textId="77777777" w:rsidR="00464E99" w:rsidRPr="000D67C6" w:rsidRDefault="00532056" w:rsidP="00ED39A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8</w:t>
            </w:r>
          </w:p>
        </w:tc>
        <w:tc>
          <w:tcPr>
            <w:tcW w:w="236" w:type="dxa"/>
            <w:shd w:val="clear" w:color="auto" w:fill="auto"/>
            <w:tcMar>
              <w:top w:w="20" w:type="dxa"/>
              <w:left w:w="20" w:type="dxa"/>
              <w:bottom w:w="20" w:type="dxa"/>
              <w:right w:w="20" w:type="dxa"/>
            </w:tcMar>
          </w:tcPr>
          <w:p w14:paraId="5955BC91" w14:textId="77777777" w:rsidR="00464E99" w:rsidRPr="000D67C6" w:rsidRDefault="00464E99" w:rsidP="00ED39AD">
            <w:pPr>
              <w:pStyle w:val="T1TableStyle"/>
              <w:jc w:val="right"/>
              <w:rPr>
                <w:rFonts w:ascii="Arial" w:eastAsia="Verdana" w:hAnsi="Arial" w:cs="Arial"/>
                <w:b/>
                <w:sz w:val="22"/>
                <w:szCs w:val="22"/>
                <w:lang w:val="en-GB"/>
              </w:rPr>
            </w:pPr>
          </w:p>
        </w:tc>
        <w:tc>
          <w:tcPr>
            <w:tcW w:w="4800" w:type="dxa"/>
            <w:shd w:val="clear" w:color="auto" w:fill="auto"/>
            <w:tcMar>
              <w:top w:w="20" w:type="dxa"/>
              <w:left w:w="20" w:type="dxa"/>
              <w:bottom w:w="20" w:type="dxa"/>
              <w:right w:w="20" w:type="dxa"/>
            </w:tcMar>
          </w:tcPr>
          <w:p w14:paraId="492FEE27" w14:textId="77777777" w:rsidR="00464E99" w:rsidRPr="000D67C6" w:rsidRDefault="00464E99" w:rsidP="00ED39AD">
            <w:pPr>
              <w:pStyle w:val="T1TableStyle"/>
              <w:jc w:val="right"/>
              <w:rPr>
                <w:rFonts w:ascii="Arial" w:eastAsia="Verdana" w:hAnsi="Arial" w:cs="Arial"/>
                <w:b/>
                <w:sz w:val="22"/>
                <w:szCs w:val="22"/>
                <w:lang w:val="en-GB"/>
              </w:rPr>
            </w:pPr>
          </w:p>
        </w:tc>
        <w:tc>
          <w:tcPr>
            <w:tcW w:w="1965" w:type="dxa"/>
            <w:shd w:val="clear" w:color="auto" w:fill="auto"/>
            <w:tcMar>
              <w:top w:w="20" w:type="dxa"/>
              <w:left w:w="20" w:type="dxa"/>
              <w:bottom w:w="20" w:type="dxa"/>
              <w:right w:w="20" w:type="dxa"/>
            </w:tcMar>
            <w:vAlign w:val="bottom"/>
          </w:tcPr>
          <w:p w14:paraId="4ED02216" w14:textId="77777777" w:rsidR="00464E99" w:rsidRPr="000D67C6" w:rsidRDefault="00532056" w:rsidP="00ED39A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8</w:t>
            </w:r>
            <w:r w:rsidR="00774A2D"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9</w:t>
            </w:r>
          </w:p>
        </w:tc>
      </w:tr>
      <w:tr w:rsidR="00464E99" w:rsidRPr="000D67C6" w14:paraId="644B443D" w14:textId="77777777" w:rsidTr="788D03D9">
        <w:trPr>
          <w:trHeight w:val="300"/>
        </w:trPr>
        <w:tc>
          <w:tcPr>
            <w:tcW w:w="1924" w:type="dxa"/>
            <w:tcBorders>
              <w:bottom w:val="single" w:sz="2" w:space="0" w:color="000000" w:themeColor="text1"/>
            </w:tcBorders>
            <w:shd w:val="clear" w:color="auto" w:fill="auto"/>
            <w:tcMar>
              <w:top w:w="20" w:type="dxa"/>
              <w:left w:w="20" w:type="dxa"/>
              <w:bottom w:w="20" w:type="dxa"/>
              <w:right w:w="20" w:type="dxa"/>
            </w:tcMar>
          </w:tcPr>
          <w:p w14:paraId="4090C315"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6" w:type="dxa"/>
            <w:tcBorders>
              <w:bottom w:val="single" w:sz="2" w:space="0" w:color="000000" w:themeColor="text1"/>
            </w:tcBorders>
            <w:shd w:val="clear" w:color="auto" w:fill="auto"/>
            <w:tcMar>
              <w:top w:w="20" w:type="dxa"/>
              <w:left w:w="20" w:type="dxa"/>
              <w:bottom w:w="20" w:type="dxa"/>
              <w:right w:w="20" w:type="dxa"/>
            </w:tcMar>
          </w:tcPr>
          <w:p w14:paraId="0C98D3A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tcBorders>
              <w:bottom w:val="single" w:sz="2" w:space="0" w:color="000000" w:themeColor="text1"/>
            </w:tcBorders>
            <w:shd w:val="clear" w:color="auto" w:fill="auto"/>
            <w:tcMar>
              <w:top w:w="20" w:type="dxa"/>
              <w:left w:w="20" w:type="dxa"/>
              <w:bottom w:w="20" w:type="dxa"/>
              <w:right w:w="20" w:type="dxa"/>
            </w:tcMar>
          </w:tcPr>
          <w:p w14:paraId="5DFB502E"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65" w:type="dxa"/>
            <w:tcBorders>
              <w:bottom w:val="single" w:sz="2" w:space="0" w:color="000000" w:themeColor="text1"/>
            </w:tcBorders>
            <w:shd w:val="clear" w:color="auto" w:fill="auto"/>
            <w:tcMar>
              <w:top w:w="20" w:type="dxa"/>
              <w:left w:w="20" w:type="dxa"/>
              <w:bottom w:w="20" w:type="dxa"/>
              <w:right w:w="20" w:type="dxa"/>
            </w:tcMar>
          </w:tcPr>
          <w:p w14:paraId="0D3FD14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464E99" w:rsidRPr="000D67C6" w14:paraId="490CC993" w14:textId="77777777" w:rsidTr="0086012D">
        <w:trPr>
          <w:trHeight w:val="421"/>
        </w:trPr>
        <w:tc>
          <w:tcPr>
            <w:tcW w:w="1924" w:type="dxa"/>
            <w:shd w:val="clear" w:color="auto" w:fill="auto"/>
            <w:tcMar>
              <w:top w:w="20" w:type="dxa"/>
              <w:left w:w="20" w:type="dxa"/>
              <w:bottom w:w="20" w:type="dxa"/>
              <w:right w:w="20" w:type="dxa"/>
            </w:tcMar>
            <w:vAlign w:val="center"/>
          </w:tcPr>
          <w:p w14:paraId="3685B6A5" w14:textId="77777777" w:rsidR="00464E99" w:rsidRPr="000D67C6" w:rsidRDefault="00532056" w:rsidP="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F20D20" w:rsidRPr="000D67C6">
              <w:rPr>
                <w:rFonts w:ascii="Arial" w:eastAsia="Verdana" w:hAnsi="Arial" w:cs="Arial"/>
                <w:sz w:val="22"/>
                <w:szCs w:val="22"/>
                <w:lang w:val="en-GB"/>
              </w:rPr>
              <w:t>979</w:t>
            </w:r>
            <w:r w:rsidR="008F013B" w:rsidRPr="000D67C6">
              <w:rPr>
                <w:rFonts w:ascii="Arial" w:eastAsia="Verdana" w:hAnsi="Arial" w:cs="Arial"/>
                <w:sz w:val="22"/>
                <w:szCs w:val="22"/>
                <w:lang w:val="en-GB"/>
              </w:rPr>
              <w:t>)</w:t>
            </w:r>
          </w:p>
        </w:tc>
        <w:tc>
          <w:tcPr>
            <w:tcW w:w="236" w:type="dxa"/>
            <w:shd w:val="clear" w:color="auto" w:fill="auto"/>
            <w:tcMar>
              <w:top w:w="20" w:type="dxa"/>
              <w:left w:w="20" w:type="dxa"/>
              <w:bottom w:w="20" w:type="dxa"/>
              <w:right w:w="20" w:type="dxa"/>
            </w:tcMar>
            <w:vAlign w:val="center"/>
          </w:tcPr>
          <w:p w14:paraId="42BCB3A7" w14:textId="77777777" w:rsidR="00464E99" w:rsidRPr="000D67C6" w:rsidRDefault="008F013B" w:rsidP="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5C44F418" w14:textId="77777777" w:rsidR="00464E99" w:rsidRPr="000D67C6" w:rsidRDefault="008F013B" w:rsidP="008F013B">
            <w:pPr>
              <w:pStyle w:val="T1TableStyle"/>
              <w:rPr>
                <w:rFonts w:ascii="Arial" w:eastAsia="Verdana" w:hAnsi="Arial" w:cs="Arial"/>
                <w:sz w:val="22"/>
                <w:szCs w:val="22"/>
                <w:lang w:val="en-GB"/>
              </w:rPr>
            </w:pPr>
            <w:r w:rsidRPr="000D67C6">
              <w:rPr>
                <w:rFonts w:ascii="Arial" w:eastAsia="Verdana" w:hAnsi="Arial" w:cs="Arial"/>
                <w:sz w:val="22"/>
                <w:szCs w:val="22"/>
                <w:lang w:val="en-GB"/>
              </w:rPr>
              <w:t>Capital Grants</w:t>
            </w:r>
            <w:r w:rsidR="00502057" w:rsidRPr="000D67C6">
              <w:rPr>
                <w:rFonts w:ascii="Arial" w:eastAsia="Verdana" w:hAnsi="Arial" w:cs="Arial"/>
                <w:sz w:val="22"/>
                <w:szCs w:val="22"/>
                <w:lang w:val="en-GB"/>
              </w:rPr>
              <w:t>, Contributions</w:t>
            </w:r>
            <w:r w:rsidR="00383191" w:rsidRPr="000D67C6">
              <w:rPr>
                <w:rFonts w:ascii="Arial" w:eastAsia="Verdana" w:hAnsi="Arial" w:cs="Arial"/>
                <w:sz w:val="22"/>
                <w:szCs w:val="22"/>
                <w:lang w:val="en-GB"/>
              </w:rPr>
              <w:t xml:space="preserve"> and Donations</w:t>
            </w:r>
          </w:p>
        </w:tc>
        <w:tc>
          <w:tcPr>
            <w:tcW w:w="1965" w:type="dxa"/>
            <w:shd w:val="clear" w:color="auto" w:fill="auto"/>
            <w:tcMar>
              <w:top w:w="20" w:type="dxa"/>
              <w:left w:w="20" w:type="dxa"/>
              <w:bottom w:w="20" w:type="dxa"/>
              <w:right w:w="20" w:type="dxa"/>
            </w:tcMar>
            <w:vAlign w:val="center"/>
          </w:tcPr>
          <w:p w14:paraId="5C55222C" w14:textId="77777777" w:rsidR="00464E99" w:rsidRPr="000D67C6" w:rsidRDefault="00E76C34" w:rsidP="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2B5E11" w:rsidRPr="000D67C6">
              <w:rPr>
                <w:rFonts w:ascii="Arial" w:eastAsia="Verdana" w:hAnsi="Arial" w:cs="Arial"/>
                <w:sz w:val="22"/>
                <w:szCs w:val="22"/>
                <w:lang w:val="en-GB"/>
              </w:rPr>
              <w:t>369</w:t>
            </w:r>
            <w:r w:rsidRPr="000D67C6">
              <w:rPr>
                <w:rFonts w:ascii="Arial" w:eastAsia="Verdana" w:hAnsi="Arial" w:cs="Arial"/>
                <w:sz w:val="22"/>
                <w:szCs w:val="22"/>
                <w:lang w:val="en-GB"/>
              </w:rPr>
              <w:t>)</w:t>
            </w:r>
          </w:p>
        </w:tc>
      </w:tr>
      <w:tr w:rsidR="00BE19EF" w:rsidRPr="000D67C6" w14:paraId="0451C428" w14:textId="77777777" w:rsidTr="788D03D9">
        <w:trPr>
          <w:trHeight w:val="422"/>
        </w:trPr>
        <w:tc>
          <w:tcPr>
            <w:tcW w:w="1924" w:type="dxa"/>
            <w:tcBorders>
              <w:top w:val="single" w:sz="2" w:space="0" w:color="000000" w:themeColor="text1"/>
              <w:bottom w:val="single" w:sz="12" w:space="0" w:color="000000" w:themeColor="text1"/>
            </w:tcBorders>
            <w:shd w:val="clear" w:color="auto" w:fill="auto"/>
            <w:tcMar>
              <w:top w:w="20" w:type="dxa"/>
              <w:left w:w="20" w:type="dxa"/>
              <w:bottom w:w="20" w:type="dxa"/>
              <w:right w:w="20" w:type="dxa"/>
            </w:tcMar>
            <w:vAlign w:val="center"/>
          </w:tcPr>
          <w:p w14:paraId="0A9DF335" w14:textId="77777777" w:rsidR="00BE19EF" w:rsidRPr="000D67C6" w:rsidRDefault="00BE19EF" w:rsidP="00BE19EF">
            <w:pPr>
              <w:pStyle w:val="T1TableStyle"/>
              <w:jc w:val="right"/>
              <w:rPr>
                <w:rFonts w:ascii="Arial" w:eastAsia="Verdana" w:hAnsi="Arial" w:cs="Arial"/>
                <w:b/>
                <w:bCs/>
                <w:sz w:val="22"/>
                <w:szCs w:val="22"/>
                <w:lang w:val="en-GB"/>
              </w:rPr>
            </w:pPr>
            <w:r w:rsidRPr="000D67C6">
              <w:rPr>
                <w:rFonts w:ascii="Arial" w:eastAsia="Verdana" w:hAnsi="Arial" w:cs="Arial"/>
                <w:b/>
                <w:sz w:val="22"/>
                <w:szCs w:val="22"/>
                <w:lang w:val="en-GB"/>
              </w:rPr>
              <w:t>(979)</w:t>
            </w:r>
          </w:p>
        </w:tc>
        <w:tc>
          <w:tcPr>
            <w:tcW w:w="236" w:type="dxa"/>
            <w:tcBorders>
              <w:top w:val="single" w:sz="2" w:space="0" w:color="000000" w:themeColor="text1"/>
              <w:bottom w:val="single" w:sz="12" w:space="0" w:color="000000" w:themeColor="text1"/>
            </w:tcBorders>
            <w:shd w:val="clear" w:color="auto" w:fill="auto"/>
            <w:tcMar>
              <w:top w:w="20" w:type="dxa"/>
              <w:left w:w="20" w:type="dxa"/>
              <w:bottom w:w="20" w:type="dxa"/>
              <w:right w:w="20" w:type="dxa"/>
            </w:tcMar>
            <w:vAlign w:val="center"/>
          </w:tcPr>
          <w:p w14:paraId="6887F3D2" w14:textId="77777777" w:rsidR="00BE19EF" w:rsidRPr="000D67C6" w:rsidRDefault="00BE19EF" w:rsidP="00BE19EF">
            <w:pPr>
              <w:pStyle w:val="T1TableStyle"/>
              <w:jc w:val="center"/>
              <w:rPr>
                <w:rFonts w:ascii="Arial" w:eastAsia="Verdana" w:hAnsi="Arial" w:cs="Arial"/>
                <w:b/>
                <w:bCs/>
                <w:sz w:val="22"/>
                <w:szCs w:val="22"/>
                <w:lang w:val="en-GB"/>
              </w:rPr>
            </w:pPr>
            <w:r w:rsidRPr="000D67C6">
              <w:rPr>
                <w:rFonts w:ascii="Arial" w:eastAsia="Verdana" w:hAnsi="Arial" w:cs="Arial"/>
                <w:b/>
                <w:sz w:val="22"/>
                <w:szCs w:val="22"/>
                <w:lang w:val="en-GB"/>
              </w:rPr>
              <w:t xml:space="preserve"> </w:t>
            </w:r>
          </w:p>
        </w:tc>
        <w:tc>
          <w:tcPr>
            <w:tcW w:w="4800" w:type="dxa"/>
            <w:tcBorders>
              <w:top w:val="single" w:sz="2" w:space="0" w:color="000000" w:themeColor="text1"/>
              <w:bottom w:val="single" w:sz="12" w:space="0" w:color="000000" w:themeColor="text1"/>
            </w:tcBorders>
            <w:shd w:val="clear" w:color="auto" w:fill="auto"/>
            <w:tcMar>
              <w:top w:w="20" w:type="dxa"/>
              <w:left w:w="20" w:type="dxa"/>
              <w:bottom w:w="20" w:type="dxa"/>
              <w:right w:w="20" w:type="dxa"/>
            </w:tcMar>
            <w:vAlign w:val="center"/>
          </w:tcPr>
          <w:p w14:paraId="42A1A8A3" w14:textId="77777777" w:rsidR="00BE19EF" w:rsidRPr="000D67C6" w:rsidRDefault="00BE19EF" w:rsidP="00BE19EF">
            <w:pPr>
              <w:pStyle w:val="T1TableStyle"/>
              <w:rPr>
                <w:rFonts w:ascii="Arial" w:eastAsia="Verdana" w:hAnsi="Arial" w:cs="Arial"/>
                <w:b/>
                <w:bCs/>
                <w:sz w:val="22"/>
                <w:szCs w:val="22"/>
                <w:lang w:val="en-GB"/>
              </w:rPr>
            </w:pPr>
            <w:r w:rsidRPr="000D67C6">
              <w:rPr>
                <w:rFonts w:ascii="Arial" w:eastAsia="Verdana" w:hAnsi="Arial" w:cs="Arial"/>
                <w:b/>
                <w:sz w:val="22"/>
                <w:szCs w:val="22"/>
                <w:lang w:val="en-GB"/>
              </w:rPr>
              <w:t>Total</w:t>
            </w:r>
          </w:p>
        </w:tc>
        <w:tc>
          <w:tcPr>
            <w:tcW w:w="1965" w:type="dxa"/>
            <w:tcBorders>
              <w:top w:val="single" w:sz="2" w:space="0" w:color="000000" w:themeColor="text1"/>
              <w:bottom w:val="single" w:sz="12" w:space="0" w:color="000000" w:themeColor="text1"/>
            </w:tcBorders>
            <w:shd w:val="clear" w:color="auto" w:fill="auto"/>
            <w:tcMar>
              <w:top w:w="20" w:type="dxa"/>
              <w:left w:w="20" w:type="dxa"/>
              <w:bottom w:w="20" w:type="dxa"/>
              <w:right w:w="20" w:type="dxa"/>
            </w:tcMar>
            <w:vAlign w:val="center"/>
          </w:tcPr>
          <w:p w14:paraId="4ECF5DE4" w14:textId="77777777" w:rsidR="00BE19EF" w:rsidRPr="000D67C6" w:rsidRDefault="00E76C34" w:rsidP="00BE19EF">
            <w:pPr>
              <w:pStyle w:val="T1TableStyle"/>
              <w:jc w:val="right"/>
              <w:rPr>
                <w:rFonts w:ascii="Arial" w:eastAsia="Verdana" w:hAnsi="Arial" w:cs="Arial"/>
                <w:b/>
                <w:bCs/>
                <w:sz w:val="22"/>
                <w:szCs w:val="22"/>
                <w:lang w:val="en-GB"/>
              </w:rPr>
            </w:pPr>
            <w:r w:rsidRPr="000D67C6">
              <w:rPr>
                <w:rFonts w:ascii="Arial" w:eastAsia="Verdana" w:hAnsi="Arial" w:cs="Arial"/>
                <w:b/>
                <w:bCs/>
                <w:sz w:val="22"/>
                <w:szCs w:val="22"/>
                <w:lang w:val="en-GB"/>
              </w:rPr>
              <w:t>(</w:t>
            </w:r>
            <w:r w:rsidR="001D1E73" w:rsidRPr="000D67C6">
              <w:rPr>
                <w:rFonts w:ascii="Arial" w:eastAsia="Verdana" w:hAnsi="Arial" w:cs="Arial"/>
                <w:b/>
                <w:bCs/>
                <w:sz w:val="22"/>
                <w:szCs w:val="22"/>
                <w:lang w:val="en-GB"/>
              </w:rPr>
              <w:t>369</w:t>
            </w:r>
            <w:r w:rsidRPr="000D67C6">
              <w:rPr>
                <w:rFonts w:ascii="Arial" w:eastAsia="Verdana" w:hAnsi="Arial" w:cs="Arial"/>
                <w:b/>
                <w:bCs/>
                <w:sz w:val="22"/>
                <w:szCs w:val="22"/>
                <w:lang w:val="en-GB"/>
              </w:rPr>
              <w:t>)</w:t>
            </w:r>
          </w:p>
        </w:tc>
      </w:tr>
    </w:tbl>
    <w:p w14:paraId="4FDEDB37" w14:textId="77777777" w:rsidR="00B90A53" w:rsidRPr="000D67C6" w:rsidRDefault="00B90A53"/>
    <w:p w14:paraId="338CBF06" w14:textId="77777777" w:rsidR="00BE19EF" w:rsidRPr="000D67C6" w:rsidRDefault="00BE19EF"/>
    <w:p w14:paraId="52EBCA65" w14:textId="77777777" w:rsidR="007B175B" w:rsidRPr="000D67C6" w:rsidRDefault="007B175B">
      <w:pPr>
        <w:rPr>
          <w:rFonts w:ascii="Arial" w:hAnsi="Arial" w:cs="Arial"/>
          <w:b/>
        </w:rPr>
      </w:pPr>
      <w:r w:rsidRPr="000D67C6">
        <w:rPr>
          <w:rFonts w:ascii="Arial" w:hAnsi="Arial" w:cs="Arial"/>
          <w:b/>
        </w:rPr>
        <w:br w:type="page"/>
      </w:r>
    </w:p>
    <w:p w14:paraId="39890E30" w14:textId="3942CE29" w:rsidR="00F41ACF" w:rsidRPr="000D67C6" w:rsidRDefault="00B90A53">
      <w:pPr>
        <w:rPr>
          <w:rFonts w:ascii="Arial" w:hAnsi="Arial" w:cs="Arial"/>
          <w:b/>
        </w:rPr>
      </w:pPr>
      <w:r w:rsidRPr="000D67C6">
        <w:rPr>
          <w:rFonts w:ascii="Arial" w:hAnsi="Arial" w:cs="Arial"/>
          <w:b/>
        </w:rPr>
        <w:t>Credited to Services</w:t>
      </w:r>
    </w:p>
    <w:p w14:paraId="59F22C71" w14:textId="77777777" w:rsidR="0086012D" w:rsidRPr="000D67C6" w:rsidRDefault="0086012D">
      <w:pPr>
        <w:rPr>
          <w:rFonts w:ascii="Arial" w:hAnsi="Arial" w:cs="Arial"/>
          <w:b/>
        </w:rPr>
      </w:pPr>
    </w:p>
    <w:tbl>
      <w:tblPr>
        <w:tblW w:w="0" w:type="auto"/>
        <w:tblLayout w:type="fixed"/>
        <w:tblLook w:val="04A0" w:firstRow="1" w:lastRow="0" w:firstColumn="1" w:lastColumn="0" w:noHBand="0" w:noVBand="1"/>
      </w:tblPr>
      <w:tblGrid>
        <w:gridCol w:w="1924"/>
        <w:gridCol w:w="236"/>
        <w:gridCol w:w="4800"/>
        <w:gridCol w:w="1965"/>
      </w:tblGrid>
      <w:tr w:rsidR="00464E99" w:rsidRPr="000D67C6" w14:paraId="3BBBD8CC" w14:textId="77777777" w:rsidTr="00B90A53">
        <w:trPr>
          <w:trHeight w:val="360"/>
        </w:trPr>
        <w:tc>
          <w:tcPr>
            <w:tcW w:w="1924" w:type="dxa"/>
            <w:shd w:val="clear" w:color="auto" w:fill="auto"/>
            <w:tcMar>
              <w:top w:w="20" w:type="dxa"/>
              <w:left w:w="20" w:type="dxa"/>
              <w:bottom w:w="20" w:type="dxa"/>
              <w:right w:w="20" w:type="dxa"/>
            </w:tcMar>
            <w:vAlign w:val="center"/>
          </w:tcPr>
          <w:p w14:paraId="3A9FBF32" w14:textId="77777777" w:rsidR="00464E99" w:rsidRPr="000D67C6" w:rsidRDefault="00532056" w:rsidP="00ED39A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8</w:t>
            </w:r>
          </w:p>
        </w:tc>
        <w:tc>
          <w:tcPr>
            <w:tcW w:w="236" w:type="dxa"/>
            <w:shd w:val="clear" w:color="auto" w:fill="auto"/>
            <w:tcMar>
              <w:top w:w="20" w:type="dxa"/>
              <w:left w:w="20" w:type="dxa"/>
              <w:bottom w:w="20" w:type="dxa"/>
              <w:right w:w="20" w:type="dxa"/>
            </w:tcMar>
            <w:vAlign w:val="center"/>
          </w:tcPr>
          <w:p w14:paraId="1D76BA55" w14:textId="77777777" w:rsidR="00464E99" w:rsidRPr="000D67C6" w:rsidRDefault="008F013B" w:rsidP="00ED39A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shd w:val="clear" w:color="auto" w:fill="auto"/>
            <w:tcMar>
              <w:top w:w="20" w:type="dxa"/>
              <w:left w:w="20" w:type="dxa"/>
              <w:bottom w:w="20" w:type="dxa"/>
              <w:right w:w="20" w:type="dxa"/>
            </w:tcMar>
            <w:vAlign w:val="center"/>
          </w:tcPr>
          <w:p w14:paraId="6ED70832" w14:textId="77777777" w:rsidR="00464E99" w:rsidRPr="000D67C6" w:rsidRDefault="008F013B" w:rsidP="00B90A53">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65" w:type="dxa"/>
            <w:shd w:val="clear" w:color="auto" w:fill="auto"/>
            <w:tcMar>
              <w:top w:w="20" w:type="dxa"/>
              <w:left w:w="20" w:type="dxa"/>
              <w:bottom w:w="20" w:type="dxa"/>
              <w:right w:w="20" w:type="dxa"/>
            </w:tcMar>
            <w:vAlign w:val="center"/>
          </w:tcPr>
          <w:p w14:paraId="4A6264A5" w14:textId="77777777" w:rsidR="00464E99" w:rsidRPr="000D67C6" w:rsidRDefault="00532056" w:rsidP="00ED39A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9</w:t>
            </w:r>
          </w:p>
        </w:tc>
      </w:tr>
      <w:tr w:rsidR="00464E99" w:rsidRPr="000D67C6" w14:paraId="6A9423DF" w14:textId="77777777" w:rsidTr="00ED39AD">
        <w:trPr>
          <w:trHeight w:val="255"/>
        </w:trPr>
        <w:tc>
          <w:tcPr>
            <w:tcW w:w="1924" w:type="dxa"/>
            <w:tcBorders>
              <w:bottom w:val="single" w:sz="2" w:space="0" w:color="000000"/>
            </w:tcBorders>
            <w:shd w:val="clear" w:color="auto" w:fill="auto"/>
            <w:tcMar>
              <w:top w:w="20" w:type="dxa"/>
              <w:left w:w="20" w:type="dxa"/>
              <w:bottom w:w="20" w:type="dxa"/>
              <w:right w:w="20" w:type="dxa"/>
            </w:tcMar>
          </w:tcPr>
          <w:p w14:paraId="3078CF32"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6" w:type="dxa"/>
            <w:tcBorders>
              <w:bottom w:val="single" w:sz="2" w:space="0" w:color="000000"/>
            </w:tcBorders>
            <w:shd w:val="clear" w:color="auto" w:fill="auto"/>
            <w:tcMar>
              <w:top w:w="20" w:type="dxa"/>
              <w:left w:w="20" w:type="dxa"/>
              <w:bottom w:w="20" w:type="dxa"/>
              <w:right w:w="20" w:type="dxa"/>
            </w:tcMar>
          </w:tcPr>
          <w:p w14:paraId="25B176C6"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tcBorders>
              <w:bottom w:val="single" w:sz="2" w:space="0" w:color="000000"/>
            </w:tcBorders>
            <w:shd w:val="clear" w:color="auto" w:fill="auto"/>
            <w:tcMar>
              <w:top w:w="20" w:type="dxa"/>
              <w:left w:w="20" w:type="dxa"/>
              <w:bottom w:w="20" w:type="dxa"/>
              <w:right w:w="20" w:type="dxa"/>
            </w:tcMar>
          </w:tcPr>
          <w:p w14:paraId="242659F5"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65" w:type="dxa"/>
            <w:tcBorders>
              <w:bottom w:val="single" w:sz="2" w:space="0" w:color="000000"/>
            </w:tcBorders>
            <w:shd w:val="clear" w:color="auto" w:fill="auto"/>
            <w:tcMar>
              <w:top w:w="20" w:type="dxa"/>
              <w:left w:w="20" w:type="dxa"/>
              <w:bottom w:w="20" w:type="dxa"/>
              <w:right w:w="20" w:type="dxa"/>
            </w:tcMar>
          </w:tcPr>
          <w:p w14:paraId="6E55BF2D"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170BB6" w:rsidRPr="000D67C6" w14:paraId="3D9C5961" w14:textId="77777777" w:rsidTr="00775636">
        <w:trPr>
          <w:trHeight w:val="255"/>
        </w:trPr>
        <w:tc>
          <w:tcPr>
            <w:tcW w:w="1924" w:type="dxa"/>
            <w:shd w:val="clear" w:color="auto" w:fill="auto"/>
            <w:tcMar>
              <w:top w:w="20" w:type="dxa"/>
              <w:left w:w="20" w:type="dxa"/>
              <w:bottom w:w="20" w:type="dxa"/>
              <w:right w:w="20" w:type="dxa"/>
            </w:tcMar>
            <w:vAlign w:val="center"/>
          </w:tcPr>
          <w:p w14:paraId="50310C09" w14:textId="77777777" w:rsidR="00170BB6" w:rsidRPr="000D67C6" w:rsidRDefault="00170BB6" w:rsidP="008F013B">
            <w:pPr>
              <w:pStyle w:val="T1TableStyle"/>
              <w:jc w:val="right"/>
              <w:rPr>
                <w:rFonts w:ascii="Arial" w:eastAsia="Verdana" w:hAnsi="Arial" w:cs="Arial"/>
                <w:sz w:val="22"/>
                <w:szCs w:val="22"/>
                <w:lang w:val="en-GB"/>
              </w:rPr>
            </w:pPr>
          </w:p>
        </w:tc>
        <w:tc>
          <w:tcPr>
            <w:tcW w:w="236" w:type="dxa"/>
            <w:shd w:val="clear" w:color="auto" w:fill="auto"/>
            <w:tcMar>
              <w:top w:w="20" w:type="dxa"/>
              <w:left w:w="20" w:type="dxa"/>
              <w:bottom w:w="20" w:type="dxa"/>
              <w:right w:w="20" w:type="dxa"/>
            </w:tcMar>
            <w:vAlign w:val="center"/>
          </w:tcPr>
          <w:p w14:paraId="04A78FF0" w14:textId="77777777" w:rsidR="00170BB6" w:rsidRPr="000D67C6" w:rsidRDefault="00170BB6" w:rsidP="008F013B">
            <w:pPr>
              <w:pStyle w:val="T1TableStyle"/>
              <w:jc w:val="center"/>
              <w:rPr>
                <w:rFonts w:ascii="Arial" w:eastAsia="Verdana" w:hAnsi="Arial" w:cs="Arial"/>
                <w:sz w:val="22"/>
                <w:szCs w:val="22"/>
                <w:lang w:val="en-GB"/>
              </w:rPr>
            </w:pPr>
          </w:p>
        </w:tc>
        <w:tc>
          <w:tcPr>
            <w:tcW w:w="4800" w:type="dxa"/>
            <w:shd w:val="clear" w:color="auto" w:fill="auto"/>
            <w:tcMar>
              <w:top w:w="20" w:type="dxa"/>
              <w:left w:w="20" w:type="dxa"/>
              <w:bottom w:w="20" w:type="dxa"/>
              <w:right w:w="20" w:type="dxa"/>
            </w:tcMar>
            <w:vAlign w:val="center"/>
          </w:tcPr>
          <w:p w14:paraId="2B49956C" w14:textId="77777777" w:rsidR="00170BB6" w:rsidRPr="000D67C6" w:rsidRDefault="00170BB6" w:rsidP="008F013B">
            <w:pPr>
              <w:pStyle w:val="T1TableStyle"/>
              <w:rPr>
                <w:rFonts w:ascii="Arial" w:eastAsia="Verdana" w:hAnsi="Arial" w:cs="Arial"/>
                <w:sz w:val="22"/>
                <w:szCs w:val="22"/>
                <w:lang w:val="en-GB"/>
              </w:rPr>
            </w:pPr>
            <w:r w:rsidRPr="000D67C6">
              <w:rPr>
                <w:rFonts w:ascii="Arial" w:eastAsia="Verdana" w:hAnsi="Arial" w:cs="Arial"/>
                <w:sz w:val="22"/>
                <w:szCs w:val="22"/>
                <w:lang w:val="en-GB"/>
              </w:rPr>
              <w:t>Welsh Government:</w:t>
            </w:r>
          </w:p>
        </w:tc>
        <w:tc>
          <w:tcPr>
            <w:tcW w:w="1965" w:type="dxa"/>
            <w:shd w:val="clear" w:color="auto" w:fill="auto"/>
            <w:tcMar>
              <w:top w:w="20" w:type="dxa"/>
              <w:left w:w="20" w:type="dxa"/>
              <w:bottom w:w="20" w:type="dxa"/>
              <w:right w:w="20" w:type="dxa"/>
            </w:tcMar>
            <w:vAlign w:val="center"/>
          </w:tcPr>
          <w:p w14:paraId="40F622A8" w14:textId="77777777" w:rsidR="00170BB6" w:rsidRPr="000D67C6" w:rsidRDefault="00170BB6" w:rsidP="008F013B">
            <w:pPr>
              <w:pStyle w:val="T1TableStyle"/>
              <w:jc w:val="right"/>
              <w:rPr>
                <w:rFonts w:ascii="Arial" w:eastAsia="Verdana" w:hAnsi="Arial" w:cs="Arial"/>
                <w:sz w:val="22"/>
                <w:szCs w:val="22"/>
                <w:lang w:val="en-GB"/>
              </w:rPr>
            </w:pPr>
          </w:p>
        </w:tc>
      </w:tr>
      <w:tr w:rsidR="00F20D20" w:rsidRPr="000D67C6" w14:paraId="6CE544CF" w14:textId="77777777" w:rsidTr="00775636">
        <w:trPr>
          <w:trHeight w:val="255"/>
        </w:trPr>
        <w:tc>
          <w:tcPr>
            <w:tcW w:w="1924" w:type="dxa"/>
            <w:shd w:val="clear" w:color="auto" w:fill="auto"/>
            <w:tcMar>
              <w:top w:w="20" w:type="dxa"/>
              <w:left w:w="20" w:type="dxa"/>
              <w:bottom w:w="20" w:type="dxa"/>
              <w:right w:w="20" w:type="dxa"/>
            </w:tcMar>
            <w:vAlign w:val="center"/>
          </w:tcPr>
          <w:p w14:paraId="321DA99E"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(102)</w:t>
            </w:r>
          </w:p>
        </w:tc>
        <w:tc>
          <w:tcPr>
            <w:tcW w:w="236" w:type="dxa"/>
            <w:shd w:val="clear" w:color="auto" w:fill="auto"/>
            <w:tcMar>
              <w:top w:w="20" w:type="dxa"/>
              <w:left w:w="20" w:type="dxa"/>
              <w:bottom w:w="20" w:type="dxa"/>
              <w:right w:w="20" w:type="dxa"/>
            </w:tcMar>
            <w:vAlign w:val="center"/>
          </w:tcPr>
          <w:p w14:paraId="3700E1E6"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37E703AE"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Arson Reduction</w:t>
            </w:r>
          </w:p>
        </w:tc>
        <w:tc>
          <w:tcPr>
            <w:tcW w:w="1965" w:type="dxa"/>
            <w:shd w:val="clear" w:color="auto" w:fill="auto"/>
            <w:tcMar>
              <w:top w:w="20" w:type="dxa"/>
              <w:left w:w="20" w:type="dxa"/>
              <w:bottom w:w="20" w:type="dxa"/>
              <w:right w:w="20" w:type="dxa"/>
            </w:tcMar>
            <w:vAlign w:val="center"/>
          </w:tcPr>
          <w:p w14:paraId="3484FCDC" w14:textId="77777777" w:rsidR="00F20D20" w:rsidRPr="000D67C6" w:rsidRDefault="009E73F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(110)</w:t>
            </w:r>
          </w:p>
        </w:tc>
      </w:tr>
      <w:tr w:rsidR="00F20D20" w:rsidRPr="000D67C6" w14:paraId="32603EE4" w14:textId="77777777" w:rsidTr="00775636">
        <w:trPr>
          <w:trHeight w:val="255"/>
        </w:trPr>
        <w:tc>
          <w:tcPr>
            <w:tcW w:w="1924" w:type="dxa"/>
            <w:shd w:val="clear" w:color="auto" w:fill="auto"/>
            <w:tcMar>
              <w:top w:w="20" w:type="dxa"/>
              <w:left w:w="20" w:type="dxa"/>
              <w:bottom w:w="20" w:type="dxa"/>
              <w:right w:w="20" w:type="dxa"/>
            </w:tcMar>
            <w:vAlign w:val="center"/>
          </w:tcPr>
          <w:p w14:paraId="328D9E94"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(337)</w:t>
            </w:r>
          </w:p>
        </w:tc>
        <w:tc>
          <w:tcPr>
            <w:tcW w:w="236" w:type="dxa"/>
            <w:shd w:val="clear" w:color="auto" w:fill="auto"/>
            <w:tcMar>
              <w:top w:w="20" w:type="dxa"/>
              <w:left w:w="20" w:type="dxa"/>
              <w:bottom w:w="20" w:type="dxa"/>
              <w:right w:w="20" w:type="dxa"/>
            </w:tcMar>
            <w:vAlign w:val="center"/>
          </w:tcPr>
          <w:p w14:paraId="7E096476" w14:textId="77777777" w:rsidR="00F20D20" w:rsidRPr="000D67C6" w:rsidRDefault="00F20D20" w:rsidP="00F20D20">
            <w:pPr>
              <w:pStyle w:val="T1TableStyle"/>
              <w:jc w:val="center"/>
              <w:rPr>
                <w:rFonts w:ascii="Arial" w:eastAsia="Verdana" w:hAnsi="Arial" w:cs="Arial"/>
                <w:sz w:val="22"/>
                <w:szCs w:val="22"/>
                <w:lang w:val="en-GB"/>
              </w:rPr>
            </w:pPr>
          </w:p>
        </w:tc>
        <w:tc>
          <w:tcPr>
            <w:tcW w:w="4800" w:type="dxa"/>
            <w:shd w:val="clear" w:color="auto" w:fill="auto"/>
            <w:tcMar>
              <w:top w:w="20" w:type="dxa"/>
              <w:left w:w="20" w:type="dxa"/>
              <w:bottom w:w="20" w:type="dxa"/>
              <w:right w:w="20" w:type="dxa"/>
            </w:tcMar>
            <w:vAlign w:val="center"/>
          </w:tcPr>
          <w:p w14:paraId="495FF4C2"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Home Safety Equipment</w:t>
            </w:r>
          </w:p>
        </w:tc>
        <w:tc>
          <w:tcPr>
            <w:tcW w:w="1965" w:type="dxa"/>
            <w:shd w:val="clear" w:color="auto" w:fill="auto"/>
            <w:tcMar>
              <w:top w:w="20" w:type="dxa"/>
              <w:left w:w="20" w:type="dxa"/>
              <w:bottom w:w="20" w:type="dxa"/>
              <w:right w:w="20" w:type="dxa"/>
            </w:tcMar>
            <w:vAlign w:val="center"/>
          </w:tcPr>
          <w:p w14:paraId="013D93EB" w14:textId="77777777" w:rsidR="00F20D20" w:rsidRPr="000D67C6" w:rsidRDefault="009E73F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(250)</w:t>
            </w:r>
          </w:p>
        </w:tc>
      </w:tr>
      <w:tr w:rsidR="00F20D20" w:rsidRPr="000D67C6" w14:paraId="24547EA2" w14:textId="77777777" w:rsidTr="00775636">
        <w:trPr>
          <w:trHeight w:val="255"/>
        </w:trPr>
        <w:tc>
          <w:tcPr>
            <w:tcW w:w="1924" w:type="dxa"/>
            <w:shd w:val="clear" w:color="auto" w:fill="auto"/>
            <w:tcMar>
              <w:top w:w="20" w:type="dxa"/>
              <w:left w:w="20" w:type="dxa"/>
              <w:bottom w:w="20" w:type="dxa"/>
              <w:right w:w="20" w:type="dxa"/>
            </w:tcMar>
            <w:vAlign w:val="center"/>
          </w:tcPr>
          <w:p w14:paraId="3159843A"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(123)</w:t>
            </w:r>
          </w:p>
        </w:tc>
        <w:tc>
          <w:tcPr>
            <w:tcW w:w="236" w:type="dxa"/>
            <w:shd w:val="clear" w:color="auto" w:fill="auto"/>
            <w:tcMar>
              <w:top w:w="20" w:type="dxa"/>
              <w:left w:w="20" w:type="dxa"/>
              <w:bottom w:w="20" w:type="dxa"/>
              <w:right w:w="20" w:type="dxa"/>
            </w:tcMar>
            <w:vAlign w:val="center"/>
          </w:tcPr>
          <w:p w14:paraId="52326A6A" w14:textId="77777777" w:rsidR="00F20D20" w:rsidRPr="000D67C6" w:rsidRDefault="00F20D20" w:rsidP="00F20D20">
            <w:pPr>
              <w:pStyle w:val="T1TableStyle"/>
              <w:jc w:val="center"/>
              <w:rPr>
                <w:rFonts w:ascii="Arial" w:eastAsia="Verdana" w:hAnsi="Arial" w:cs="Arial"/>
                <w:sz w:val="22"/>
                <w:szCs w:val="22"/>
                <w:lang w:val="en-GB"/>
              </w:rPr>
            </w:pPr>
          </w:p>
        </w:tc>
        <w:tc>
          <w:tcPr>
            <w:tcW w:w="4800" w:type="dxa"/>
            <w:shd w:val="clear" w:color="auto" w:fill="auto"/>
            <w:tcMar>
              <w:top w:w="20" w:type="dxa"/>
              <w:left w:w="20" w:type="dxa"/>
              <w:bottom w:w="20" w:type="dxa"/>
              <w:right w:w="20" w:type="dxa"/>
            </w:tcMar>
            <w:vAlign w:val="center"/>
          </w:tcPr>
          <w:p w14:paraId="732955AF"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Other Community Safety</w:t>
            </w:r>
          </w:p>
        </w:tc>
        <w:tc>
          <w:tcPr>
            <w:tcW w:w="1965" w:type="dxa"/>
            <w:shd w:val="clear" w:color="auto" w:fill="auto"/>
            <w:tcMar>
              <w:top w:w="20" w:type="dxa"/>
              <w:left w:w="20" w:type="dxa"/>
              <w:bottom w:w="20" w:type="dxa"/>
              <w:right w:w="20" w:type="dxa"/>
            </w:tcMar>
            <w:vAlign w:val="center"/>
          </w:tcPr>
          <w:p w14:paraId="13C915C2" w14:textId="77777777" w:rsidR="00F20D20" w:rsidRPr="000D67C6" w:rsidRDefault="000F3CAD"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w:t>
            </w:r>
            <w:r w:rsidR="000407C8" w:rsidRPr="000D67C6">
              <w:rPr>
                <w:rFonts w:ascii="Arial" w:eastAsia="Verdana" w:hAnsi="Arial" w:cs="Arial"/>
                <w:sz w:val="22"/>
                <w:szCs w:val="22"/>
                <w:lang w:val="en-GB"/>
              </w:rPr>
              <w:t>7</w:t>
            </w:r>
            <w:r w:rsidRPr="000D67C6">
              <w:rPr>
                <w:rFonts w:ascii="Arial" w:eastAsia="Verdana" w:hAnsi="Arial" w:cs="Arial"/>
                <w:sz w:val="22"/>
                <w:szCs w:val="22"/>
                <w:lang w:val="en-GB"/>
              </w:rPr>
              <w:t>)</w:t>
            </w:r>
          </w:p>
        </w:tc>
      </w:tr>
      <w:tr w:rsidR="00F20D20" w:rsidRPr="000D67C6" w14:paraId="472D0B55" w14:textId="77777777" w:rsidTr="00775636">
        <w:trPr>
          <w:trHeight w:val="255"/>
        </w:trPr>
        <w:tc>
          <w:tcPr>
            <w:tcW w:w="1924" w:type="dxa"/>
            <w:shd w:val="clear" w:color="auto" w:fill="auto"/>
            <w:tcMar>
              <w:top w:w="20" w:type="dxa"/>
              <w:left w:w="20" w:type="dxa"/>
              <w:bottom w:w="20" w:type="dxa"/>
              <w:right w:w="20" w:type="dxa"/>
            </w:tcMar>
            <w:vAlign w:val="center"/>
          </w:tcPr>
          <w:p w14:paraId="588AC772"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(734)</w:t>
            </w:r>
          </w:p>
        </w:tc>
        <w:tc>
          <w:tcPr>
            <w:tcW w:w="236" w:type="dxa"/>
            <w:shd w:val="clear" w:color="auto" w:fill="auto"/>
            <w:tcMar>
              <w:top w:w="20" w:type="dxa"/>
              <w:left w:w="20" w:type="dxa"/>
              <w:bottom w:w="20" w:type="dxa"/>
              <w:right w:w="20" w:type="dxa"/>
            </w:tcMar>
            <w:vAlign w:val="center"/>
          </w:tcPr>
          <w:p w14:paraId="5F123BE6"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5990DE70"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New Dimensions</w:t>
            </w:r>
            <w:r w:rsidR="00811082" w:rsidRPr="000D67C6">
              <w:rPr>
                <w:rFonts w:ascii="Arial" w:eastAsia="Verdana" w:hAnsi="Arial" w:cs="Arial"/>
                <w:sz w:val="22"/>
                <w:szCs w:val="22"/>
                <w:lang w:val="en-GB"/>
              </w:rPr>
              <w:t>,</w:t>
            </w:r>
            <w:r w:rsidR="003814AF" w:rsidRPr="000D67C6">
              <w:rPr>
                <w:rFonts w:ascii="Arial" w:eastAsia="Verdana" w:hAnsi="Arial" w:cs="Arial"/>
                <w:sz w:val="22"/>
                <w:szCs w:val="22"/>
                <w:lang w:val="en-GB"/>
              </w:rPr>
              <w:t xml:space="preserve"> </w:t>
            </w:r>
            <w:r w:rsidRPr="000D67C6">
              <w:rPr>
                <w:rFonts w:ascii="Arial" w:eastAsia="Verdana" w:hAnsi="Arial" w:cs="Arial"/>
                <w:sz w:val="22"/>
                <w:szCs w:val="22"/>
                <w:lang w:val="en-GB"/>
              </w:rPr>
              <w:t xml:space="preserve">USAR </w:t>
            </w:r>
            <w:r w:rsidR="009D2953" w:rsidRPr="000D67C6">
              <w:rPr>
                <w:rFonts w:ascii="Arial" w:eastAsia="Verdana" w:hAnsi="Arial" w:cs="Arial"/>
                <w:sz w:val="22"/>
                <w:szCs w:val="22"/>
                <w:lang w:val="en-GB"/>
              </w:rPr>
              <w:t xml:space="preserve">and MTFA </w:t>
            </w:r>
          </w:p>
        </w:tc>
        <w:tc>
          <w:tcPr>
            <w:tcW w:w="1965" w:type="dxa"/>
            <w:shd w:val="clear" w:color="auto" w:fill="auto"/>
            <w:tcMar>
              <w:top w:w="20" w:type="dxa"/>
              <w:left w:w="20" w:type="dxa"/>
              <w:bottom w:w="20" w:type="dxa"/>
              <w:right w:w="20" w:type="dxa"/>
            </w:tcMar>
            <w:vAlign w:val="center"/>
          </w:tcPr>
          <w:p w14:paraId="25B26081" w14:textId="77777777" w:rsidR="00F20D20" w:rsidRPr="000D67C6" w:rsidRDefault="00472412"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(68</w:t>
            </w:r>
            <w:r w:rsidR="00E40E63" w:rsidRPr="000D67C6">
              <w:rPr>
                <w:rFonts w:ascii="Arial" w:eastAsia="Verdana" w:hAnsi="Arial" w:cs="Arial"/>
                <w:sz w:val="22"/>
                <w:szCs w:val="22"/>
                <w:lang w:val="en-GB"/>
              </w:rPr>
              <w:t>7</w:t>
            </w:r>
            <w:r w:rsidRPr="000D67C6">
              <w:rPr>
                <w:rFonts w:ascii="Arial" w:eastAsia="Verdana" w:hAnsi="Arial" w:cs="Arial"/>
                <w:sz w:val="22"/>
                <w:szCs w:val="22"/>
                <w:lang w:val="en-GB"/>
              </w:rPr>
              <w:t>)</w:t>
            </w:r>
          </w:p>
        </w:tc>
      </w:tr>
      <w:tr w:rsidR="00F20D20" w:rsidRPr="000D67C6" w14:paraId="513CFEDB" w14:textId="77777777" w:rsidTr="00775636">
        <w:trPr>
          <w:trHeight w:val="255"/>
        </w:trPr>
        <w:tc>
          <w:tcPr>
            <w:tcW w:w="1924" w:type="dxa"/>
            <w:shd w:val="clear" w:color="auto" w:fill="auto"/>
            <w:tcMar>
              <w:top w:w="20" w:type="dxa"/>
              <w:left w:w="20" w:type="dxa"/>
              <w:bottom w:w="20" w:type="dxa"/>
              <w:right w:w="20" w:type="dxa"/>
            </w:tcMar>
            <w:vAlign w:val="center"/>
          </w:tcPr>
          <w:p w14:paraId="261886E2"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(592)</w:t>
            </w:r>
          </w:p>
        </w:tc>
        <w:tc>
          <w:tcPr>
            <w:tcW w:w="236" w:type="dxa"/>
            <w:shd w:val="clear" w:color="auto" w:fill="auto"/>
            <w:tcMar>
              <w:top w:w="20" w:type="dxa"/>
              <w:left w:w="20" w:type="dxa"/>
              <w:bottom w:w="20" w:type="dxa"/>
              <w:right w:w="20" w:type="dxa"/>
            </w:tcMar>
            <w:vAlign w:val="center"/>
          </w:tcPr>
          <w:p w14:paraId="15FB5F20"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677D0BFD" w14:textId="77777777" w:rsidR="00F20D20" w:rsidRPr="000D67C6" w:rsidRDefault="009D2953"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Ai</w:t>
            </w:r>
            <w:r w:rsidR="003814AF" w:rsidRPr="000D67C6">
              <w:rPr>
                <w:rFonts w:ascii="Arial" w:eastAsia="Verdana" w:hAnsi="Arial" w:cs="Arial"/>
                <w:sz w:val="22"/>
                <w:szCs w:val="22"/>
                <w:lang w:val="en-GB"/>
              </w:rPr>
              <w:t>r</w:t>
            </w:r>
            <w:r w:rsidRPr="000D67C6">
              <w:rPr>
                <w:rFonts w:ascii="Arial" w:eastAsia="Verdana" w:hAnsi="Arial" w:cs="Arial"/>
                <w:sz w:val="22"/>
                <w:szCs w:val="22"/>
                <w:lang w:val="en-GB"/>
              </w:rPr>
              <w:t>wave (</w:t>
            </w:r>
            <w:r w:rsidR="00F20D20" w:rsidRPr="000D67C6">
              <w:rPr>
                <w:rFonts w:ascii="Arial" w:eastAsia="Verdana" w:hAnsi="Arial" w:cs="Arial"/>
                <w:sz w:val="22"/>
                <w:szCs w:val="22"/>
                <w:lang w:val="en-GB"/>
              </w:rPr>
              <w:t>Fire</w:t>
            </w:r>
            <w:r w:rsidRPr="000D67C6">
              <w:rPr>
                <w:rFonts w:ascii="Arial" w:eastAsia="Verdana" w:hAnsi="Arial" w:cs="Arial"/>
                <w:sz w:val="22"/>
                <w:szCs w:val="22"/>
                <w:lang w:val="en-GB"/>
              </w:rPr>
              <w:t>l</w:t>
            </w:r>
            <w:r w:rsidR="00F20D20" w:rsidRPr="000D67C6">
              <w:rPr>
                <w:rFonts w:ascii="Arial" w:eastAsia="Verdana" w:hAnsi="Arial" w:cs="Arial"/>
                <w:sz w:val="22"/>
                <w:szCs w:val="22"/>
                <w:lang w:val="en-GB"/>
              </w:rPr>
              <w:t>ink</w:t>
            </w:r>
            <w:r w:rsidRPr="000D67C6">
              <w:rPr>
                <w:rFonts w:ascii="Arial" w:eastAsia="Verdana" w:hAnsi="Arial" w:cs="Arial"/>
                <w:sz w:val="22"/>
                <w:szCs w:val="22"/>
                <w:lang w:val="en-GB"/>
              </w:rPr>
              <w:t>)</w:t>
            </w:r>
          </w:p>
        </w:tc>
        <w:tc>
          <w:tcPr>
            <w:tcW w:w="1965" w:type="dxa"/>
            <w:shd w:val="clear" w:color="auto" w:fill="auto"/>
            <w:tcMar>
              <w:top w:w="20" w:type="dxa"/>
              <w:left w:w="20" w:type="dxa"/>
              <w:bottom w:w="20" w:type="dxa"/>
              <w:right w:w="20" w:type="dxa"/>
            </w:tcMar>
            <w:vAlign w:val="center"/>
          </w:tcPr>
          <w:p w14:paraId="4341E00C" w14:textId="77777777" w:rsidR="00F20D20" w:rsidRPr="000D67C6" w:rsidRDefault="009E73F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(592)</w:t>
            </w:r>
          </w:p>
        </w:tc>
      </w:tr>
      <w:tr w:rsidR="00F20D20" w:rsidRPr="000D67C6" w14:paraId="55EC8963" w14:textId="77777777" w:rsidTr="00775636">
        <w:trPr>
          <w:trHeight w:val="255"/>
        </w:trPr>
        <w:tc>
          <w:tcPr>
            <w:tcW w:w="1924" w:type="dxa"/>
            <w:shd w:val="clear" w:color="auto" w:fill="auto"/>
            <w:tcMar>
              <w:top w:w="20" w:type="dxa"/>
              <w:left w:w="20" w:type="dxa"/>
              <w:bottom w:w="20" w:type="dxa"/>
              <w:right w:w="20" w:type="dxa"/>
            </w:tcMar>
            <w:vAlign w:val="center"/>
          </w:tcPr>
          <w:p w14:paraId="2C09F0E0"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(110)</w:t>
            </w:r>
          </w:p>
        </w:tc>
        <w:tc>
          <w:tcPr>
            <w:tcW w:w="236" w:type="dxa"/>
            <w:shd w:val="clear" w:color="auto" w:fill="auto"/>
            <w:tcMar>
              <w:top w:w="20" w:type="dxa"/>
              <w:left w:w="20" w:type="dxa"/>
              <w:bottom w:w="20" w:type="dxa"/>
              <w:right w:w="20" w:type="dxa"/>
            </w:tcMar>
            <w:vAlign w:val="center"/>
          </w:tcPr>
          <w:p w14:paraId="146A88A3"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56087EB9"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Joint </w:t>
            </w:r>
            <w:r w:rsidR="009D2953" w:rsidRPr="000D67C6">
              <w:rPr>
                <w:rFonts w:ascii="Arial" w:eastAsia="Verdana" w:hAnsi="Arial" w:cs="Arial"/>
                <w:sz w:val="22"/>
                <w:szCs w:val="22"/>
                <w:lang w:val="en-GB"/>
              </w:rPr>
              <w:t>E</w:t>
            </w:r>
            <w:r w:rsidRPr="000D67C6">
              <w:rPr>
                <w:rFonts w:ascii="Arial" w:eastAsia="Verdana" w:hAnsi="Arial" w:cs="Arial"/>
                <w:sz w:val="22"/>
                <w:szCs w:val="22"/>
                <w:lang w:val="en-GB"/>
              </w:rPr>
              <w:t>mergency Services Group</w:t>
            </w:r>
          </w:p>
        </w:tc>
        <w:tc>
          <w:tcPr>
            <w:tcW w:w="1965" w:type="dxa"/>
            <w:shd w:val="clear" w:color="auto" w:fill="auto"/>
            <w:tcMar>
              <w:top w:w="20" w:type="dxa"/>
              <w:left w:w="20" w:type="dxa"/>
              <w:bottom w:w="20" w:type="dxa"/>
              <w:right w:w="20" w:type="dxa"/>
            </w:tcMar>
            <w:vAlign w:val="center"/>
          </w:tcPr>
          <w:p w14:paraId="1EF2712D" w14:textId="77777777" w:rsidR="00F20D20" w:rsidRPr="000D67C6" w:rsidRDefault="009E73F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(240)</w:t>
            </w:r>
          </w:p>
        </w:tc>
      </w:tr>
      <w:tr w:rsidR="00F20D20" w:rsidRPr="000D67C6" w14:paraId="19B9FFF0" w14:textId="77777777" w:rsidTr="00775636">
        <w:trPr>
          <w:trHeight w:val="255"/>
        </w:trPr>
        <w:tc>
          <w:tcPr>
            <w:tcW w:w="1924" w:type="dxa"/>
            <w:shd w:val="clear" w:color="auto" w:fill="auto"/>
            <w:tcMar>
              <w:top w:w="20" w:type="dxa"/>
              <w:left w:w="20" w:type="dxa"/>
              <w:bottom w:w="20" w:type="dxa"/>
              <w:right w:w="20" w:type="dxa"/>
            </w:tcMar>
            <w:vAlign w:val="center"/>
          </w:tcPr>
          <w:p w14:paraId="6E5F8416"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6" w:type="dxa"/>
            <w:shd w:val="clear" w:color="auto" w:fill="auto"/>
            <w:tcMar>
              <w:top w:w="20" w:type="dxa"/>
              <w:left w:w="20" w:type="dxa"/>
              <w:bottom w:w="20" w:type="dxa"/>
              <w:right w:w="20" w:type="dxa"/>
            </w:tcMar>
            <w:vAlign w:val="center"/>
          </w:tcPr>
          <w:p w14:paraId="615B3A20"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03D1BA77"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Other *</w:t>
            </w:r>
          </w:p>
        </w:tc>
        <w:tc>
          <w:tcPr>
            <w:tcW w:w="1965" w:type="dxa"/>
            <w:shd w:val="clear" w:color="auto" w:fill="auto"/>
            <w:tcMar>
              <w:top w:w="20" w:type="dxa"/>
              <w:left w:w="20" w:type="dxa"/>
              <w:bottom w:w="20" w:type="dxa"/>
              <w:right w:w="20" w:type="dxa"/>
            </w:tcMar>
            <w:vAlign w:val="center"/>
          </w:tcPr>
          <w:p w14:paraId="1FEB1CBB" w14:textId="77777777" w:rsidR="00F20D20" w:rsidRPr="000D67C6" w:rsidRDefault="009E73F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(17</w:t>
            </w:r>
            <w:r w:rsidR="00E40E63" w:rsidRPr="000D67C6">
              <w:rPr>
                <w:rFonts w:ascii="Arial" w:eastAsia="Verdana" w:hAnsi="Arial" w:cs="Arial"/>
                <w:sz w:val="22"/>
                <w:szCs w:val="22"/>
                <w:lang w:val="en-GB"/>
              </w:rPr>
              <w:t>4</w:t>
            </w:r>
            <w:r w:rsidRPr="000D67C6">
              <w:rPr>
                <w:rFonts w:ascii="Arial" w:eastAsia="Verdana" w:hAnsi="Arial" w:cs="Arial"/>
                <w:sz w:val="22"/>
                <w:szCs w:val="22"/>
                <w:lang w:val="en-GB"/>
              </w:rPr>
              <w:t>)</w:t>
            </w:r>
          </w:p>
        </w:tc>
      </w:tr>
      <w:tr w:rsidR="00F20D20" w:rsidRPr="000D67C6" w14:paraId="66BAB7D5" w14:textId="77777777" w:rsidTr="00775636">
        <w:trPr>
          <w:trHeight w:val="340"/>
        </w:trPr>
        <w:tc>
          <w:tcPr>
            <w:tcW w:w="192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F9C510A" w14:textId="77777777" w:rsidR="00F20D20" w:rsidRPr="000D67C6" w:rsidRDefault="00F20D20"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(1,998)</w:t>
            </w:r>
          </w:p>
        </w:tc>
        <w:tc>
          <w:tcPr>
            <w:tcW w:w="23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DD9E9B" w14:textId="77777777" w:rsidR="00F20D20" w:rsidRPr="000D67C6" w:rsidRDefault="00F20D20" w:rsidP="00F20D2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31AA66F"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96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06FA932" w14:textId="77777777" w:rsidR="00F20D20" w:rsidRPr="000D67C6" w:rsidRDefault="00472412"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(2,1</w:t>
            </w:r>
            <w:r w:rsidR="0060633B" w:rsidRPr="000D67C6">
              <w:rPr>
                <w:rFonts w:ascii="Arial" w:eastAsia="Verdana" w:hAnsi="Arial" w:cs="Arial"/>
                <w:b/>
                <w:sz w:val="22"/>
                <w:szCs w:val="22"/>
                <w:lang w:val="en-GB"/>
              </w:rPr>
              <w:t>70</w:t>
            </w:r>
            <w:r w:rsidRPr="000D67C6">
              <w:rPr>
                <w:rFonts w:ascii="Arial" w:eastAsia="Verdana" w:hAnsi="Arial" w:cs="Arial"/>
                <w:b/>
                <w:sz w:val="22"/>
                <w:szCs w:val="22"/>
                <w:lang w:val="en-GB"/>
              </w:rPr>
              <w:t>)</w:t>
            </w:r>
          </w:p>
        </w:tc>
      </w:tr>
      <w:bookmarkEnd w:id="5"/>
    </w:tbl>
    <w:p w14:paraId="242B49F6" w14:textId="77777777" w:rsidR="00C73EA2" w:rsidRPr="000D67C6" w:rsidRDefault="00C73EA2" w:rsidP="004F23AA">
      <w:pPr>
        <w:jc w:val="both"/>
        <w:rPr>
          <w:rFonts w:ascii="Arial" w:eastAsia="Times New Roman" w:hAnsi="Arial" w:cs="Arial"/>
          <w:sz w:val="22"/>
          <w:szCs w:val="22"/>
          <w:lang w:val="en-GB" w:eastAsia="en-GB"/>
        </w:rPr>
      </w:pPr>
    </w:p>
    <w:p w14:paraId="2BC12534" w14:textId="77777777" w:rsidR="005F15F0" w:rsidRPr="000D67C6" w:rsidRDefault="00170BB6" w:rsidP="005F15F0">
      <w:pPr>
        <w:jc w:val="both"/>
        <w:rPr>
          <w:rFonts w:ascii="Arial" w:eastAsia="Times New Roman" w:hAnsi="Arial" w:cs="Arial"/>
          <w:sz w:val="22"/>
          <w:szCs w:val="22"/>
          <w:lang w:val="en-GB" w:eastAsia="en-GB"/>
        </w:rPr>
      </w:pPr>
      <w:r w:rsidRPr="000D67C6">
        <w:rPr>
          <w:rFonts w:ascii="Arial" w:eastAsia="Times New Roman" w:hAnsi="Arial" w:cs="Arial"/>
          <w:b/>
          <w:sz w:val="22"/>
          <w:szCs w:val="22"/>
          <w:lang w:val="en-GB" w:eastAsia="en-GB"/>
        </w:rPr>
        <w:t>*</w:t>
      </w:r>
      <w:r w:rsidRPr="000D67C6">
        <w:rPr>
          <w:rFonts w:ascii="Arial" w:eastAsia="Times New Roman" w:hAnsi="Arial" w:cs="Arial"/>
          <w:sz w:val="22"/>
          <w:szCs w:val="22"/>
          <w:lang w:val="en-GB" w:eastAsia="en-GB"/>
        </w:rPr>
        <w:t xml:space="preserve"> Other Grants (external funding) comprise funding for small, non-recurring projects.</w:t>
      </w:r>
    </w:p>
    <w:p w14:paraId="2BBD16A1" w14:textId="77777777" w:rsidR="005F15F0" w:rsidRPr="000D67C6" w:rsidRDefault="005F15F0" w:rsidP="005F15F0">
      <w:pPr>
        <w:jc w:val="both"/>
        <w:rPr>
          <w:rFonts w:ascii="Arial" w:eastAsia="Times New Roman" w:hAnsi="Arial" w:cs="Arial"/>
          <w:sz w:val="22"/>
          <w:szCs w:val="22"/>
          <w:lang w:val="en-GB" w:eastAsia="en-GB"/>
        </w:rPr>
      </w:pPr>
    </w:p>
    <w:p w14:paraId="1019F70F" w14:textId="77777777" w:rsidR="007F41C3" w:rsidRPr="000D67C6" w:rsidRDefault="00A82863" w:rsidP="005F15F0">
      <w:pPr>
        <w:jc w:val="both"/>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In 2018/19 Mid and West Wales Fire and Rescue Authority co-ordinated the Home Safety grant of £893k and Arson Reduction grant of £369k on behalf of Welsh Government who therefore allocated £1,262k (£1,359k in 2017/18) to the three Fire Services in Wales.</w:t>
      </w:r>
    </w:p>
    <w:p w14:paraId="4F27A263" w14:textId="77777777" w:rsidR="00A82863" w:rsidRPr="000D67C6" w:rsidRDefault="00A82863" w:rsidP="005F15F0">
      <w:pPr>
        <w:jc w:val="both"/>
        <w:rPr>
          <w:rFonts w:ascii="Arial" w:eastAsia="Times New Roman" w:hAnsi="Arial" w:cs="Arial"/>
          <w:sz w:val="22"/>
          <w:szCs w:val="22"/>
          <w:lang w:val="en-GB" w:eastAsia="en-GB"/>
        </w:rPr>
      </w:pPr>
    </w:p>
    <w:p w14:paraId="3E8D82B0" w14:textId="785627BF" w:rsidR="009416C4" w:rsidRDefault="002F1E7B" w:rsidP="005F15F0">
      <w:pPr>
        <w:jc w:val="both"/>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The Authority acts as an agent on behalf of Welsh Government in administering </w:t>
      </w:r>
      <w:r w:rsidR="00B62822" w:rsidRPr="000D67C6">
        <w:rPr>
          <w:rFonts w:ascii="Arial" w:eastAsia="Times New Roman" w:hAnsi="Arial" w:cs="Arial"/>
          <w:sz w:val="22"/>
          <w:szCs w:val="22"/>
          <w:lang w:val="en-GB" w:eastAsia="en-GB"/>
        </w:rPr>
        <w:t xml:space="preserve">these </w:t>
      </w:r>
      <w:r w:rsidRPr="000D67C6">
        <w:rPr>
          <w:rFonts w:ascii="Arial" w:eastAsia="Times New Roman" w:hAnsi="Arial" w:cs="Arial"/>
          <w:sz w:val="22"/>
          <w:szCs w:val="22"/>
          <w:lang w:val="en-GB" w:eastAsia="en-GB"/>
        </w:rPr>
        <w:t xml:space="preserve">two grant schemes for all of the Fire Services in Wales.  The approved grants are paid to Mid and West Wales Fire and Rescue </w:t>
      </w:r>
      <w:r w:rsidR="00B83408" w:rsidRPr="000D67C6">
        <w:rPr>
          <w:rFonts w:ascii="Arial" w:eastAsia="Times New Roman" w:hAnsi="Arial" w:cs="Arial"/>
          <w:sz w:val="22"/>
          <w:szCs w:val="22"/>
          <w:lang w:val="en-GB" w:eastAsia="en-GB"/>
        </w:rPr>
        <w:t>Service</w:t>
      </w:r>
      <w:r w:rsidRPr="000D67C6">
        <w:rPr>
          <w:rFonts w:ascii="Arial" w:eastAsia="Times New Roman" w:hAnsi="Arial" w:cs="Arial"/>
          <w:sz w:val="22"/>
          <w:szCs w:val="22"/>
          <w:lang w:val="en-GB" w:eastAsia="en-GB"/>
        </w:rPr>
        <w:t>, who are then responsible for distributing the grants to the other two Welsh Fire Services.  The grant values paid out to the other two Welsh Fire Services for the two schemes are as follows:</w:t>
      </w:r>
    </w:p>
    <w:p w14:paraId="1C3FCB44" w14:textId="5665B35D" w:rsidR="00055140" w:rsidRPr="00055140" w:rsidRDefault="00055140" w:rsidP="005F15F0">
      <w:pPr>
        <w:jc w:val="both"/>
        <w:rPr>
          <w:rFonts w:ascii="Arial" w:eastAsia="Times New Roman" w:hAnsi="Arial" w:cs="Arial"/>
          <w:szCs w:val="22"/>
          <w:lang w:val="en-GB" w:eastAsia="en-GB"/>
        </w:rPr>
      </w:pPr>
    </w:p>
    <w:p w14:paraId="169ED174" w14:textId="38FEA129" w:rsidR="00055140" w:rsidRPr="00055140" w:rsidRDefault="00055140" w:rsidP="005F15F0">
      <w:pPr>
        <w:jc w:val="both"/>
        <w:rPr>
          <w:rFonts w:ascii="Arial" w:eastAsia="Times New Roman" w:hAnsi="Arial" w:cs="Arial"/>
          <w:b/>
          <w:szCs w:val="22"/>
          <w:lang w:val="en-GB" w:eastAsia="en-GB"/>
        </w:rPr>
      </w:pPr>
      <w:r w:rsidRPr="00055140">
        <w:rPr>
          <w:rFonts w:ascii="Arial" w:eastAsia="Times New Roman" w:hAnsi="Arial" w:cs="Arial"/>
          <w:b/>
          <w:szCs w:val="22"/>
          <w:lang w:val="en-GB" w:eastAsia="en-GB"/>
        </w:rPr>
        <w:t>Grants Administered on behalf of other Fire and Rescue Services</w:t>
      </w:r>
    </w:p>
    <w:tbl>
      <w:tblPr>
        <w:tblW w:w="0" w:type="auto"/>
        <w:tblLayout w:type="fixed"/>
        <w:tblLook w:val="04A0" w:firstRow="1" w:lastRow="0" w:firstColumn="1" w:lastColumn="0" w:noHBand="0" w:noVBand="1"/>
      </w:tblPr>
      <w:tblGrid>
        <w:gridCol w:w="1924"/>
        <w:gridCol w:w="236"/>
        <w:gridCol w:w="4800"/>
        <w:gridCol w:w="1965"/>
      </w:tblGrid>
      <w:tr w:rsidR="00D576D9" w:rsidRPr="000D67C6" w14:paraId="3341E19C" w14:textId="77777777" w:rsidTr="00C002D2">
        <w:trPr>
          <w:trHeight w:val="360"/>
        </w:trPr>
        <w:tc>
          <w:tcPr>
            <w:tcW w:w="1924" w:type="dxa"/>
            <w:shd w:val="clear" w:color="auto" w:fill="auto"/>
            <w:tcMar>
              <w:top w:w="20" w:type="dxa"/>
              <w:left w:w="20" w:type="dxa"/>
              <w:bottom w:w="20" w:type="dxa"/>
              <w:right w:w="20" w:type="dxa"/>
            </w:tcMar>
            <w:vAlign w:val="center"/>
          </w:tcPr>
          <w:p w14:paraId="5C438A00"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8</w:t>
            </w:r>
          </w:p>
        </w:tc>
        <w:tc>
          <w:tcPr>
            <w:tcW w:w="236" w:type="dxa"/>
            <w:shd w:val="clear" w:color="auto" w:fill="auto"/>
            <w:tcMar>
              <w:top w:w="20" w:type="dxa"/>
              <w:left w:w="20" w:type="dxa"/>
              <w:bottom w:w="20" w:type="dxa"/>
              <w:right w:w="20" w:type="dxa"/>
            </w:tcMar>
            <w:vAlign w:val="center"/>
          </w:tcPr>
          <w:p w14:paraId="2612195D"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shd w:val="clear" w:color="auto" w:fill="auto"/>
            <w:tcMar>
              <w:top w:w="20" w:type="dxa"/>
              <w:left w:w="20" w:type="dxa"/>
              <w:bottom w:w="20" w:type="dxa"/>
              <w:right w:w="20" w:type="dxa"/>
            </w:tcMar>
            <w:vAlign w:val="center"/>
          </w:tcPr>
          <w:p w14:paraId="51A8FC9A" w14:textId="1B797E0F" w:rsidR="00D576D9" w:rsidRPr="000D67C6" w:rsidRDefault="00D576D9" w:rsidP="006B0276">
            <w:pPr>
              <w:pStyle w:val="T1TableStyle"/>
              <w:jc w:val="center"/>
              <w:rPr>
                <w:rFonts w:ascii="Arial" w:eastAsia="Verdana" w:hAnsi="Arial" w:cs="Arial"/>
                <w:b/>
                <w:sz w:val="22"/>
                <w:szCs w:val="22"/>
                <w:lang w:val="en-GB"/>
              </w:rPr>
            </w:pPr>
          </w:p>
        </w:tc>
        <w:tc>
          <w:tcPr>
            <w:tcW w:w="1965" w:type="dxa"/>
            <w:shd w:val="clear" w:color="auto" w:fill="auto"/>
            <w:tcMar>
              <w:top w:w="20" w:type="dxa"/>
              <w:left w:w="20" w:type="dxa"/>
              <w:bottom w:w="20" w:type="dxa"/>
              <w:right w:w="20" w:type="dxa"/>
            </w:tcMar>
            <w:vAlign w:val="center"/>
          </w:tcPr>
          <w:p w14:paraId="5AEF8EB0"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9</w:t>
            </w:r>
          </w:p>
        </w:tc>
      </w:tr>
      <w:tr w:rsidR="00D576D9" w:rsidRPr="000D67C6" w14:paraId="36ECE428" w14:textId="77777777" w:rsidTr="00C002D2">
        <w:trPr>
          <w:trHeight w:val="255"/>
        </w:trPr>
        <w:tc>
          <w:tcPr>
            <w:tcW w:w="1924" w:type="dxa"/>
            <w:tcBorders>
              <w:bottom w:val="single" w:sz="2" w:space="0" w:color="000000"/>
            </w:tcBorders>
            <w:shd w:val="clear" w:color="auto" w:fill="auto"/>
            <w:tcMar>
              <w:top w:w="20" w:type="dxa"/>
              <w:left w:w="20" w:type="dxa"/>
              <w:bottom w:w="20" w:type="dxa"/>
              <w:right w:w="20" w:type="dxa"/>
            </w:tcMar>
          </w:tcPr>
          <w:p w14:paraId="0178F830"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6" w:type="dxa"/>
            <w:tcBorders>
              <w:bottom w:val="single" w:sz="2" w:space="0" w:color="000000"/>
            </w:tcBorders>
            <w:shd w:val="clear" w:color="auto" w:fill="auto"/>
            <w:tcMar>
              <w:top w:w="20" w:type="dxa"/>
              <w:left w:w="20" w:type="dxa"/>
              <w:bottom w:w="20" w:type="dxa"/>
              <w:right w:w="20" w:type="dxa"/>
            </w:tcMar>
          </w:tcPr>
          <w:p w14:paraId="18D60D1A"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tcBorders>
              <w:bottom w:val="single" w:sz="2" w:space="0" w:color="000000"/>
            </w:tcBorders>
            <w:shd w:val="clear" w:color="auto" w:fill="auto"/>
            <w:tcMar>
              <w:top w:w="20" w:type="dxa"/>
              <w:left w:w="20" w:type="dxa"/>
              <w:bottom w:w="20" w:type="dxa"/>
              <w:right w:w="20" w:type="dxa"/>
            </w:tcMar>
          </w:tcPr>
          <w:p w14:paraId="66C152BF"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65" w:type="dxa"/>
            <w:tcBorders>
              <w:bottom w:val="single" w:sz="2" w:space="0" w:color="000000"/>
            </w:tcBorders>
            <w:shd w:val="clear" w:color="auto" w:fill="auto"/>
            <w:tcMar>
              <w:top w:w="20" w:type="dxa"/>
              <w:left w:w="20" w:type="dxa"/>
              <w:bottom w:w="20" w:type="dxa"/>
              <w:right w:w="20" w:type="dxa"/>
            </w:tcMar>
          </w:tcPr>
          <w:p w14:paraId="2190467D" w14:textId="77777777" w:rsidR="00D576D9" w:rsidRPr="000D67C6" w:rsidRDefault="00D576D9" w:rsidP="00C002D2">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D576D9" w:rsidRPr="000D67C6" w14:paraId="5CE48115" w14:textId="77777777" w:rsidTr="00C002D2">
        <w:trPr>
          <w:trHeight w:val="255"/>
        </w:trPr>
        <w:tc>
          <w:tcPr>
            <w:tcW w:w="1924" w:type="dxa"/>
            <w:shd w:val="clear" w:color="auto" w:fill="auto"/>
            <w:tcMar>
              <w:top w:w="20" w:type="dxa"/>
              <w:left w:w="20" w:type="dxa"/>
              <w:bottom w:w="20" w:type="dxa"/>
              <w:right w:w="20" w:type="dxa"/>
            </w:tcMar>
            <w:vAlign w:val="center"/>
          </w:tcPr>
          <w:p w14:paraId="38F99598" w14:textId="77777777" w:rsidR="00D576D9" w:rsidRPr="000D67C6" w:rsidRDefault="00D576D9" w:rsidP="00C002D2">
            <w:pPr>
              <w:pStyle w:val="T1TableStyle"/>
              <w:jc w:val="right"/>
              <w:rPr>
                <w:rFonts w:ascii="Arial" w:eastAsia="Verdana" w:hAnsi="Arial" w:cs="Arial"/>
                <w:sz w:val="22"/>
                <w:szCs w:val="22"/>
                <w:lang w:val="en-GB"/>
              </w:rPr>
            </w:pPr>
          </w:p>
        </w:tc>
        <w:tc>
          <w:tcPr>
            <w:tcW w:w="236" w:type="dxa"/>
            <w:shd w:val="clear" w:color="auto" w:fill="auto"/>
            <w:tcMar>
              <w:top w:w="20" w:type="dxa"/>
              <w:left w:w="20" w:type="dxa"/>
              <w:bottom w:w="20" w:type="dxa"/>
              <w:right w:w="20" w:type="dxa"/>
            </w:tcMar>
            <w:vAlign w:val="center"/>
          </w:tcPr>
          <w:p w14:paraId="59ECB17F" w14:textId="77777777" w:rsidR="00D576D9" w:rsidRPr="000D67C6" w:rsidRDefault="00D576D9" w:rsidP="00C002D2">
            <w:pPr>
              <w:pStyle w:val="T1TableStyle"/>
              <w:jc w:val="center"/>
              <w:rPr>
                <w:rFonts w:ascii="Arial" w:eastAsia="Verdana" w:hAnsi="Arial" w:cs="Arial"/>
                <w:sz w:val="22"/>
                <w:szCs w:val="22"/>
                <w:lang w:val="en-GB"/>
              </w:rPr>
            </w:pPr>
          </w:p>
        </w:tc>
        <w:tc>
          <w:tcPr>
            <w:tcW w:w="4800" w:type="dxa"/>
            <w:shd w:val="clear" w:color="auto" w:fill="auto"/>
            <w:tcMar>
              <w:top w:w="20" w:type="dxa"/>
              <w:left w:w="20" w:type="dxa"/>
              <w:bottom w:w="20" w:type="dxa"/>
              <w:right w:w="20" w:type="dxa"/>
            </w:tcMar>
            <w:vAlign w:val="center"/>
          </w:tcPr>
          <w:p w14:paraId="686247B3" w14:textId="77777777" w:rsidR="00D576D9" w:rsidRPr="000D67C6" w:rsidRDefault="00D576D9" w:rsidP="00C002D2">
            <w:pPr>
              <w:pStyle w:val="T1TableStyle"/>
              <w:rPr>
                <w:rFonts w:ascii="Arial" w:eastAsia="Verdana" w:hAnsi="Arial" w:cs="Arial"/>
                <w:sz w:val="22"/>
                <w:szCs w:val="22"/>
                <w:lang w:val="en-GB"/>
              </w:rPr>
            </w:pPr>
            <w:r w:rsidRPr="000D67C6">
              <w:rPr>
                <w:rFonts w:ascii="Arial" w:eastAsia="Verdana" w:hAnsi="Arial" w:cs="Arial"/>
                <w:sz w:val="22"/>
                <w:szCs w:val="22"/>
                <w:lang w:val="en-GB"/>
              </w:rPr>
              <w:t>Welsh Government:</w:t>
            </w:r>
          </w:p>
        </w:tc>
        <w:tc>
          <w:tcPr>
            <w:tcW w:w="1965" w:type="dxa"/>
            <w:shd w:val="clear" w:color="auto" w:fill="auto"/>
            <w:tcMar>
              <w:top w:w="20" w:type="dxa"/>
              <w:left w:w="20" w:type="dxa"/>
              <w:bottom w:w="20" w:type="dxa"/>
              <w:right w:w="20" w:type="dxa"/>
            </w:tcMar>
            <w:vAlign w:val="center"/>
          </w:tcPr>
          <w:p w14:paraId="1D6593D1" w14:textId="77777777" w:rsidR="00D576D9" w:rsidRPr="000D67C6" w:rsidRDefault="00D576D9" w:rsidP="00C002D2">
            <w:pPr>
              <w:pStyle w:val="T1TableStyle"/>
              <w:jc w:val="right"/>
              <w:rPr>
                <w:rFonts w:ascii="Arial" w:eastAsia="Verdana" w:hAnsi="Arial" w:cs="Arial"/>
                <w:sz w:val="22"/>
                <w:szCs w:val="22"/>
                <w:lang w:val="en-GB"/>
              </w:rPr>
            </w:pPr>
          </w:p>
        </w:tc>
      </w:tr>
      <w:tr w:rsidR="00F20D20" w:rsidRPr="000D67C6" w14:paraId="7FB21689" w14:textId="77777777" w:rsidTr="00C002D2">
        <w:trPr>
          <w:trHeight w:val="255"/>
        </w:trPr>
        <w:tc>
          <w:tcPr>
            <w:tcW w:w="1924" w:type="dxa"/>
            <w:shd w:val="clear" w:color="auto" w:fill="auto"/>
            <w:tcMar>
              <w:top w:w="20" w:type="dxa"/>
              <w:left w:w="20" w:type="dxa"/>
              <w:bottom w:w="20" w:type="dxa"/>
              <w:right w:w="20" w:type="dxa"/>
            </w:tcMar>
            <w:vAlign w:val="center"/>
          </w:tcPr>
          <w:p w14:paraId="4538D965"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(285)</w:t>
            </w:r>
          </w:p>
        </w:tc>
        <w:tc>
          <w:tcPr>
            <w:tcW w:w="236" w:type="dxa"/>
            <w:shd w:val="clear" w:color="auto" w:fill="auto"/>
            <w:tcMar>
              <w:top w:w="20" w:type="dxa"/>
              <w:left w:w="20" w:type="dxa"/>
              <w:bottom w:w="20" w:type="dxa"/>
              <w:right w:w="20" w:type="dxa"/>
            </w:tcMar>
            <w:vAlign w:val="center"/>
          </w:tcPr>
          <w:p w14:paraId="30F8DE92"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800" w:type="dxa"/>
            <w:shd w:val="clear" w:color="auto" w:fill="auto"/>
            <w:tcMar>
              <w:top w:w="20" w:type="dxa"/>
              <w:left w:w="20" w:type="dxa"/>
              <w:bottom w:w="20" w:type="dxa"/>
              <w:right w:w="20" w:type="dxa"/>
            </w:tcMar>
            <w:vAlign w:val="center"/>
          </w:tcPr>
          <w:p w14:paraId="567F4993"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Arson Reduction</w:t>
            </w:r>
          </w:p>
        </w:tc>
        <w:tc>
          <w:tcPr>
            <w:tcW w:w="1965" w:type="dxa"/>
            <w:shd w:val="clear" w:color="auto" w:fill="auto"/>
            <w:tcMar>
              <w:top w:w="20" w:type="dxa"/>
              <w:left w:w="20" w:type="dxa"/>
              <w:bottom w:w="20" w:type="dxa"/>
              <w:right w:w="20" w:type="dxa"/>
            </w:tcMar>
            <w:vAlign w:val="center"/>
          </w:tcPr>
          <w:p w14:paraId="6C3671A1" w14:textId="77777777" w:rsidR="00F20D20" w:rsidRPr="000D67C6" w:rsidRDefault="00A87FD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(259)</w:t>
            </w:r>
          </w:p>
        </w:tc>
      </w:tr>
      <w:tr w:rsidR="00F20D20" w:rsidRPr="000D67C6" w14:paraId="0991E49D" w14:textId="77777777" w:rsidTr="00C002D2">
        <w:trPr>
          <w:trHeight w:val="255"/>
        </w:trPr>
        <w:tc>
          <w:tcPr>
            <w:tcW w:w="1924" w:type="dxa"/>
            <w:shd w:val="clear" w:color="auto" w:fill="auto"/>
            <w:tcMar>
              <w:top w:w="20" w:type="dxa"/>
              <w:left w:w="20" w:type="dxa"/>
              <w:bottom w:w="20" w:type="dxa"/>
              <w:right w:w="20" w:type="dxa"/>
            </w:tcMar>
            <w:vAlign w:val="center"/>
          </w:tcPr>
          <w:p w14:paraId="6E177915"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(635)</w:t>
            </w:r>
          </w:p>
        </w:tc>
        <w:tc>
          <w:tcPr>
            <w:tcW w:w="236" w:type="dxa"/>
            <w:shd w:val="clear" w:color="auto" w:fill="auto"/>
            <w:tcMar>
              <w:top w:w="20" w:type="dxa"/>
              <w:left w:w="20" w:type="dxa"/>
              <w:bottom w:w="20" w:type="dxa"/>
              <w:right w:w="20" w:type="dxa"/>
            </w:tcMar>
            <w:vAlign w:val="center"/>
          </w:tcPr>
          <w:p w14:paraId="158D0973" w14:textId="77777777" w:rsidR="00F20D20" w:rsidRPr="000D67C6" w:rsidRDefault="00F20D20" w:rsidP="00F20D20">
            <w:pPr>
              <w:pStyle w:val="T1TableStyle"/>
              <w:jc w:val="center"/>
              <w:rPr>
                <w:rFonts w:ascii="Arial" w:eastAsia="Verdana" w:hAnsi="Arial" w:cs="Arial"/>
                <w:sz w:val="22"/>
                <w:szCs w:val="22"/>
                <w:lang w:val="en-GB"/>
              </w:rPr>
            </w:pPr>
          </w:p>
        </w:tc>
        <w:tc>
          <w:tcPr>
            <w:tcW w:w="4800" w:type="dxa"/>
            <w:shd w:val="clear" w:color="auto" w:fill="auto"/>
            <w:tcMar>
              <w:top w:w="20" w:type="dxa"/>
              <w:left w:w="20" w:type="dxa"/>
              <w:bottom w:w="20" w:type="dxa"/>
              <w:right w:w="20" w:type="dxa"/>
            </w:tcMar>
            <w:vAlign w:val="center"/>
          </w:tcPr>
          <w:p w14:paraId="5EB04D21"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Home Safety Equipment</w:t>
            </w:r>
          </w:p>
        </w:tc>
        <w:tc>
          <w:tcPr>
            <w:tcW w:w="1965" w:type="dxa"/>
            <w:shd w:val="clear" w:color="auto" w:fill="auto"/>
            <w:tcMar>
              <w:top w:w="20" w:type="dxa"/>
              <w:left w:w="20" w:type="dxa"/>
              <w:bottom w:w="20" w:type="dxa"/>
              <w:right w:w="20" w:type="dxa"/>
            </w:tcMar>
            <w:vAlign w:val="center"/>
          </w:tcPr>
          <w:p w14:paraId="2C8BC85A" w14:textId="77777777" w:rsidR="00F20D20" w:rsidRPr="000D67C6" w:rsidRDefault="00A87FDB"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(643)</w:t>
            </w:r>
          </w:p>
        </w:tc>
      </w:tr>
      <w:tr w:rsidR="00F20D20" w:rsidRPr="000D67C6" w14:paraId="6058C835" w14:textId="77777777" w:rsidTr="00C002D2">
        <w:trPr>
          <w:trHeight w:val="340"/>
        </w:trPr>
        <w:tc>
          <w:tcPr>
            <w:tcW w:w="192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CFC0C30" w14:textId="77777777" w:rsidR="00F20D20" w:rsidRPr="000D67C6" w:rsidRDefault="00F20D20"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(920)</w:t>
            </w:r>
          </w:p>
        </w:tc>
        <w:tc>
          <w:tcPr>
            <w:tcW w:w="23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C6C6D46" w14:textId="77777777" w:rsidR="00F20D20" w:rsidRPr="000D67C6" w:rsidRDefault="00F20D20" w:rsidP="00F20D2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8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6A8D61E"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96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62B25E0" w14:textId="77777777" w:rsidR="00F20D20" w:rsidRPr="000D67C6" w:rsidRDefault="005734A2"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(902)</w:t>
            </w:r>
          </w:p>
        </w:tc>
      </w:tr>
    </w:tbl>
    <w:p w14:paraId="49057E2F" w14:textId="77777777" w:rsidR="002B329F" w:rsidRPr="000D67C6" w:rsidRDefault="002B329F" w:rsidP="005F15F0">
      <w:pPr>
        <w:jc w:val="both"/>
        <w:rPr>
          <w:rFonts w:ascii="Arial" w:hAnsi="Arial" w:cs="Arial"/>
          <w:sz w:val="22"/>
          <w:szCs w:val="22"/>
          <w:lang w:val="en-GB"/>
        </w:rPr>
      </w:pPr>
    </w:p>
    <w:p w14:paraId="72C69E3F" w14:textId="584ED115" w:rsidR="00ED39AD" w:rsidRPr="000D67C6" w:rsidRDefault="00383191" w:rsidP="005F15F0">
      <w:pPr>
        <w:jc w:val="both"/>
        <w:rPr>
          <w:rFonts w:ascii="Arial" w:hAnsi="Arial" w:cs="Arial"/>
          <w:b/>
          <w:sz w:val="22"/>
          <w:szCs w:val="22"/>
          <w:lang w:val="en-GB"/>
        </w:rPr>
      </w:pPr>
      <w:r w:rsidRPr="000D67C6">
        <w:rPr>
          <w:rFonts w:ascii="Arial" w:hAnsi="Arial" w:cs="Arial"/>
          <w:sz w:val="22"/>
          <w:szCs w:val="22"/>
          <w:lang w:val="en-GB"/>
        </w:rPr>
        <w:t xml:space="preserve">The Authority has received the following </w:t>
      </w:r>
      <w:r w:rsidR="00A318A5" w:rsidRPr="000D67C6">
        <w:rPr>
          <w:rFonts w:ascii="Arial" w:hAnsi="Arial" w:cs="Arial"/>
          <w:sz w:val="22"/>
          <w:szCs w:val="22"/>
          <w:lang w:val="en-GB"/>
        </w:rPr>
        <w:t xml:space="preserve">capital </w:t>
      </w:r>
      <w:r w:rsidR="008C33C8" w:rsidRPr="000D67C6">
        <w:rPr>
          <w:rFonts w:ascii="Arial" w:hAnsi="Arial" w:cs="Arial"/>
          <w:sz w:val="22"/>
          <w:szCs w:val="22"/>
          <w:lang w:val="en-GB"/>
        </w:rPr>
        <w:t>grant</w:t>
      </w:r>
      <w:r w:rsidR="004B38FE" w:rsidRPr="000D67C6">
        <w:rPr>
          <w:rFonts w:ascii="Arial" w:hAnsi="Arial" w:cs="Arial"/>
          <w:sz w:val="22"/>
          <w:szCs w:val="22"/>
          <w:lang w:val="en-GB"/>
        </w:rPr>
        <w:t>s</w:t>
      </w:r>
      <w:r w:rsidR="008C33C8" w:rsidRPr="000D67C6">
        <w:rPr>
          <w:rFonts w:ascii="Arial" w:hAnsi="Arial" w:cs="Arial"/>
          <w:sz w:val="22"/>
          <w:szCs w:val="22"/>
          <w:lang w:val="en-GB"/>
        </w:rPr>
        <w:t xml:space="preserve"> and donations that have yet to be recognised as income as they have conditions attached to them that will require the monies to be returned to the giver</w:t>
      </w:r>
      <w:r w:rsidR="003A0244" w:rsidRPr="000D67C6">
        <w:rPr>
          <w:rFonts w:ascii="Arial" w:hAnsi="Arial" w:cs="Arial"/>
          <w:sz w:val="22"/>
          <w:szCs w:val="22"/>
          <w:lang w:val="en-GB"/>
        </w:rPr>
        <w:t xml:space="preserve"> if the conditions are not satisfied</w:t>
      </w:r>
      <w:r w:rsidR="00613A83" w:rsidRPr="000D67C6">
        <w:rPr>
          <w:rFonts w:ascii="Arial" w:hAnsi="Arial" w:cs="Arial"/>
          <w:sz w:val="22"/>
          <w:szCs w:val="22"/>
          <w:lang w:val="en-GB"/>
        </w:rPr>
        <w:t>. The balances at the year-end are as follows:</w:t>
      </w:r>
    </w:p>
    <w:tbl>
      <w:tblPr>
        <w:tblW w:w="0" w:type="auto"/>
        <w:tblLayout w:type="fixed"/>
        <w:tblLook w:val="04A0" w:firstRow="1" w:lastRow="0" w:firstColumn="1" w:lastColumn="0" w:noHBand="0" w:noVBand="1"/>
      </w:tblPr>
      <w:tblGrid>
        <w:gridCol w:w="1843"/>
        <w:gridCol w:w="317"/>
        <w:gridCol w:w="4786"/>
        <w:gridCol w:w="1985"/>
      </w:tblGrid>
      <w:tr w:rsidR="00613A83" w:rsidRPr="00055140" w14:paraId="73154FC5" w14:textId="77777777" w:rsidTr="00055140">
        <w:trPr>
          <w:trHeight w:val="360"/>
        </w:trPr>
        <w:tc>
          <w:tcPr>
            <w:tcW w:w="8931" w:type="dxa"/>
            <w:gridSpan w:val="4"/>
            <w:shd w:val="clear" w:color="auto" w:fill="auto"/>
            <w:tcMar>
              <w:top w:w="20" w:type="dxa"/>
              <w:left w:w="20" w:type="dxa"/>
              <w:bottom w:w="20" w:type="dxa"/>
              <w:right w:w="20" w:type="dxa"/>
            </w:tcMar>
            <w:vAlign w:val="bottom"/>
          </w:tcPr>
          <w:p w14:paraId="48B1DA89" w14:textId="77777777" w:rsidR="00BE19EF" w:rsidRPr="00055140" w:rsidRDefault="00BE19EF" w:rsidP="00055140">
            <w:pPr>
              <w:pStyle w:val="T1TableStyle"/>
              <w:rPr>
                <w:rFonts w:ascii="Arial" w:eastAsia="Verdana" w:hAnsi="Arial" w:cs="Arial"/>
                <w:b/>
                <w:szCs w:val="22"/>
                <w:lang w:val="en-GB"/>
              </w:rPr>
            </w:pPr>
          </w:p>
          <w:p w14:paraId="6A199927" w14:textId="75907B63" w:rsidR="00613A83" w:rsidRPr="00055140" w:rsidRDefault="00613A83" w:rsidP="00055140">
            <w:pPr>
              <w:pStyle w:val="T1TableStyle"/>
              <w:rPr>
                <w:rFonts w:ascii="Arial" w:eastAsia="Verdana" w:hAnsi="Arial" w:cs="Arial"/>
                <w:b/>
                <w:szCs w:val="22"/>
                <w:lang w:val="en-GB"/>
              </w:rPr>
            </w:pPr>
            <w:r w:rsidRPr="00055140">
              <w:rPr>
                <w:rFonts w:ascii="Arial" w:eastAsia="Verdana" w:hAnsi="Arial" w:cs="Arial"/>
                <w:b/>
                <w:szCs w:val="22"/>
                <w:lang w:val="en-GB"/>
              </w:rPr>
              <w:t xml:space="preserve">Current Liabilities </w:t>
            </w:r>
            <w:r w:rsidR="0011032E" w:rsidRPr="00055140">
              <w:rPr>
                <w:rFonts w:ascii="Arial" w:eastAsia="Verdana" w:hAnsi="Arial" w:cs="Arial"/>
                <w:b/>
                <w:szCs w:val="22"/>
                <w:lang w:val="en-GB"/>
              </w:rPr>
              <w:t xml:space="preserve">- </w:t>
            </w:r>
            <w:r w:rsidRPr="00055140">
              <w:rPr>
                <w:rFonts w:ascii="Arial" w:eastAsia="Verdana" w:hAnsi="Arial" w:cs="Arial"/>
                <w:b/>
                <w:szCs w:val="22"/>
                <w:lang w:val="en-GB"/>
              </w:rPr>
              <w:t xml:space="preserve">Capital </w:t>
            </w:r>
            <w:r w:rsidR="001A0678" w:rsidRPr="00055140">
              <w:rPr>
                <w:rFonts w:ascii="Arial" w:eastAsia="Verdana" w:hAnsi="Arial" w:cs="Arial"/>
                <w:b/>
                <w:szCs w:val="22"/>
                <w:lang w:val="en-GB"/>
              </w:rPr>
              <w:t xml:space="preserve">Grants </w:t>
            </w:r>
            <w:r w:rsidRPr="00055140">
              <w:rPr>
                <w:rFonts w:ascii="Arial" w:eastAsia="Verdana" w:hAnsi="Arial" w:cs="Arial"/>
                <w:b/>
                <w:szCs w:val="22"/>
                <w:lang w:val="en-GB"/>
              </w:rPr>
              <w:t>Receipts in Advance</w:t>
            </w:r>
          </w:p>
        </w:tc>
      </w:tr>
      <w:tr w:rsidR="00613A83" w:rsidRPr="000D67C6" w14:paraId="67990E1C" w14:textId="77777777" w:rsidTr="00055140">
        <w:trPr>
          <w:trHeight w:val="360"/>
        </w:trPr>
        <w:tc>
          <w:tcPr>
            <w:tcW w:w="1843" w:type="dxa"/>
            <w:shd w:val="clear" w:color="auto" w:fill="auto"/>
            <w:tcMar>
              <w:top w:w="20" w:type="dxa"/>
              <w:left w:w="20" w:type="dxa"/>
              <w:bottom w:w="20" w:type="dxa"/>
              <w:right w:w="20" w:type="dxa"/>
            </w:tcMar>
            <w:vAlign w:val="bottom"/>
          </w:tcPr>
          <w:p w14:paraId="13A23A45" w14:textId="77777777" w:rsidR="00613A83" w:rsidRPr="000D67C6" w:rsidRDefault="00532056"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8</w:t>
            </w:r>
          </w:p>
        </w:tc>
        <w:tc>
          <w:tcPr>
            <w:tcW w:w="317" w:type="dxa"/>
            <w:shd w:val="clear" w:color="auto" w:fill="auto"/>
            <w:tcMar>
              <w:top w:w="20" w:type="dxa"/>
              <w:left w:w="20" w:type="dxa"/>
              <w:bottom w:w="20" w:type="dxa"/>
              <w:right w:w="20" w:type="dxa"/>
            </w:tcMar>
          </w:tcPr>
          <w:p w14:paraId="51A22CBA"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shd w:val="clear" w:color="auto" w:fill="auto"/>
            <w:tcMar>
              <w:top w:w="20" w:type="dxa"/>
              <w:left w:w="20" w:type="dxa"/>
              <w:bottom w:w="20" w:type="dxa"/>
              <w:right w:w="20" w:type="dxa"/>
            </w:tcMar>
          </w:tcPr>
          <w:p w14:paraId="559AB63C"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85" w:type="dxa"/>
            <w:shd w:val="clear" w:color="auto" w:fill="auto"/>
            <w:tcMar>
              <w:top w:w="20" w:type="dxa"/>
              <w:left w:w="20" w:type="dxa"/>
              <w:bottom w:w="20" w:type="dxa"/>
              <w:right w:w="20" w:type="dxa"/>
            </w:tcMar>
            <w:vAlign w:val="bottom"/>
          </w:tcPr>
          <w:p w14:paraId="2B4DED65" w14:textId="77777777" w:rsidR="00613A83" w:rsidRPr="000D67C6" w:rsidRDefault="00532056"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w:t>
            </w:r>
            <w:r w:rsidR="00F20D20"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F20D20" w:rsidRPr="000D67C6">
              <w:rPr>
                <w:rFonts w:ascii="Arial" w:eastAsia="Verdana" w:hAnsi="Arial" w:cs="Arial"/>
                <w:b/>
                <w:sz w:val="22"/>
                <w:szCs w:val="22"/>
                <w:lang w:val="en-GB"/>
              </w:rPr>
              <w:t>9</w:t>
            </w:r>
          </w:p>
        </w:tc>
      </w:tr>
      <w:tr w:rsidR="00613A83" w:rsidRPr="000D67C6" w14:paraId="3955B7F5" w14:textId="77777777" w:rsidTr="00055140">
        <w:trPr>
          <w:trHeight w:val="255"/>
        </w:trPr>
        <w:tc>
          <w:tcPr>
            <w:tcW w:w="1843" w:type="dxa"/>
            <w:tcBorders>
              <w:bottom w:val="single" w:sz="2" w:space="0" w:color="000000"/>
            </w:tcBorders>
            <w:shd w:val="clear" w:color="auto" w:fill="auto"/>
            <w:tcMar>
              <w:top w:w="20" w:type="dxa"/>
              <w:left w:w="20" w:type="dxa"/>
              <w:bottom w:w="20" w:type="dxa"/>
              <w:right w:w="20" w:type="dxa"/>
            </w:tcMar>
          </w:tcPr>
          <w:p w14:paraId="75BF40E1"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317" w:type="dxa"/>
            <w:tcBorders>
              <w:bottom w:val="single" w:sz="2" w:space="0" w:color="000000"/>
            </w:tcBorders>
            <w:shd w:val="clear" w:color="auto" w:fill="auto"/>
            <w:tcMar>
              <w:top w:w="20" w:type="dxa"/>
              <w:left w:w="20" w:type="dxa"/>
              <w:bottom w:w="20" w:type="dxa"/>
              <w:right w:w="20" w:type="dxa"/>
            </w:tcMar>
          </w:tcPr>
          <w:p w14:paraId="4528E97B"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tcBorders>
              <w:bottom w:val="single" w:sz="2" w:space="0" w:color="000000"/>
            </w:tcBorders>
            <w:shd w:val="clear" w:color="auto" w:fill="auto"/>
            <w:tcMar>
              <w:top w:w="20" w:type="dxa"/>
              <w:left w:w="20" w:type="dxa"/>
              <w:bottom w:w="20" w:type="dxa"/>
              <w:right w:w="20" w:type="dxa"/>
            </w:tcMar>
          </w:tcPr>
          <w:p w14:paraId="4D91E355"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985" w:type="dxa"/>
            <w:tcBorders>
              <w:bottom w:val="single" w:sz="2" w:space="0" w:color="000000"/>
            </w:tcBorders>
            <w:shd w:val="clear" w:color="auto" w:fill="auto"/>
            <w:tcMar>
              <w:top w:w="20" w:type="dxa"/>
              <w:left w:w="20" w:type="dxa"/>
              <w:bottom w:w="20" w:type="dxa"/>
              <w:right w:w="20" w:type="dxa"/>
            </w:tcMar>
          </w:tcPr>
          <w:p w14:paraId="70CB10F0" w14:textId="77777777" w:rsidR="00613A83" w:rsidRPr="000D67C6" w:rsidRDefault="00613A83" w:rsidP="00DA160D">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F20D20" w:rsidRPr="000D67C6" w14:paraId="1E81FD3A" w14:textId="77777777" w:rsidTr="00055140">
        <w:trPr>
          <w:trHeight w:val="255"/>
        </w:trPr>
        <w:tc>
          <w:tcPr>
            <w:tcW w:w="1843" w:type="dxa"/>
            <w:shd w:val="clear" w:color="auto" w:fill="auto"/>
            <w:tcMar>
              <w:top w:w="20" w:type="dxa"/>
              <w:left w:w="20" w:type="dxa"/>
              <w:bottom w:w="20" w:type="dxa"/>
              <w:right w:w="20" w:type="dxa"/>
            </w:tcMar>
            <w:vAlign w:val="center"/>
          </w:tcPr>
          <w:p w14:paraId="287EF3B8" w14:textId="77777777" w:rsidR="00F20D20" w:rsidRPr="000D67C6" w:rsidRDefault="002B78A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w:t>
            </w:r>
          </w:p>
        </w:tc>
        <w:tc>
          <w:tcPr>
            <w:tcW w:w="317" w:type="dxa"/>
            <w:shd w:val="clear" w:color="auto" w:fill="auto"/>
            <w:tcMar>
              <w:top w:w="20" w:type="dxa"/>
              <w:left w:w="20" w:type="dxa"/>
              <w:bottom w:w="20" w:type="dxa"/>
              <w:right w:w="20" w:type="dxa"/>
            </w:tcMar>
            <w:vAlign w:val="center"/>
          </w:tcPr>
          <w:p w14:paraId="295898C9" w14:textId="77777777" w:rsidR="00F20D20" w:rsidRPr="000D67C6" w:rsidRDefault="00F20D20" w:rsidP="00F20D20">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46EA20AD" w14:textId="77777777" w:rsidR="00F20D20" w:rsidRPr="000D67C6" w:rsidRDefault="002B78A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Fire Crime Grant</w:t>
            </w:r>
            <w:r w:rsidR="00C71B2E" w:rsidRPr="000D67C6">
              <w:rPr>
                <w:rFonts w:ascii="Arial" w:eastAsia="Verdana" w:hAnsi="Arial" w:cs="Arial"/>
                <w:sz w:val="22"/>
                <w:szCs w:val="22"/>
                <w:lang w:val="en-GB"/>
              </w:rPr>
              <w:t xml:space="preserve"> (W</w:t>
            </w:r>
            <w:r w:rsidR="00B83408" w:rsidRPr="000D67C6">
              <w:rPr>
                <w:rFonts w:ascii="Arial" w:eastAsia="Verdana" w:hAnsi="Arial" w:cs="Arial"/>
                <w:sz w:val="22"/>
                <w:szCs w:val="22"/>
                <w:lang w:val="en-GB"/>
              </w:rPr>
              <w:t xml:space="preserve">elsh </w:t>
            </w:r>
            <w:r w:rsidR="00C71B2E" w:rsidRPr="000D67C6">
              <w:rPr>
                <w:rFonts w:ascii="Arial" w:eastAsia="Verdana" w:hAnsi="Arial" w:cs="Arial"/>
                <w:sz w:val="22"/>
                <w:szCs w:val="22"/>
                <w:lang w:val="en-GB"/>
              </w:rPr>
              <w:t>G</w:t>
            </w:r>
            <w:r w:rsidR="00B83408" w:rsidRPr="000D67C6">
              <w:rPr>
                <w:rFonts w:ascii="Arial" w:eastAsia="Verdana" w:hAnsi="Arial" w:cs="Arial"/>
                <w:sz w:val="22"/>
                <w:szCs w:val="22"/>
                <w:lang w:val="en-GB"/>
              </w:rPr>
              <w:t>overnment</w:t>
            </w:r>
            <w:r w:rsidR="00C71B2E" w:rsidRPr="000D67C6">
              <w:rPr>
                <w:rFonts w:ascii="Arial" w:eastAsia="Verdana" w:hAnsi="Arial" w:cs="Arial"/>
                <w:sz w:val="22"/>
                <w:szCs w:val="22"/>
                <w:lang w:val="en-GB"/>
              </w:rPr>
              <w:t>)</w:t>
            </w:r>
          </w:p>
        </w:tc>
        <w:tc>
          <w:tcPr>
            <w:tcW w:w="1985" w:type="dxa"/>
            <w:shd w:val="clear" w:color="auto" w:fill="auto"/>
            <w:tcMar>
              <w:top w:w="20" w:type="dxa"/>
              <w:left w:w="20" w:type="dxa"/>
              <w:bottom w:w="20" w:type="dxa"/>
              <w:right w:w="20" w:type="dxa"/>
            </w:tcMar>
            <w:vAlign w:val="center"/>
          </w:tcPr>
          <w:p w14:paraId="1EF45588" w14:textId="77777777" w:rsidR="00F20D20" w:rsidRPr="000D67C6" w:rsidRDefault="002B78A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F20D20" w:rsidRPr="000D67C6" w14:paraId="3346961B" w14:textId="77777777" w:rsidTr="00055140">
        <w:trPr>
          <w:trHeight w:val="255"/>
        </w:trPr>
        <w:tc>
          <w:tcPr>
            <w:tcW w:w="1843" w:type="dxa"/>
            <w:shd w:val="clear" w:color="auto" w:fill="auto"/>
            <w:tcMar>
              <w:top w:w="20" w:type="dxa"/>
              <w:left w:w="20" w:type="dxa"/>
              <w:bottom w:w="20" w:type="dxa"/>
              <w:right w:w="20" w:type="dxa"/>
            </w:tcMar>
            <w:vAlign w:val="center"/>
          </w:tcPr>
          <w:p w14:paraId="7BDC6419" w14:textId="77777777" w:rsidR="00F20D20" w:rsidRPr="000D67C6" w:rsidRDefault="00054789"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317" w:type="dxa"/>
            <w:shd w:val="clear" w:color="auto" w:fill="auto"/>
            <w:tcMar>
              <w:top w:w="20" w:type="dxa"/>
              <w:left w:w="20" w:type="dxa"/>
              <w:bottom w:w="20" w:type="dxa"/>
              <w:right w:w="20" w:type="dxa"/>
            </w:tcMar>
            <w:vAlign w:val="center"/>
          </w:tcPr>
          <w:p w14:paraId="50F8FE9A" w14:textId="77777777" w:rsidR="00F20D20" w:rsidRPr="000D67C6" w:rsidRDefault="00F20D20" w:rsidP="00F20D20">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7B4C4CF5" w14:textId="77777777" w:rsidR="00F20D20" w:rsidRPr="000D67C6" w:rsidRDefault="00C71B2E"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Storm Callum (W</w:t>
            </w:r>
            <w:r w:rsidR="00B83408" w:rsidRPr="000D67C6">
              <w:rPr>
                <w:rFonts w:ascii="Arial" w:eastAsia="Verdana" w:hAnsi="Arial" w:cs="Arial"/>
                <w:sz w:val="22"/>
                <w:szCs w:val="22"/>
                <w:lang w:val="en-GB"/>
              </w:rPr>
              <w:t xml:space="preserve">elsh </w:t>
            </w:r>
            <w:r w:rsidRPr="000D67C6">
              <w:rPr>
                <w:rFonts w:ascii="Arial" w:eastAsia="Verdana" w:hAnsi="Arial" w:cs="Arial"/>
                <w:sz w:val="22"/>
                <w:szCs w:val="22"/>
                <w:lang w:val="en-GB"/>
              </w:rPr>
              <w:t>G</w:t>
            </w:r>
            <w:r w:rsidR="00B83408" w:rsidRPr="000D67C6">
              <w:rPr>
                <w:rFonts w:ascii="Arial" w:eastAsia="Verdana" w:hAnsi="Arial" w:cs="Arial"/>
                <w:sz w:val="22"/>
                <w:szCs w:val="22"/>
                <w:lang w:val="en-GB"/>
              </w:rPr>
              <w:t>overnment</w:t>
            </w:r>
            <w:r w:rsidRPr="000D67C6">
              <w:rPr>
                <w:rFonts w:ascii="Arial" w:eastAsia="Verdana" w:hAnsi="Arial" w:cs="Arial"/>
                <w:sz w:val="22"/>
                <w:szCs w:val="22"/>
                <w:lang w:val="en-GB"/>
              </w:rPr>
              <w:t>)</w:t>
            </w:r>
          </w:p>
        </w:tc>
        <w:tc>
          <w:tcPr>
            <w:tcW w:w="1985" w:type="dxa"/>
            <w:shd w:val="clear" w:color="auto" w:fill="auto"/>
            <w:tcMar>
              <w:top w:w="20" w:type="dxa"/>
              <w:left w:w="20" w:type="dxa"/>
              <w:bottom w:w="20" w:type="dxa"/>
              <w:right w:w="20" w:type="dxa"/>
            </w:tcMar>
            <w:vAlign w:val="center"/>
          </w:tcPr>
          <w:p w14:paraId="39314C3D" w14:textId="77777777" w:rsidR="00F20D20" w:rsidRPr="000D67C6" w:rsidRDefault="00C71B2E"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2E375B" w:rsidRPr="000D67C6">
              <w:rPr>
                <w:rFonts w:ascii="Arial" w:eastAsia="Verdana" w:hAnsi="Arial" w:cs="Arial"/>
                <w:sz w:val="22"/>
                <w:szCs w:val="22"/>
                <w:lang w:val="en-GB"/>
              </w:rPr>
              <w:t>280</w:t>
            </w:r>
            <w:r w:rsidRPr="000D67C6">
              <w:rPr>
                <w:rFonts w:ascii="Arial" w:eastAsia="Verdana" w:hAnsi="Arial" w:cs="Arial"/>
                <w:sz w:val="22"/>
                <w:szCs w:val="22"/>
                <w:lang w:val="en-GB"/>
              </w:rPr>
              <w:t>)</w:t>
            </w:r>
          </w:p>
        </w:tc>
      </w:tr>
      <w:tr w:rsidR="00F41ACF" w:rsidRPr="000D67C6" w14:paraId="260AEFDF" w14:textId="77777777" w:rsidTr="00055140">
        <w:trPr>
          <w:trHeight w:val="255"/>
        </w:trPr>
        <w:tc>
          <w:tcPr>
            <w:tcW w:w="1843" w:type="dxa"/>
            <w:shd w:val="clear" w:color="auto" w:fill="auto"/>
            <w:tcMar>
              <w:top w:w="20" w:type="dxa"/>
              <w:left w:w="20" w:type="dxa"/>
              <w:bottom w:w="20" w:type="dxa"/>
              <w:right w:w="20" w:type="dxa"/>
            </w:tcMar>
            <w:vAlign w:val="center"/>
          </w:tcPr>
          <w:p w14:paraId="35F94A66" w14:textId="77777777" w:rsidR="00F41ACF" w:rsidRPr="000D67C6" w:rsidRDefault="00054789"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(64)</w:t>
            </w:r>
          </w:p>
        </w:tc>
        <w:tc>
          <w:tcPr>
            <w:tcW w:w="317" w:type="dxa"/>
            <w:shd w:val="clear" w:color="auto" w:fill="auto"/>
            <w:tcMar>
              <w:top w:w="20" w:type="dxa"/>
              <w:left w:w="20" w:type="dxa"/>
              <w:bottom w:w="20" w:type="dxa"/>
              <w:right w:w="20" w:type="dxa"/>
            </w:tcMar>
            <w:vAlign w:val="center"/>
          </w:tcPr>
          <w:p w14:paraId="37A7F48F" w14:textId="77777777" w:rsidR="00F41ACF" w:rsidRPr="000D67C6" w:rsidRDefault="00F41ACF" w:rsidP="00F20D20">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415DF30E" w14:textId="77777777" w:rsidR="00F41ACF" w:rsidRPr="000D67C6" w:rsidRDefault="00054789"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Donations</w:t>
            </w:r>
          </w:p>
        </w:tc>
        <w:tc>
          <w:tcPr>
            <w:tcW w:w="1985" w:type="dxa"/>
            <w:shd w:val="clear" w:color="auto" w:fill="auto"/>
            <w:tcMar>
              <w:top w:w="20" w:type="dxa"/>
              <w:left w:w="20" w:type="dxa"/>
              <w:bottom w:w="20" w:type="dxa"/>
              <w:right w:w="20" w:type="dxa"/>
            </w:tcMar>
            <w:vAlign w:val="center"/>
          </w:tcPr>
          <w:p w14:paraId="4C424982" w14:textId="77777777" w:rsidR="00F41ACF" w:rsidRPr="000D67C6" w:rsidRDefault="00E2257F"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F20D20" w:rsidRPr="000D67C6" w14:paraId="62586084" w14:textId="77777777" w:rsidTr="00055140">
        <w:trPr>
          <w:trHeight w:val="406"/>
        </w:trPr>
        <w:tc>
          <w:tcPr>
            <w:tcW w:w="184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CA10A38" w14:textId="77777777" w:rsidR="00F20D20" w:rsidRPr="000D67C6" w:rsidRDefault="00F20D20"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(94)</w:t>
            </w:r>
          </w:p>
        </w:tc>
        <w:tc>
          <w:tcPr>
            <w:tcW w:w="31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911AF68"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682F0F0"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98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861FDF4" w14:textId="77777777" w:rsidR="00F20D20" w:rsidRPr="000D67C6" w:rsidRDefault="00FB45A2"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2E375B" w:rsidRPr="000D67C6">
              <w:rPr>
                <w:rFonts w:ascii="Arial" w:eastAsia="Verdana" w:hAnsi="Arial" w:cs="Arial"/>
                <w:b/>
                <w:sz w:val="22"/>
                <w:szCs w:val="22"/>
                <w:lang w:val="en-GB"/>
              </w:rPr>
              <w:t>280</w:t>
            </w:r>
            <w:r w:rsidRPr="000D67C6">
              <w:rPr>
                <w:rFonts w:ascii="Arial" w:eastAsia="Verdana" w:hAnsi="Arial" w:cs="Arial"/>
                <w:b/>
                <w:sz w:val="22"/>
                <w:szCs w:val="22"/>
                <w:lang w:val="en-GB"/>
              </w:rPr>
              <w:t>)</w:t>
            </w:r>
          </w:p>
        </w:tc>
      </w:tr>
    </w:tbl>
    <w:p w14:paraId="737B90ED" w14:textId="77777777" w:rsidR="002E375B" w:rsidRPr="000D67C6" w:rsidRDefault="002E375B" w:rsidP="00821D01">
      <w:pPr>
        <w:rPr>
          <w:rFonts w:ascii="Arial" w:hAnsi="Arial" w:cs="Arial"/>
          <w:b/>
          <w:sz w:val="28"/>
          <w:lang w:val="en-GB"/>
        </w:rPr>
      </w:pPr>
    </w:p>
    <w:p w14:paraId="6673C04B" w14:textId="77777777" w:rsidR="002E375B" w:rsidRPr="000D67C6" w:rsidRDefault="002E375B" w:rsidP="00821D01">
      <w:pPr>
        <w:rPr>
          <w:rFonts w:ascii="Arial" w:hAnsi="Arial" w:cs="Arial"/>
          <w:b/>
          <w:sz w:val="28"/>
          <w:lang w:val="en-GB"/>
        </w:rPr>
      </w:pPr>
    </w:p>
    <w:p w14:paraId="50946268" w14:textId="1DEEADF3" w:rsidR="00A318A5" w:rsidRDefault="00A318A5" w:rsidP="00A318A5">
      <w:pPr>
        <w:jc w:val="both"/>
        <w:rPr>
          <w:rFonts w:ascii="Arial" w:hAnsi="Arial" w:cs="Arial"/>
          <w:sz w:val="22"/>
          <w:szCs w:val="22"/>
          <w:lang w:val="en-GB"/>
        </w:rPr>
      </w:pPr>
      <w:r w:rsidRPr="000D67C6">
        <w:rPr>
          <w:rFonts w:ascii="Arial" w:hAnsi="Arial" w:cs="Arial"/>
          <w:sz w:val="22"/>
          <w:szCs w:val="22"/>
          <w:lang w:val="en-GB"/>
        </w:rPr>
        <w:t>The Authority has received the following revenue grants that have yet to be recognised as income as they have conditions attached to them that will require the monies to be returned to the giver if the conditions are not satisfied. The balances at the year-end are as follows:</w:t>
      </w:r>
    </w:p>
    <w:p w14:paraId="689400F1" w14:textId="10F50A33" w:rsidR="00055140" w:rsidRDefault="00055140" w:rsidP="00A318A5">
      <w:pPr>
        <w:jc w:val="both"/>
        <w:rPr>
          <w:rFonts w:ascii="Arial" w:hAnsi="Arial" w:cs="Arial"/>
          <w:sz w:val="22"/>
          <w:szCs w:val="22"/>
          <w:lang w:val="en-GB"/>
        </w:rPr>
      </w:pPr>
    </w:p>
    <w:p w14:paraId="2395088B" w14:textId="527F676D" w:rsidR="00055140" w:rsidRPr="00055140" w:rsidRDefault="00055140" w:rsidP="00A318A5">
      <w:pPr>
        <w:jc w:val="both"/>
        <w:rPr>
          <w:rFonts w:ascii="Arial" w:hAnsi="Arial" w:cs="Arial"/>
          <w:b/>
          <w:szCs w:val="22"/>
          <w:lang w:val="en-GB"/>
        </w:rPr>
      </w:pPr>
      <w:r w:rsidRPr="00055140">
        <w:rPr>
          <w:rFonts w:ascii="Arial" w:hAnsi="Arial" w:cs="Arial"/>
          <w:b/>
          <w:szCs w:val="22"/>
          <w:lang w:val="en-GB"/>
        </w:rPr>
        <w:t>Current Liabilities – Revenue Grants Receipts in Advance</w:t>
      </w:r>
    </w:p>
    <w:tbl>
      <w:tblPr>
        <w:tblW w:w="0" w:type="auto"/>
        <w:tblInd w:w="851" w:type="dxa"/>
        <w:tblLayout w:type="fixed"/>
        <w:tblLook w:val="04A0" w:firstRow="1" w:lastRow="0" w:firstColumn="1" w:lastColumn="0" w:noHBand="0" w:noVBand="1"/>
      </w:tblPr>
      <w:tblGrid>
        <w:gridCol w:w="1073"/>
        <w:gridCol w:w="236"/>
        <w:gridCol w:w="4786"/>
        <w:gridCol w:w="1134"/>
      </w:tblGrid>
      <w:tr w:rsidR="00A318A5" w:rsidRPr="000D67C6" w14:paraId="7163A2B2" w14:textId="77777777" w:rsidTr="002F0F37">
        <w:trPr>
          <w:trHeight w:val="360"/>
        </w:trPr>
        <w:tc>
          <w:tcPr>
            <w:tcW w:w="1073" w:type="dxa"/>
            <w:shd w:val="clear" w:color="auto" w:fill="auto"/>
            <w:tcMar>
              <w:top w:w="20" w:type="dxa"/>
              <w:left w:w="20" w:type="dxa"/>
              <w:bottom w:w="20" w:type="dxa"/>
              <w:right w:w="20" w:type="dxa"/>
            </w:tcMar>
            <w:vAlign w:val="bottom"/>
          </w:tcPr>
          <w:p w14:paraId="49A6647B"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2017/18</w:t>
            </w:r>
          </w:p>
        </w:tc>
        <w:tc>
          <w:tcPr>
            <w:tcW w:w="236" w:type="dxa"/>
            <w:shd w:val="clear" w:color="auto" w:fill="auto"/>
            <w:tcMar>
              <w:top w:w="20" w:type="dxa"/>
              <w:left w:w="20" w:type="dxa"/>
              <w:bottom w:w="20" w:type="dxa"/>
              <w:right w:w="20" w:type="dxa"/>
            </w:tcMar>
          </w:tcPr>
          <w:p w14:paraId="0F6993D6"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shd w:val="clear" w:color="auto" w:fill="auto"/>
            <w:tcMar>
              <w:top w:w="20" w:type="dxa"/>
              <w:left w:w="20" w:type="dxa"/>
              <w:bottom w:w="20" w:type="dxa"/>
              <w:right w:w="20" w:type="dxa"/>
            </w:tcMar>
          </w:tcPr>
          <w:p w14:paraId="6059215A"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shd w:val="clear" w:color="auto" w:fill="auto"/>
            <w:tcMar>
              <w:top w:w="20" w:type="dxa"/>
              <w:left w:w="20" w:type="dxa"/>
              <w:bottom w:w="20" w:type="dxa"/>
              <w:right w:w="20" w:type="dxa"/>
            </w:tcMar>
            <w:vAlign w:val="bottom"/>
          </w:tcPr>
          <w:p w14:paraId="566164C4"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2018/19</w:t>
            </w:r>
          </w:p>
        </w:tc>
      </w:tr>
      <w:tr w:rsidR="00A318A5" w:rsidRPr="000D67C6" w14:paraId="5951745A" w14:textId="77777777" w:rsidTr="002F0F37">
        <w:trPr>
          <w:trHeight w:val="255"/>
        </w:trPr>
        <w:tc>
          <w:tcPr>
            <w:tcW w:w="1073" w:type="dxa"/>
            <w:tcBorders>
              <w:bottom w:val="single" w:sz="2" w:space="0" w:color="000000"/>
            </w:tcBorders>
            <w:shd w:val="clear" w:color="auto" w:fill="auto"/>
            <w:tcMar>
              <w:top w:w="20" w:type="dxa"/>
              <w:left w:w="20" w:type="dxa"/>
              <w:bottom w:w="20" w:type="dxa"/>
              <w:right w:w="20" w:type="dxa"/>
            </w:tcMar>
          </w:tcPr>
          <w:p w14:paraId="16656B4C"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36" w:type="dxa"/>
            <w:tcBorders>
              <w:bottom w:val="single" w:sz="2" w:space="0" w:color="000000"/>
            </w:tcBorders>
            <w:shd w:val="clear" w:color="auto" w:fill="auto"/>
            <w:tcMar>
              <w:top w:w="20" w:type="dxa"/>
              <w:left w:w="20" w:type="dxa"/>
              <w:bottom w:w="20" w:type="dxa"/>
              <w:right w:w="20" w:type="dxa"/>
            </w:tcMar>
          </w:tcPr>
          <w:p w14:paraId="4BD1F3FD"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tcBorders>
              <w:bottom w:val="single" w:sz="2" w:space="0" w:color="000000"/>
            </w:tcBorders>
            <w:shd w:val="clear" w:color="auto" w:fill="auto"/>
            <w:tcMar>
              <w:top w:w="20" w:type="dxa"/>
              <w:left w:w="20" w:type="dxa"/>
              <w:bottom w:w="20" w:type="dxa"/>
              <w:right w:w="20" w:type="dxa"/>
            </w:tcMar>
          </w:tcPr>
          <w:p w14:paraId="5089FF49"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tcBorders>
              <w:bottom w:val="single" w:sz="2" w:space="0" w:color="000000"/>
            </w:tcBorders>
            <w:shd w:val="clear" w:color="auto" w:fill="auto"/>
            <w:tcMar>
              <w:top w:w="20" w:type="dxa"/>
              <w:left w:w="20" w:type="dxa"/>
              <w:bottom w:w="20" w:type="dxa"/>
              <w:right w:w="20" w:type="dxa"/>
            </w:tcMar>
          </w:tcPr>
          <w:p w14:paraId="59136D35" w14:textId="77777777"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A318A5" w:rsidRPr="000D67C6" w14:paraId="5235F5EC" w14:textId="77777777" w:rsidTr="002F0F37">
        <w:trPr>
          <w:trHeight w:val="255"/>
        </w:trPr>
        <w:tc>
          <w:tcPr>
            <w:tcW w:w="1073" w:type="dxa"/>
            <w:shd w:val="clear" w:color="auto" w:fill="auto"/>
            <w:tcMar>
              <w:top w:w="20" w:type="dxa"/>
              <w:left w:w="20" w:type="dxa"/>
              <w:bottom w:w="20" w:type="dxa"/>
              <w:right w:w="20" w:type="dxa"/>
            </w:tcMar>
            <w:vAlign w:val="center"/>
          </w:tcPr>
          <w:p w14:paraId="24E98254" w14:textId="268274D3" w:rsidR="00A318A5" w:rsidRPr="000D67C6" w:rsidRDefault="00A318A5"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6" w:type="dxa"/>
            <w:shd w:val="clear" w:color="auto" w:fill="auto"/>
            <w:tcMar>
              <w:top w:w="20" w:type="dxa"/>
              <w:left w:w="20" w:type="dxa"/>
              <w:bottom w:w="20" w:type="dxa"/>
              <w:right w:w="20" w:type="dxa"/>
            </w:tcMar>
            <w:vAlign w:val="center"/>
          </w:tcPr>
          <w:p w14:paraId="2D399DFE" w14:textId="77777777" w:rsidR="00A318A5" w:rsidRPr="000D67C6" w:rsidRDefault="00A318A5" w:rsidP="002F0F37">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166EEC12" w14:textId="12CE2F50" w:rsidR="00A318A5" w:rsidRPr="000D67C6" w:rsidRDefault="00F77E0D" w:rsidP="002F0F37">
            <w:pPr>
              <w:pStyle w:val="T1TableStyle"/>
              <w:rPr>
                <w:rFonts w:ascii="Arial" w:eastAsia="Verdana" w:hAnsi="Arial" w:cs="Arial"/>
                <w:sz w:val="22"/>
                <w:szCs w:val="22"/>
                <w:lang w:val="en-GB"/>
              </w:rPr>
            </w:pPr>
            <w:r w:rsidRPr="000D67C6">
              <w:rPr>
                <w:rFonts w:ascii="Arial" w:eastAsia="Verdana" w:hAnsi="Arial" w:cs="Arial"/>
                <w:sz w:val="22"/>
                <w:szCs w:val="22"/>
                <w:lang w:val="en-GB"/>
              </w:rPr>
              <w:t>GovTech</w:t>
            </w:r>
            <w:r w:rsidR="00A318A5" w:rsidRPr="000D67C6">
              <w:rPr>
                <w:rFonts w:ascii="Arial" w:eastAsia="Verdana" w:hAnsi="Arial" w:cs="Arial"/>
                <w:sz w:val="22"/>
                <w:szCs w:val="22"/>
                <w:lang w:val="en-GB"/>
              </w:rPr>
              <w:t xml:space="preserve"> (Welsh Government)</w:t>
            </w:r>
          </w:p>
        </w:tc>
        <w:tc>
          <w:tcPr>
            <w:tcW w:w="1134" w:type="dxa"/>
            <w:shd w:val="clear" w:color="auto" w:fill="auto"/>
            <w:tcMar>
              <w:top w:w="20" w:type="dxa"/>
              <w:left w:w="20" w:type="dxa"/>
              <w:bottom w:w="20" w:type="dxa"/>
              <w:right w:w="20" w:type="dxa"/>
            </w:tcMar>
            <w:vAlign w:val="center"/>
          </w:tcPr>
          <w:p w14:paraId="38633D5D" w14:textId="53A6B698" w:rsidR="00A318A5" w:rsidRPr="000D67C6" w:rsidRDefault="00E23E34"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(250)</w:t>
            </w:r>
          </w:p>
        </w:tc>
      </w:tr>
      <w:tr w:rsidR="00A318A5" w:rsidRPr="000D67C6" w14:paraId="0014FCE8" w14:textId="77777777" w:rsidTr="002F0F37">
        <w:trPr>
          <w:trHeight w:val="255"/>
        </w:trPr>
        <w:tc>
          <w:tcPr>
            <w:tcW w:w="1073" w:type="dxa"/>
            <w:shd w:val="clear" w:color="auto" w:fill="auto"/>
            <w:tcMar>
              <w:top w:w="20" w:type="dxa"/>
              <w:left w:w="20" w:type="dxa"/>
              <w:bottom w:w="20" w:type="dxa"/>
              <w:right w:w="20" w:type="dxa"/>
            </w:tcMar>
            <w:vAlign w:val="center"/>
          </w:tcPr>
          <w:p w14:paraId="7B28301A" w14:textId="77777777" w:rsidR="00A318A5" w:rsidRPr="000D67C6" w:rsidRDefault="00A318A5"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6" w:type="dxa"/>
            <w:shd w:val="clear" w:color="auto" w:fill="auto"/>
            <w:tcMar>
              <w:top w:w="20" w:type="dxa"/>
              <w:left w:w="20" w:type="dxa"/>
              <w:bottom w:w="20" w:type="dxa"/>
              <w:right w:w="20" w:type="dxa"/>
            </w:tcMar>
            <w:vAlign w:val="center"/>
          </w:tcPr>
          <w:p w14:paraId="4FCA5FB0" w14:textId="77777777" w:rsidR="00A318A5" w:rsidRPr="000D67C6" w:rsidRDefault="00A318A5" w:rsidP="002F0F37">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21C5C1B9" w14:textId="77777777" w:rsidR="00A318A5" w:rsidRPr="000D67C6" w:rsidRDefault="00A318A5" w:rsidP="002F0F37">
            <w:pPr>
              <w:pStyle w:val="T1TableStyle"/>
              <w:rPr>
                <w:rFonts w:ascii="Arial" w:eastAsia="Verdana" w:hAnsi="Arial" w:cs="Arial"/>
                <w:sz w:val="22"/>
                <w:szCs w:val="22"/>
                <w:lang w:val="en-GB"/>
              </w:rPr>
            </w:pPr>
            <w:r w:rsidRPr="000D67C6">
              <w:rPr>
                <w:rFonts w:ascii="Arial" w:eastAsia="Verdana" w:hAnsi="Arial" w:cs="Arial"/>
                <w:sz w:val="22"/>
                <w:szCs w:val="22"/>
                <w:lang w:val="en-GB"/>
              </w:rPr>
              <w:t>Storm Callum (Welsh Government)</w:t>
            </w:r>
          </w:p>
        </w:tc>
        <w:tc>
          <w:tcPr>
            <w:tcW w:w="1134" w:type="dxa"/>
            <w:shd w:val="clear" w:color="auto" w:fill="auto"/>
            <w:tcMar>
              <w:top w:w="20" w:type="dxa"/>
              <w:left w:w="20" w:type="dxa"/>
              <w:bottom w:w="20" w:type="dxa"/>
              <w:right w:w="20" w:type="dxa"/>
            </w:tcMar>
            <w:vAlign w:val="center"/>
          </w:tcPr>
          <w:p w14:paraId="3AA5A76E" w14:textId="08B1EE3C" w:rsidR="00A318A5" w:rsidRPr="000D67C6" w:rsidRDefault="00A318A5"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w:t>
            </w:r>
            <w:r w:rsidR="00E23E34" w:rsidRPr="000D67C6">
              <w:rPr>
                <w:rFonts w:ascii="Arial" w:eastAsia="Verdana" w:hAnsi="Arial" w:cs="Arial"/>
                <w:sz w:val="22"/>
                <w:szCs w:val="22"/>
                <w:lang w:val="en-GB"/>
              </w:rPr>
              <w:t>57</w:t>
            </w:r>
            <w:r w:rsidRPr="000D67C6">
              <w:rPr>
                <w:rFonts w:ascii="Arial" w:eastAsia="Verdana" w:hAnsi="Arial" w:cs="Arial"/>
                <w:sz w:val="22"/>
                <w:szCs w:val="22"/>
                <w:lang w:val="en-GB"/>
              </w:rPr>
              <w:t>)</w:t>
            </w:r>
          </w:p>
        </w:tc>
      </w:tr>
      <w:tr w:rsidR="00A318A5" w:rsidRPr="000D67C6" w14:paraId="2703EFC2" w14:textId="77777777" w:rsidTr="002F0F37">
        <w:trPr>
          <w:trHeight w:val="255"/>
        </w:trPr>
        <w:tc>
          <w:tcPr>
            <w:tcW w:w="1073" w:type="dxa"/>
            <w:shd w:val="clear" w:color="auto" w:fill="auto"/>
            <w:tcMar>
              <w:top w:w="20" w:type="dxa"/>
              <w:left w:w="20" w:type="dxa"/>
              <w:bottom w:w="20" w:type="dxa"/>
              <w:right w:w="20" w:type="dxa"/>
            </w:tcMar>
            <w:vAlign w:val="center"/>
          </w:tcPr>
          <w:p w14:paraId="403710DF" w14:textId="64BF60D2" w:rsidR="00A318A5" w:rsidRPr="000D67C6" w:rsidRDefault="00F77E0D"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6" w:type="dxa"/>
            <w:shd w:val="clear" w:color="auto" w:fill="auto"/>
            <w:tcMar>
              <w:top w:w="20" w:type="dxa"/>
              <w:left w:w="20" w:type="dxa"/>
              <w:bottom w:w="20" w:type="dxa"/>
              <w:right w:w="20" w:type="dxa"/>
            </w:tcMar>
            <w:vAlign w:val="center"/>
          </w:tcPr>
          <w:p w14:paraId="1B8F0485" w14:textId="77777777" w:rsidR="00A318A5" w:rsidRPr="000D67C6" w:rsidRDefault="00A318A5" w:rsidP="002F0F37">
            <w:pPr>
              <w:pStyle w:val="T1TableStyle"/>
              <w:jc w:val="center"/>
              <w:rPr>
                <w:rFonts w:ascii="Arial" w:eastAsia="Verdana" w:hAnsi="Arial" w:cs="Arial"/>
                <w:sz w:val="22"/>
                <w:szCs w:val="22"/>
                <w:lang w:val="en-GB"/>
              </w:rPr>
            </w:pPr>
          </w:p>
        </w:tc>
        <w:tc>
          <w:tcPr>
            <w:tcW w:w="4786" w:type="dxa"/>
            <w:shd w:val="clear" w:color="auto" w:fill="auto"/>
            <w:tcMar>
              <w:top w:w="20" w:type="dxa"/>
              <w:left w:w="20" w:type="dxa"/>
              <w:bottom w:w="20" w:type="dxa"/>
              <w:right w:w="20" w:type="dxa"/>
            </w:tcMar>
            <w:vAlign w:val="center"/>
          </w:tcPr>
          <w:p w14:paraId="58AD2AB2" w14:textId="5AB8E53B" w:rsidR="00A318A5" w:rsidRPr="000D67C6" w:rsidRDefault="00F77E0D" w:rsidP="002F0F37">
            <w:pPr>
              <w:pStyle w:val="T1TableStyle"/>
              <w:rPr>
                <w:rFonts w:ascii="Arial" w:eastAsia="Verdana" w:hAnsi="Arial" w:cs="Arial"/>
                <w:sz w:val="22"/>
                <w:szCs w:val="22"/>
                <w:lang w:val="en-GB"/>
              </w:rPr>
            </w:pPr>
            <w:r w:rsidRPr="000D67C6">
              <w:rPr>
                <w:rFonts w:ascii="Arial" w:eastAsia="Verdana" w:hAnsi="Arial" w:cs="Arial"/>
                <w:sz w:val="22"/>
                <w:szCs w:val="22"/>
                <w:lang w:val="en-GB"/>
              </w:rPr>
              <w:t>Y Lab (</w:t>
            </w:r>
            <w:r w:rsidR="00E23E34" w:rsidRPr="000D67C6">
              <w:rPr>
                <w:rFonts w:ascii="Arial" w:eastAsia="Verdana" w:hAnsi="Arial" w:cs="Arial"/>
                <w:sz w:val="22"/>
                <w:szCs w:val="22"/>
                <w:lang w:val="en-GB"/>
              </w:rPr>
              <w:t>Nesta)</w:t>
            </w:r>
          </w:p>
        </w:tc>
        <w:tc>
          <w:tcPr>
            <w:tcW w:w="1134" w:type="dxa"/>
            <w:shd w:val="clear" w:color="auto" w:fill="auto"/>
            <w:tcMar>
              <w:top w:w="20" w:type="dxa"/>
              <w:left w:w="20" w:type="dxa"/>
              <w:bottom w:w="20" w:type="dxa"/>
              <w:right w:w="20" w:type="dxa"/>
            </w:tcMar>
            <w:vAlign w:val="center"/>
          </w:tcPr>
          <w:p w14:paraId="064BDA57" w14:textId="7EA684F5" w:rsidR="00A318A5" w:rsidRPr="000D67C6" w:rsidRDefault="00E23E34" w:rsidP="002F0F3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w:t>
            </w:r>
          </w:p>
        </w:tc>
      </w:tr>
      <w:tr w:rsidR="00A318A5" w:rsidRPr="000D67C6" w14:paraId="4072119B" w14:textId="77777777" w:rsidTr="002F0F37">
        <w:trPr>
          <w:trHeight w:val="406"/>
        </w:trPr>
        <w:tc>
          <w:tcPr>
            <w:tcW w:w="107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D11A923" w14:textId="3ABE6408"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E23E34" w:rsidRPr="000D67C6">
              <w:rPr>
                <w:rFonts w:ascii="Arial" w:eastAsia="Verdana" w:hAnsi="Arial" w:cs="Arial"/>
                <w:b/>
                <w:sz w:val="22"/>
                <w:szCs w:val="22"/>
                <w:lang w:val="en-GB"/>
              </w:rPr>
              <w:t>0</w:t>
            </w:r>
            <w:r w:rsidRPr="000D67C6">
              <w:rPr>
                <w:rFonts w:ascii="Arial" w:eastAsia="Verdana" w:hAnsi="Arial" w:cs="Arial"/>
                <w:b/>
                <w:sz w:val="22"/>
                <w:szCs w:val="22"/>
                <w:lang w:val="en-GB"/>
              </w:rPr>
              <w:t>)</w:t>
            </w:r>
          </w:p>
        </w:tc>
        <w:tc>
          <w:tcPr>
            <w:tcW w:w="23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9927E62" w14:textId="77777777" w:rsidR="00A318A5" w:rsidRPr="000D67C6" w:rsidRDefault="00A318A5" w:rsidP="002F0F37">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478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40720D6" w14:textId="77777777" w:rsidR="00A318A5" w:rsidRPr="000D67C6" w:rsidRDefault="00A318A5" w:rsidP="002F0F37">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083842A" w14:textId="4A3E7DE1" w:rsidR="00A318A5" w:rsidRPr="000D67C6" w:rsidRDefault="00A318A5" w:rsidP="002F0F3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E23E34" w:rsidRPr="000D67C6">
              <w:rPr>
                <w:rFonts w:ascii="Arial" w:eastAsia="Verdana" w:hAnsi="Arial" w:cs="Arial"/>
                <w:b/>
                <w:sz w:val="22"/>
                <w:szCs w:val="22"/>
                <w:lang w:val="en-GB"/>
              </w:rPr>
              <w:t>322</w:t>
            </w:r>
            <w:r w:rsidRPr="000D67C6">
              <w:rPr>
                <w:rFonts w:ascii="Arial" w:eastAsia="Verdana" w:hAnsi="Arial" w:cs="Arial"/>
                <w:b/>
                <w:sz w:val="22"/>
                <w:szCs w:val="22"/>
                <w:lang w:val="en-GB"/>
              </w:rPr>
              <w:t>)</w:t>
            </w:r>
          </w:p>
        </w:tc>
      </w:tr>
    </w:tbl>
    <w:p w14:paraId="01A4E22E" w14:textId="77777777" w:rsidR="00334D08" w:rsidRPr="00055140" w:rsidRDefault="00334D08" w:rsidP="00821D01">
      <w:pPr>
        <w:rPr>
          <w:rFonts w:ascii="Arial" w:hAnsi="Arial" w:cs="Arial"/>
          <w:b/>
          <w:sz w:val="36"/>
          <w:lang w:val="en-GB"/>
        </w:rPr>
      </w:pPr>
    </w:p>
    <w:p w14:paraId="2D85A586" w14:textId="77777777" w:rsidR="008F013B" w:rsidRPr="000D67C6" w:rsidRDefault="00F20D20" w:rsidP="00821D01">
      <w:pPr>
        <w:rPr>
          <w:rFonts w:ascii="Arial" w:hAnsi="Arial" w:cs="Arial"/>
          <w:b/>
          <w:sz w:val="28"/>
          <w:lang w:val="en-GB"/>
        </w:rPr>
      </w:pPr>
      <w:r w:rsidRPr="000D67C6">
        <w:rPr>
          <w:rFonts w:ascii="Arial" w:hAnsi="Arial" w:cs="Arial"/>
          <w:b/>
          <w:sz w:val="28"/>
          <w:lang w:val="en-GB"/>
        </w:rPr>
        <w:t>N</w:t>
      </w:r>
      <w:r w:rsidR="002F5FB5" w:rsidRPr="000D67C6">
        <w:rPr>
          <w:rFonts w:ascii="Arial" w:hAnsi="Arial" w:cs="Arial"/>
          <w:b/>
          <w:sz w:val="28"/>
          <w:lang w:val="en-GB"/>
        </w:rPr>
        <w:t>ote 26</w:t>
      </w:r>
      <w:r w:rsidR="008F013B" w:rsidRPr="000D67C6">
        <w:rPr>
          <w:rFonts w:ascii="Arial" w:hAnsi="Arial" w:cs="Arial"/>
          <w:b/>
          <w:sz w:val="28"/>
          <w:lang w:val="en-GB"/>
        </w:rPr>
        <w:t xml:space="preserve"> - Related Parties </w:t>
      </w:r>
    </w:p>
    <w:p w14:paraId="7B2BE2F7" w14:textId="77777777" w:rsidR="00CC663C" w:rsidRPr="00055140" w:rsidRDefault="00CC663C" w:rsidP="00CC663C">
      <w:pPr>
        <w:rPr>
          <w:rFonts w:ascii="Arial" w:hAnsi="Arial" w:cs="Arial"/>
          <w:lang w:val="en-GB"/>
        </w:rPr>
      </w:pPr>
    </w:p>
    <w:p w14:paraId="5DAF088A" w14:textId="77777777" w:rsidR="00CC663C" w:rsidRPr="000D67C6" w:rsidRDefault="00CC663C" w:rsidP="00CC663C">
      <w:pPr>
        <w:pStyle w:val="Default"/>
        <w:jc w:val="both"/>
        <w:rPr>
          <w:rFonts w:ascii="Arial" w:hAnsi="Arial" w:cs="Arial"/>
          <w:sz w:val="22"/>
          <w:szCs w:val="22"/>
        </w:rPr>
      </w:pPr>
      <w:r w:rsidRPr="000D67C6">
        <w:rPr>
          <w:rFonts w:ascii="Arial" w:hAnsi="Arial" w:cs="Arial"/>
          <w:sz w:val="22"/>
          <w:szCs w:val="22"/>
        </w:rPr>
        <w:t>The Authority is required to disclose material trans</w:t>
      </w:r>
      <w:r w:rsidR="003A0244" w:rsidRPr="000D67C6">
        <w:rPr>
          <w:rFonts w:ascii="Arial" w:hAnsi="Arial" w:cs="Arial"/>
          <w:sz w:val="22"/>
          <w:szCs w:val="22"/>
        </w:rPr>
        <w:t>actions</w:t>
      </w:r>
      <w:r w:rsidRPr="000D67C6">
        <w:rPr>
          <w:rFonts w:ascii="Arial" w:hAnsi="Arial" w:cs="Arial"/>
          <w:sz w:val="22"/>
          <w:szCs w:val="22"/>
        </w:rPr>
        <w:t xml:space="preserve"> with related</w:t>
      </w:r>
      <w:r w:rsidR="003A0244" w:rsidRPr="000D67C6">
        <w:rPr>
          <w:rFonts w:ascii="Arial" w:hAnsi="Arial" w:cs="Arial"/>
          <w:sz w:val="22"/>
          <w:szCs w:val="22"/>
        </w:rPr>
        <w:t xml:space="preserve"> parties - bodies or individual</w:t>
      </w:r>
      <w:r w:rsidRPr="000D67C6">
        <w:rPr>
          <w:rFonts w:ascii="Arial" w:hAnsi="Arial" w:cs="Arial"/>
          <w:sz w:val="22"/>
          <w:szCs w:val="22"/>
        </w:rPr>
        <w:t xml:space="preserve">s that have the potential to control or influence the Authority or to be controlled or influenced by the Authority. Disclosure of these transactions allows readers to assess the extent to which the Authority might have been constrained in its ability to bargain freely with the Related Party. </w:t>
      </w:r>
    </w:p>
    <w:p w14:paraId="1EE78075" w14:textId="77777777" w:rsidR="00CC663C" w:rsidRPr="000D67C6" w:rsidRDefault="00CC663C" w:rsidP="00CC663C">
      <w:pPr>
        <w:pStyle w:val="Default"/>
        <w:jc w:val="both"/>
        <w:rPr>
          <w:rFonts w:ascii="Arial" w:hAnsi="Arial" w:cs="Arial"/>
          <w:sz w:val="22"/>
          <w:szCs w:val="22"/>
        </w:rPr>
      </w:pPr>
    </w:p>
    <w:p w14:paraId="3237D8AE" w14:textId="74B001E1" w:rsidR="00CC663C" w:rsidRDefault="00CC663C" w:rsidP="00CC663C">
      <w:pPr>
        <w:pStyle w:val="Default"/>
        <w:rPr>
          <w:rFonts w:ascii="Arial" w:hAnsi="Arial" w:cs="Arial"/>
          <w:b/>
          <w:bCs/>
          <w:sz w:val="22"/>
          <w:szCs w:val="22"/>
        </w:rPr>
      </w:pPr>
      <w:r w:rsidRPr="000D67C6">
        <w:rPr>
          <w:rFonts w:ascii="Arial" w:hAnsi="Arial" w:cs="Arial"/>
          <w:b/>
          <w:bCs/>
          <w:sz w:val="22"/>
          <w:szCs w:val="22"/>
        </w:rPr>
        <w:t xml:space="preserve">Welsh Government </w:t>
      </w:r>
      <w:r w:rsidR="00AC798D" w:rsidRPr="000D67C6">
        <w:rPr>
          <w:rFonts w:ascii="Arial" w:hAnsi="Arial" w:cs="Arial"/>
          <w:b/>
          <w:bCs/>
          <w:sz w:val="22"/>
          <w:szCs w:val="22"/>
        </w:rPr>
        <w:t>(WG)</w:t>
      </w:r>
    </w:p>
    <w:p w14:paraId="1F4518EA" w14:textId="77777777" w:rsidR="00055140" w:rsidRPr="000D67C6" w:rsidRDefault="00055140" w:rsidP="00CC663C">
      <w:pPr>
        <w:pStyle w:val="Default"/>
        <w:rPr>
          <w:rFonts w:ascii="Arial" w:hAnsi="Arial" w:cs="Arial"/>
          <w:sz w:val="22"/>
          <w:szCs w:val="22"/>
        </w:rPr>
      </w:pPr>
    </w:p>
    <w:p w14:paraId="23804C53" w14:textId="77777777" w:rsidR="00CC663C" w:rsidRPr="000D67C6" w:rsidRDefault="00CC663C" w:rsidP="00CC663C">
      <w:pPr>
        <w:jc w:val="both"/>
        <w:rPr>
          <w:rFonts w:ascii="Arial" w:hAnsi="Arial" w:cs="Arial"/>
          <w:sz w:val="22"/>
          <w:szCs w:val="22"/>
        </w:rPr>
      </w:pPr>
      <w:r w:rsidRPr="000D67C6">
        <w:rPr>
          <w:rFonts w:ascii="Arial" w:hAnsi="Arial" w:cs="Arial"/>
          <w:sz w:val="22"/>
          <w:szCs w:val="22"/>
        </w:rPr>
        <w:t>Welsh Government has significant influence over the general operations of the Authority - it is responsible for providing the statutory framework within which the Authority operates and provides some funding in the form of</w:t>
      </w:r>
      <w:r w:rsidR="003A0244" w:rsidRPr="000D67C6">
        <w:rPr>
          <w:rFonts w:ascii="Arial" w:hAnsi="Arial" w:cs="Arial"/>
          <w:sz w:val="22"/>
          <w:szCs w:val="22"/>
        </w:rPr>
        <w:t xml:space="preserve"> grants. The grants received fro</w:t>
      </w:r>
      <w:r w:rsidRPr="000D67C6">
        <w:rPr>
          <w:rFonts w:ascii="Arial" w:hAnsi="Arial" w:cs="Arial"/>
          <w:sz w:val="22"/>
          <w:szCs w:val="22"/>
        </w:rPr>
        <w:t>m government departments are set out in note 2</w:t>
      </w:r>
      <w:r w:rsidR="00BA73CF" w:rsidRPr="000D67C6">
        <w:rPr>
          <w:rFonts w:ascii="Arial" w:hAnsi="Arial" w:cs="Arial"/>
          <w:sz w:val="22"/>
          <w:szCs w:val="22"/>
        </w:rPr>
        <w:t>5</w:t>
      </w:r>
      <w:r w:rsidRPr="000D67C6">
        <w:rPr>
          <w:rFonts w:ascii="Arial" w:hAnsi="Arial" w:cs="Arial"/>
          <w:sz w:val="22"/>
          <w:szCs w:val="22"/>
        </w:rPr>
        <w:t>.</w:t>
      </w:r>
    </w:p>
    <w:p w14:paraId="0BFCE013" w14:textId="77777777" w:rsidR="00CC663C" w:rsidRPr="000D67C6" w:rsidRDefault="00CC663C" w:rsidP="00CC663C">
      <w:pPr>
        <w:rPr>
          <w:rFonts w:ascii="Arial" w:hAnsi="Arial" w:cs="Arial"/>
          <w:sz w:val="22"/>
          <w:szCs w:val="22"/>
        </w:rPr>
      </w:pPr>
    </w:p>
    <w:p w14:paraId="7F2CFD29" w14:textId="34AF790D" w:rsidR="00CC663C" w:rsidRDefault="00CC663C" w:rsidP="00CC663C">
      <w:pPr>
        <w:pStyle w:val="Default"/>
        <w:rPr>
          <w:rFonts w:ascii="Arial" w:hAnsi="Arial" w:cs="Arial"/>
          <w:b/>
          <w:bCs/>
          <w:sz w:val="22"/>
          <w:szCs w:val="22"/>
        </w:rPr>
      </w:pPr>
      <w:r w:rsidRPr="000D67C6">
        <w:rPr>
          <w:rFonts w:ascii="Arial" w:hAnsi="Arial" w:cs="Arial"/>
          <w:b/>
          <w:bCs/>
          <w:sz w:val="22"/>
          <w:szCs w:val="22"/>
        </w:rPr>
        <w:t xml:space="preserve">Members </w:t>
      </w:r>
    </w:p>
    <w:p w14:paraId="4AC3B6B2" w14:textId="77777777" w:rsidR="00055140" w:rsidRPr="000D67C6" w:rsidRDefault="00055140" w:rsidP="00CC663C">
      <w:pPr>
        <w:pStyle w:val="Default"/>
        <w:rPr>
          <w:rFonts w:ascii="Arial" w:hAnsi="Arial" w:cs="Arial"/>
          <w:sz w:val="22"/>
          <w:szCs w:val="22"/>
        </w:rPr>
      </w:pPr>
    </w:p>
    <w:p w14:paraId="7BF8F9F0" w14:textId="77777777" w:rsidR="00CC663C" w:rsidRPr="000D67C6" w:rsidRDefault="00CC663C" w:rsidP="00CC663C">
      <w:pPr>
        <w:pStyle w:val="Default"/>
        <w:jc w:val="both"/>
        <w:rPr>
          <w:rFonts w:ascii="Arial" w:hAnsi="Arial" w:cs="Arial"/>
          <w:sz w:val="22"/>
          <w:szCs w:val="22"/>
        </w:rPr>
      </w:pPr>
      <w:r w:rsidRPr="000D67C6">
        <w:rPr>
          <w:rFonts w:ascii="Arial" w:hAnsi="Arial" w:cs="Arial"/>
          <w:sz w:val="22"/>
          <w:szCs w:val="22"/>
        </w:rPr>
        <w:t>Members of the Fire and Rescue Authority have direct control over the Authority's financial and operating policies. The total of members' allowances pai</w:t>
      </w:r>
      <w:r w:rsidR="00532056" w:rsidRPr="000D67C6">
        <w:rPr>
          <w:rFonts w:ascii="Arial" w:hAnsi="Arial" w:cs="Arial"/>
          <w:sz w:val="22"/>
          <w:szCs w:val="22"/>
        </w:rPr>
        <w:t>d in 201</w:t>
      </w:r>
      <w:r w:rsidR="00F20D20" w:rsidRPr="000D67C6">
        <w:rPr>
          <w:rFonts w:ascii="Arial" w:hAnsi="Arial" w:cs="Arial"/>
          <w:sz w:val="22"/>
          <w:szCs w:val="22"/>
        </w:rPr>
        <w:t>8</w:t>
      </w:r>
      <w:r w:rsidR="00532056" w:rsidRPr="000D67C6">
        <w:rPr>
          <w:rFonts w:ascii="Arial" w:hAnsi="Arial" w:cs="Arial"/>
          <w:sz w:val="22"/>
          <w:szCs w:val="22"/>
        </w:rPr>
        <w:t>/1</w:t>
      </w:r>
      <w:r w:rsidR="00F20D20" w:rsidRPr="000D67C6">
        <w:rPr>
          <w:rFonts w:ascii="Arial" w:hAnsi="Arial" w:cs="Arial"/>
          <w:sz w:val="22"/>
          <w:szCs w:val="22"/>
        </w:rPr>
        <w:t>9</w:t>
      </w:r>
      <w:r w:rsidR="00BA73CF" w:rsidRPr="000D67C6">
        <w:rPr>
          <w:rFonts w:ascii="Arial" w:hAnsi="Arial" w:cs="Arial"/>
          <w:sz w:val="22"/>
          <w:szCs w:val="22"/>
        </w:rPr>
        <w:t xml:space="preserve"> is shown in note 22</w:t>
      </w:r>
      <w:r w:rsidRPr="000D67C6">
        <w:rPr>
          <w:rFonts w:ascii="Arial" w:hAnsi="Arial" w:cs="Arial"/>
          <w:sz w:val="22"/>
          <w:szCs w:val="22"/>
        </w:rPr>
        <w:t>.</w:t>
      </w:r>
    </w:p>
    <w:p w14:paraId="199969B2" w14:textId="77777777" w:rsidR="00CC663C" w:rsidRPr="000D67C6" w:rsidRDefault="00CC663C" w:rsidP="00CC663C">
      <w:pPr>
        <w:pStyle w:val="Default"/>
        <w:rPr>
          <w:rFonts w:ascii="Arial" w:hAnsi="Arial" w:cs="Arial"/>
          <w:sz w:val="22"/>
          <w:szCs w:val="22"/>
        </w:rPr>
      </w:pPr>
      <w:r w:rsidRPr="000D67C6">
        <w:rPr>
          <w:rFonts w:ascii="Arial" w:hAnsi="Arial" w:cs="Arial"/>
          <w:sz w:val="22"/>
          <w:szCs w:val="22"/>
        </w:rPr>
        <w:t xml:space="preserve"> </w:t>
      </w:r>
    </w:p>
    <w:p w14:paraId="2D788EBB" w14:textId="5144B5BC" w:rsidR="00CC663C" w:rsidRDefault="00CC663C" w:rsidP="00CC663C">
      <w:pPr>
        <w:pStyle w:val="Default"/>
        <w:rPr>
          <w:rFonts w:ascii="Arial" w:hAnsi="Arial" w:cs="Arial"/>
          <w:b/>
          <w:bCs/>
          <w:sz w:val="22"/>
          <w:szCs w:val="22"/>
        </w:rPr>
      </w:pPr>
      <w:r w:rsidRPr="000D67C6">
        <w:rPr>
          <w:rFonts w:ascii="Arial" w:hAnsi="Arial" w:cs="Arial"/>
          <w:b/>
          <w:bCs/>
          <w:sz w:val="22"/>
          <w:szCs w:val="22"/>
        </w:rPr>
        <w:t xml:space="preserve">Officers </w:t>
      </w:r>
    </w:p>
    <w:p w14:paraId="53FCDCCA" w14:textId="77777777" w:rsidR="00055140" w:rsidRPr="000D67C6" w:rsidRDefault="00055140" w:rsidP="00CC663C">
      <w:pPr>
        <w:pStyle w:val="Default"/>
        <w:rPr>
          <w:rFonts w:ascii="Arial" w:hAnsi="Arial" w:cs="Arial"/>
          <w:sz w:val="22"/>
          <w:szCs w:val="22"/>
        </w:rPr>
      </w:pPr>
    </w:p>
    <w:p w14:paraId="05087733" w14:textId="77777777" w:rsidR="00CC663C" w:rsidRPr="000D67C6" w:rsidRDefault="00CC663C" w:rsidP="00CC663C">
      <w:pPr>
        <w:pStyle w:val="Default"/>
        <w:jc w:val="both"/>
        <w:rPr>
          <w:rFonts w:ascii="Arial" w:hAnsi="Arial" w:cs="Arial"/>
          <w:sz w:val="22"/>
          <w:szCs w:val="22"/>
        </w:rPr>
      </w:pPr>
      <w:r w:rsidRPr="000D67C6">
        <w:rPr>
          <w:rFonts w:ascii="Arial" w:hAnsi="Arial" w:cs="Arial"/>
          <w:sz w:val="22"/>
          <w:szCs w:val="22"/>
        </w:rPr>
        <w:t xml:space="preserve">No Officer declared a pecuniary interest in accordance with section 117 of the Local Government Act 1972. </w:t>
      </w:r>
    </w:p>
    <w:p w14:paraId="30D19C25" w14:textId="77777777" w:rsidR="00CC663C" w:rsidRPr="000D67C6" w:rsidRDefault="00CC663C" w:rsidP="00CC663C">
      <w:pPr>
        <w:pStyle w:val="Default"/>
        <w:rPr>
          <w:rFonts w:ascii="Arial" w:hAnsi="Arial" w:cs="Arial"/>
          <w:sz w:val="22"/>
          <w:szCs w:val="22"/>
        </w:rPr>
      </w:pPr>
    </w:p>
    <w:p w14:paraId="74600F41" w14:textId="26AF1603" w:rsidR="00CC663C" w:rsidRDefault="00CC663C" w:rsidP="008107DA">
      <w:pPr>
        <w:pStyle w:val="Default"/>
        <w:jc w:val="both"/>
        <w:rPr>
          <w:rFonts w:ascii="Arial" w:hAnsi="Arial" w:cs="Arial"/>
          <w:b/>
          <w:bCs/>
          <w:sz w:val="22"/>
          <w:szCs w:val="22"/>
        </w:rPr>
      </w:pPr>
      <w:r w:rsidRPr="000D67C6">
        <w:rPr>
          <w:rFonts w:ascii="Arial" w:hAnsi="Arial" w:cs="Arial"/>
          <w:b/>
          <w:bCs/>
          <w:sz w:val="22"/>
          <w:szCs w:val="22"/>
        </w:rPr>
        <w:t xml:space="preserve">Other Public Bodies </w:t>
      </w:r>
    </w:p>
    <w:p w14:paraId="25EC48C2" w14:textId="77777777" w:rsidR="00055140" w:rsidRPr="000D67C6" w:rsidRDefault="00055140" w:rsidP="008107DA">
      <w:pPr>
        <w:pStyle w:val="Default"/>
        <w:jc w:val="both"/>
        <w:rPr>
          <w:rFonts w:ascii="Arial" w:hAnsi="Arial" w:cs="Arial"/>
          <w:sz w:val="22"/>
          <w:szCs w:val="22"/>
        </w:rPr>
      </w:pPr>
    </w:p>
    <w:p w14:paraId="4B281EF3" w14:textId="77777777" w:rsidR="00E6630B" w:rsidRPr="000D67C6" w:rsidRDefault="00CC663C" w:rsidP="008107DA">
      <w:pPr>
        <w:jc w:val="both"/>
        <w:rPr>
          <w:rFonts w:ascii="Arial" w:hAnsi="Arial" w:cs="Arial"/>
          <w:sz w:val="22"/>
          <w:szCs w:val="22"/>
        </w:rPr>
      </w:pPr>
      <w:r w:rsidRPr="000D67C6">
        <w:rPr>
          <w:rFonts w:ascii="Arial" w:hAnsi="Arial" w:cs="Arial"/>
          <w:sz w:val="22"/>
          <w:szCs w:val="22"/>
        </w:rPr>
        <w:t xml:space="preserve">The Authority receives </w:t>
      </w:r>
      <w:proofErr w:type="gramStart"/>
      <w:r w:rsidRPr="000D67C6">
        <w:rPr>
          <w:rFonts w:ascii="Arial" w:hAnsi="Arial" w:cs="Arial"/>
          <w:sz w:val="22"/>
          <w:szCs w:val="22"/>
        </w:rPr>
        <w:t>the majority of</w:t>
      </w:r>
      <w:proofErr w:type="gramEnd"/>
      <w:r w:rsidRPr="000D67C6">
        <w:rPr>
          <w:rFonts w:ascii="Arial" w:hAnsi="Arial" w:cs="Arial"/>
          <w:sz w:val="22"/>
          <w:szCs w:val="22"/>
        </w:rPr>
        <w:t xml:space="preserve"> its revenue funding by charging a levy, based on population, to the six Unitary County Authorities in its area. Details of the amounts received by way of levy are shown within the narrative of the Statement of Accounts.</w:t>
      </w:r>
      <w:r w:rsidR="00E6630B" w:rsidRPr="000D67C6">
        <w:rPr>
          <w:rFonts w:ascii="Arial" w:hAnsi="Arial" w:cs="Arial"/>
          <w:sz w:val="22"/>
          <w:szCs w:val="22"/>
        </w:rPr>
        <w:t xml:space="preserve"> </w:t>
      </w:r>
    </w:p>
    <w:p w14:paraId="4F192E0B" w14:textId="77777777" w:rsidR="00E6630B" w:rsidRPr="000D67C6" w:rsidRDefault="00E6630B" w:rsidP="008107DA">
      <w:pPr>
        <w:jc w:val="both"/>
        <w:rPr>
          <w:rFonts w:ascii="Arial" w:hAnsi="Arial" w:cs="Arial"/>
          <w:sz w:val="22"/>
          <w:szCs w:val="22"/>
        </w:rPr>
      </w:pPr>
    </w:p>
    <w:p w14:paraId="4D4F1B6E" w14:textId="77EF637F" w:rsidR="00DB52BC" w:rsidRPr="000D67C6" w:rsidRDefault="00E6630B" w:rsidP="008107DA">
      <w:pPr>
        <w:jc w:val="both"/>
        <w:rPr>
          <w:rFonts w:ascii="Arial" w:hAnsi="Arial" w:cs="Arial"/>
          <w:sz w:val="22"/>
          <w:szCs w:val="22"/>
        </w:rPr>
      </w:pPr>
      <w:r w:rsidRPr="000D67C6">
        <w:rPr>
          <w:rFonts w:ascii="Arial" w:hAnsi="Arial" w:cs="Arial"/>
          <w:sz w:val="22"/>
          <w:szCs w:val="22"/>
        </w:rPr>
        <w:t xml:space="preserve">The Authority has a Service Level Agreement (SLA) with Carmarthenshire County Council for Financial Services including Section 151 Officer services. The Section 151 Officer responsibility have been taken on by the current Director of Resources from Carmarthenshire County Council. </w:t>
      </w:r>
    </w:p>
    <w:p w14:paraId="0E701678" w14:textId="77777777" w:rsidR="00CC663C" w:rsidRPr="000D67C6" w:rsidRDefault="00CC663C" w:rsidP="008107DA">
      <w:pPr>
        <w:jc w:val="both"/>
        <w:rPr>
          <w:rFonts w:ascii="Arial" w:hAnsi="Arial" w:cs="Arial"/>
          <w:sz w:val="22"/>
          <w:szCs w:val="22"/>
        </w:rPr>
      </w:pPr>
    </w:p>
    <w:p w14:paraId="7D1AAB58" w14:textId="46D102E6" w:rsidR="0086635F" w:rsidRPr="000D67C6" w:rsidRDefault="00CC663C" w:rsidP="00F20D20">
      <w:pPr>
        <w:pStyle w:val="Default"/>
        <w:jc w:val="both"/>
        <w:rPr>
          <w:rFonts w:ascii="Arial" w:hAnsi="Arial" w:cs="Arial"/>
          <w:sz w:val="22"/>
          <w:szCs w:val="22"/>
        </w:rPr>
      </w:pPr>
      <w:r w:rsidRPr="000D67C6">
        <w:rPr>
          <w:rFonts w:ascii="Arial" w:hAnsi="Arial" w:cs="Arial"/>
          <w:sz w:val="22"/>
          <w:szCs w:val="22"/>
        </w:rPr>
        <w:t>The Authority is the Administering Authority for the Firefighter</w:t>
      </w:r>
      <w:r w:rsidR="005E49FC" w:rsidRPr="000D67C6">
        <w:rPr>
          <w:rFonts w:ascii="Arial" w:hAnsi="Arial" w:cs="Arial"/>
          <w:sz w:val="22"/>
          <w:szCs w:val="22"/>
        </w:rPr>
        <w:t>s’</w:t>
      </w:r>
      <w:r w:rsidRPr="000D67C6">
        <w:rPr>
          <w:rFonts w:ascii="Arial" w:hAnsi="Arial" w:cs="Arial"/>
          <w:sz w:val="22"/>
          <w:szCs w:val="22"/>
        </w:rPr>
        <w:t xml:space="preserve"> Pension Fund. Details of the Firefighter</w:t>
      </w:r>
      <w:r w:rsidR="005E49FC" w:rsidRPr="000D67C6">
        <w:rPr>
          <w:rFonts w:ascii="Arial" w:hAnsi="Arial" w:cs="Arial"/>
          <w:sz w:val="22"/>
          <w:szCs w:val="22"/>
        </w:rPr>
        <w:t>s’</w:t>
      </w:r>
      <w:r w:rsidRPr="000D67C6">
        <w:rPr>
          <w:rFonts w:ascii="Arial" w:hAnsi="Arial" w:cs="Arial"/>
          <w:sz w:val="22"/>
          <w:szCs w:val="22"/>
        </w:rPr>
        <w:t xml:space="preserve"> P</w:t>
      </w:r>
      <w:r w:rsidR="000A21C5" w:rsidRPr="000D67C6">
        <w:rPr>
          <w:rFonts w:ascii="Arial" w:hAnsi="Arial" w:cs="Arial"/>
          <w:sz w:val="22"/>
          <w:szCs w:val="22"/>
        </w:rPr>
        <w:t xml:space="preserve">ension Fund </w:t>
      </w:r>
      <w:r w:rsidR="001D43C0" w:rsidRPr="000D67C6">
        <w:rPr>
          <w:rFonts w:ascii="Arial" w:hAnsi="Arial" w:cs="Arial"/>
          <w:sz w:val="22"/>
          <w:szCs w:val="22"/>
        </w:rPr>
        <w:t xml:space="preserve">are shown in note 30 </w:t>
      </w:r>
      <w:r w:rsidR="00431D1D" w:rsidRPr="000D67C6">
        <w:rPr>
          <w:rFonts w:ascii="Arial" w:hAnsi="Arial" w:cs="Arial"/>
          <w:sz w:val="22"/>
          <w:szCs w:val="22"/>
        </w:rPr>
        <w:t>and</w:t>
      </w:r>
      <w:r w:rsidR="0048341B" w:rsidRPr="000D67C6">
        <w:rPr>
          <w:rFonts w:ascii="Arial" w:hAnsi="Arial" w:cs="Arial"/>
          <w:sz w:val="22"/>
          <w:szCs w:val="22"/>
        </w:rPr>
        <w:t xml:space="preserve"> the Firefighters’ Pension</w:t>
      </w:r>
      <w:r w:rsidR="00B73D9B" w:rsidRPr="000D67C6">
        <w:rPr>
          <w:rFonts w:ascii="Arial" w:hAnsi="Arial" w:cs="Arial"/>
          <w:sz w:val="22"/>
          <w:szCs w:val="22"/>
        </w:rPr>
        <w:t xml:space="preserve"> Fund</w:t>
      </w:r>
      <w:r w:rsidR="0048341B" w:rsidRPr="000D67C6">
        <w:rPr>
          <w:rFonts w:ascii="Arial" w:hAnsi="Arial" w:cs="Arial"/>
          <w:sz w:val="22"/>
          <w:szCs w:val="22"/>
        </w:rPr>
        <w:t xml:space="preserve"> A</w:t>
      </w:r>
      <w:r w:rsidR="00431D1D" w:rsidRPr="000D67C6">
        <w:rPr>
          <w:rFonts w:ascii="Arial" w:hAnsi="Arial" w:cs="Arial"/>
          <w:sz w:val="22"/>
          <w:szCs w:val="22"/>
        </w:rPr>
        <w:t>ccounts</w:t>
      </w:r>
      <w:r w:rsidR="0048341B" w:rsidRPr="000D67C6">
        <w:rPr>
          <w:rFonts w:ascii="Arial" w:hAnsi="Arial" w:cs="Arial"/>
          <w:sz w:val="22"/>
          <w:szCs w:val="22"/>
        </w:rPr>
        <w:t xml:space="preserve"> are on pages 67 to </w:t>
      </w:r>
      <w:r w:rsidR="00B73D9B" w:rsidRPr="000D67C6">
        <w:rPr>
          <w:rFonts w:ascii="Arial" w:hAnsi="Arial" w:cs="Arial"/>
          <w:sz w:val="22"/>
          <w:szCs w:val="22"/>
        </w:rPr>
        <w:t>69.</w:t>
      </w:r>
    </w:p>
    <w:p w14:paraId="53A73698" w14:textId="5DE721C3" w:rsidR="00446B06" w:rsidRPr="000D67C6" w:rsidRDefault="00996001" w:rsidP="00CC663C">
      <w:pPr>
        <w:pStyle w:val="Default"/>
        <w:rPr>
          <w:rFonts w:ascii="Arial" w:hAnsi="Arial" w:cs="Arial"/>
          <w:bCs/>
          <w:sz w:val="22"/>
          <w:szCs w:val="22"/>
        </w:rPr>
      </w:pPr>
      <w:r w:rsidRPr="000D67C6">
        <w:rPr>
          <w:rFonts w:ascii="Arial" w:hAnsi="Arial" w:cs="Arial"/>
          <w:bCs/>
          <w:sz w:val="22"/>
          <w:szCs w:val="22"/>
        </w:rPr>
        <w:t>The following</w:t>
      </w:r>
      <w:r w:rsidR="005C1EAA" w:rsidRPr="000D67C6">
        <w:rPr>
          <w:rFonts w:ascii="Arial" w:hAnsi="Arial" w:cs="Arial"/>
          <w:bCs/>
          <w:sz w:val="22"/>
          <w:szCs w:val="22"/>
        </w:rPr>
        <w:t xml:space="preserve"> tables details</w:t>
      </w:r>
      <w:r w:rsidRPr="000D67C6">
        <w:rPr>
          <w:rFonts w:ascii="Arial" w:hAnsi="Arial" w:cs="Arial"/>
          <w:bCs/>
          <w:sz w:val="22"/>
          <w:szCs w:val="22"/>
        </w:rPr>
        <w:t xml:space="preserve"> transactions</w:t>
      </w:r>
      <w:r w:rsidR="00D75221" w:rsidRPr="000D67C6">
        <w:rPr>
          <w:rFonts w:ascii="Arial" w:hAnsi="Arial" w:cs="Arial"/>
          <w:bCs/>
          <w:sz w:val="22"/>
          <w:szCs w:val="22"/>
        </w:rPr>
        <w:t xml:space="preserve"> </w:t>
      </w:r>
      <w:r w:rsidRPr="000D67C6">
        <w:rPr>
          <w:rFonts w:ascii="Arial" w:hAnsi="Arial" w:cs="Arial"/>
          <w:bCs/>
          <w:sz w:val="22"/>
          <w:szCs w:val="22"/>
        </w:rPr>
        <w:t xml:space="preserve">and balances </w:t>
      </w:r>
      <w:r w:rsidR="00A67C71" w:rsidRPr="000D67C6">
        <w:rPr>
          <w:rFonts w:ascii="Arial" w:hAnsi="Arial" w:cs="Arial"/>
          <w:bCs/>
          <w:sz w:val="22"/>
          <w:szCs w:val="22"/>
        </w:rPr>
        <w:t xml:space="preserve">with Related Parties </w:t>
      </w:r>
      <w:r w:rsidR="005C1EAA" w:rsidRPr="000D67C6">
        <w:rPr>
          <w:rFonts w:ascii="Arial" w:hAnsi="Arial" w:cs="Arial"/>
          <w:bCs/>
          <w:sz w:val="22"/>
          <w:szCs w:val="22"/>
        </w:rPr>
        <w:t>as at 31</w:t>
      </w:r>
      <w:r w:rsidR="005C1EAA" w:rsidRPr="000D67C6">
        <w:rPr>
          <w:rFonts w:ascii="Arial" w:hAnsi="Arial" w:cs="Arial"/>
          <w:bCs/>
          <w:sz w:val="22"/>
          <w:szCs w:val="22"/>
          <w:vertAlign w:val="superscript"/>
        </w:rPr>
        <w:t>st</w:t>
      </w:r>
      <w:r w:rsidR="005C1EAA" w:rsidRPr="000D67C6">
        <w:rPr>
          <w:rFonts w:ascii="Arial" w:hAnsi="Arial" w:cs="Arial"/>
          <w:bCs/>
          <w:sz w:val="22"/>
          <w:szCs w:val="22"/>
        </w:rPr>
        <w:t xml:space="preserve"> March 2019</w:t>
      </w:r>
      <w:r w:rsidR="004A6FA7" w:rsidRPr="000D67C6">
        <w:rPr>
          <w:rFonts w:ascii="Arial" w:hAnsi="Arial" w:cs="Arial"/>
          <w:bCs/>
          <w:sz w:val="22"/>
          <w:szCs w:val="22"/>
        </w:rPr>
        <w:t>:</w:t>
      </w:r>
    </w:p>
    <w:tbl>
      <w:tblPr>
        <w:tblW w:w="9363" w:type="dxa"/>
        <w:tblLook w:val="04A0" w:firstRow="1" w:lastRow="0" w:firstColumn="1" w:lastColumn="0" w:noHBand="0" w:noVBand="1"/>
      </w:tblPr>
      <w:tblGrid>
        <w:gridCol w:w="4240"/>
        <w:gridCol w:w="1209"/>
        <w:gridCol w:w="1500"/>
        <w:gridCol w:w="1195"/>
        <w:gridCol w:w="1219"/>
      </w:tblGrid>
      <w:tr w:rsidR="00CB2FF8" w:rsidRPr="000D67C6" w14:paraId="420AD5F5" w14:textId="77777777" w:rsidTr="000967FF">
        <w:trPr>
          <w:trHeight w:val="612"/>
        </w:trPr>
        <w:tc>
          <w:tcPr>
            <w:tcW w:w="4240" w:type="dxa"/>
            <w:tcBorders>
              <w:top w:val="nil"/>
              <w:left w:val="nil"/>
              <w:bottom w:val="nil"/>
              <w:right w:val="nil"/>
            </w:tcBorders>
            <w:shd w:val="clear" w:color="auto" w:fill="auto"/>
            <w:noWrap/>
            <w:vAlign w:val="bottom"/>
            <w:hideMark/>
          </w:tcPr>
          <w:p w14:paraId="50E65829" w14:textId="77777777" w:rsidR="00CB2FF8" w:rsidRPr="000D67C6" w:rsidRDefault="00CB2FF8" w:rsidP="00CB2FF8">
            <w:pPr>
              <w:rPr>
                <w:rFonts w:ascii="Arial" w:eastAsia="Times New Roman" w:hAnsi="Arial" w:cs="Arial"/>
                <w:lang w:val="en-GB" w:eastAsia="en-GB"/>
              </w:rPr>
            </w:pPr>
          </w:p>
        </w:tc>
        <w:tc>
          <w:tcPr>
            <w:tcW w:w="2709" w:type="dxa"/>
            <w:gridSpan w:val="2"/>
            <w:tcBorders>
              <w:top w:val="nil"/>
              <w:left w:val="nil"/>
              <w:bottom w:val="nil"/>
              <w:right w:val="nil"/>
            </w:tcBorders>
            <w:shd w:val="clear" w:color="auto" w:fill="auto"/>
            <w:noWrap/>
            <w:vAlign w:val="bottom"/>
            <w:hideMark/>
          </w:tcPr>
          <w:p w14:paraId="2FD0FFCD" w14:textId="77777777" w:rsidR="00CB2FF8" w:rsidRPr="000D67C6" w:rsidRDefault="00CB2FF8" w:rsidP="00CB2FF8">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In Year Transactions</w:t>
            </w:r>
          </w:p>
        </w:tc>
        <w:tc>
          <w:tcPr>
            <w:tcW w:w="2414" w:type="dxa"/>
            <w:gridSpan w:val="2"/>
            <w:tcBorders>
              <w:top w:val="nil"/>
              <w:left w:val="nil"/>
              <w:bottom w:val="nil"/>
              <w:right w:val="nil"/>
            </w:tcBorders>
            <w:shd w:val="clear" w:color="auto" w:fill="auto"/>
            <w:vAlign w:val="bottom"/>
            <w:hideMark/>
          </w:tcPr>
          <w:p w14:paraId="7FF22C51" w14:textId="77777777" w:rsidR="00750934" w:rsidRPr="000D67C6" w:rsidRDefault="00CB2FF8" w:rsidP="00CB2FF8">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xml:space="preserve">Balance </w:t>
            </w:r>
          </w:p>
          <w:p w14:paraId="089B1F42" w14:textId="77777777" w:rsidR="00CB2FF8" w:rsidRPr="000D67C6" w:rsidRDefault="00CB2FF8" w:rsidP="00CB2FF8">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31st March 2019</w:t>
            </w:r>
          </w:p>
        </w:tc>
      </w:tr>
      <w:tr w:rsidR="00CB2FF8" w:rsidRPr="000D67C6" w14:paraId="05C7944F" w14:textId="77777777" w:rsidTr="000967FF">
        <w:trPr>
          <w:trHeight w:val="568"/>
        </w:trPr>
        <w:tc>
          <w:tcPr>
            <w:tcW w:w="4240" w:type="dxa"/>
            <w:tcBorders>
              <w:top w:val="nil"/>
              <w:left w:val="nil"/>
              <w:right w:val="nil"/>
            </w:tcBorders>
            <w:shd w:val="clear" w:color="auto" w:fill="auto"/>
            <w:vAlign w:val="bottom"/>
            <w:hideMark/>
          </w:tcPr>
          <w:p w14:paraId="34BEED93" w14:textId="77777777" w:rsidR="00CB2FF8" w:rsidRPr="000D67C6" w:rsidRDefault="00CB2FF8" w:rsidP="00CB2FF8">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Related Party</w:t>
            </w:r>
          </w:p>
        </w:tc>
        <w:tc>
          <w:tcPr>
            <w:tcW w:w="1209" w:type="dxa"/>
            <w:tcBorders>
              <w:top w:val="nil"/>
              <w:left w:val="nil"/>
              <w:right w:val="nil"/>
            </w:tcBorders>
            <w:shd w:val="clear" w:color="auto" w:fill="auto"/>
            <w:vAlign w:val="bottom"/>
            <w:hideMark/>
          </w:tcPr>
          <w:p w14:paraId="1BACE484"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Income</w:t>
            </w:r>
          </w:p>
        </w:tc>
        <w:tc>
          <w:tcPr>
            <w:tcW w:w="1500" w:type="dxa"/>
            <w:tcBorders>
              <w:top w:val="nil"/>
              <w:left w:val="nil"/>
              <w:right w:val="nil"/>
            </w:tcBorders>
            <w:shd w:val="clear" w:color="auto" w:fill="auto"/>
            <w:vAlign w:val="bottom"/>
            <w:hideMark/>
          </w:tcPr>
          <w:p w14:paraId="52C753B3"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Expenditure</w:t>
            </w:r>
          </w:p>
        </w:tc>
        <w:tc>
          <w:tcPr>
            <w:tcW w:w="1195" w:type="dxa"/>
            <w:tcBorders>
              <w:top w:val="nil"/>
              <w:left w:val="nil"/>
              <w:right w:val="nil"/>
            </w:tcBorders>
            <w:shd w:val="clear" w:color="auto" w:fill="auto"/>
            <w:vAlign w:val="bottom"/>
            <w:hideMark/>
          </w:tcPr>
          <w:p w14:paraId="43E2D943"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Owed to Authority (Debtor)</w:t>
            </w:r>
          </w:p>
        </w:tc>
        <w:tc>
          <w:tcPr>
            <w:tcW w:w="1219" w:type="dxa"/>
            <w:tcBorders>
              <w:top w:val="nil"/>
              <w:left w:val="nil"/>
              <w:right w:val="nil"/>
            </w:tcBorders>
            <w:shd w:val="clear" w:color="auto" w:fill="auto"/>
            <w:vAlign w:val="bottom"/>
            <w:hideMark/>
          </w:tcPr>
          <w:p w14:paraId="70B5B402"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Owed by Authority (Creditor)</w:t>
            </w:r>
          </w:p>
        </w:tc>
      </w:tr>
      <w:tr w:rsidR="00CB2FF8" w:rsidRPr="000D67C6" w14:paraId="2F2FF722" w14:textId="77777777" w:rsidTr="000967FF">
        <w:trPr>
          <w:trHeight w:val="288"/>
        </w:trPr>
        <w:tc>
          <w:tcPr>
            <w:tcW w:w="4240" w:type="dxa"/>
            <w:tcBorders>
              <w:top w:val="nil"/>
              <w:left w:val="nil"/>
              <w:bottom w:val="single" w:sz="4" w:space="0" w:color="auto"/>
              <w:right w:val="nil"/>
            </w:tcBorders>
            <w:shd w:val="clear" w:color="auto" w:fill="auto"/>
            <w:vAlign w:val="bottom"/>
            <w:hideMark/>
          </w:tcPr>
          <w:p w14:paraId="54915D9C" w14:textId="77777777" w:rsidR="00CB2FF8" w:rsidRPr="000D67C6" w:rsidRDefault="00CB2FF8" w:rsidP="00CB2FF8">
            <w:pPr>
              <w:jc w:val="center"/>
              <w:rPr>
                <w:rFonts w:ascii="Arial" w:eastAsia="Times New Roman" w:hAnsi="Arial" w:cs="Arial"/>
                <w:b/>
                <w:bCs/>
                <w:color w:val="000000"/>
                <w:sz w:val="22"/>
                <w:szCs w:val="22"/>
                <w:lang w:val="en-GB" w:eastAsia="en-GB"/>
              </w:rPr>
            </w:pPr>
          </w:p>
        </w:tc>
        <w:tc>
          <w:tcPr>
            <w:tcW w:w="1209" w:type="dxa"/>
            <w:tcBorders>
              <w:top w:val="nil"/>
              <w:left w:val="nil"/>
              <w:bottom w:val="single" w:sz="4" w:space="0" w:color="auto"/>
              <w:right w:val="nil"/>
            </w:tcBorders>
            <w:shd w:val="clear" w:color="auto" w:fill="auto"/>
            <w:vAlign w:val="bottom"/>
            <w:hideMark/>
          </w:tcPr>
          <w:p w14:paraId="67C10B60"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500" w:type="dxa"/>
            <w:tcBorders>
              <w:top w:val="nil"/>
              <w:left w:val="nil"/>
              <w:bottom w:val="single" w:sz="4" w:space="0" w:color="auto"/>
              <w:right w:val="nil"/>
            </w:tcBorders>
            <w:shd w:val="clear" w:color="auto" w:fill="auto"/>
            <w:vAlign w:val="bottom"/>
            <w:hideMark/>
          </w:tcPr>
          <w:p w14:paraId="73DE5CAE"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195" w:type="dxa"/>
            <w:tcBorders>
              <w:top w:val="nil"/>
              <w:left w:val="nil"/>
              <w:bottom w:val="single" w:sz="4" w:space="0" w:color="auto"/>
              <w:right w:val="nil"/>
            </w:tcBorders>
            <w:shd w:val="clear" w:color="auto" w:fill="auto"/>
            <w:vAlign w:val="bottom"/>
            <w:hideMark/>
          </w:tcPr>
          <w:p w14:paraId="34967440"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219" w:type="dxa"/>
            <w:tcBorders>
              <w:top w:val="nil"/>
              <w:left w:val="nil"/>
              <w:bottom w:val="single" w:sz="4" w:space="0" w:color="auto"/>
              <w:right w:val="nil"/>
            </w:tcBorders>
            <w:shd w:val="clear" w:color="auto" w:fill="auto"/>
            <w:vAlign w:val="bottom"/>
            <w:hideMark/>
          </w:tcPr>
          <w:p w14:paraId="0AF68A9A" w14:textId="77777777" w:rsidR="00CB2FF8" w:rsidRPr="000D67C6" w:rsidRDefault="00CB2FF8"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r>
      <w:tr w:rsidR="00CB2FF8" w:rsidRPr="000D67C6" w14:paraId="0619FDB3" w14:textId="77777777" w:rsidTr="000967FF">
        <w:trPr>
          <w:trHeight w:val="288"/>
        </w:trPr>
        <w:tc>
          <w:tcPr>
            <w:tcW w:w="4240" w:type="dxa"/>
            <w:tcBorders>
              <w:top w:val="single" w:sz="4" w:space="0" w:color="auto"/>
              <w:left w:val="nil"/>
              <w:bottom w:val="nil"/>
              <w:right w:val="nil"/>
            </w:tcBorders>
            <w:shd w:val="clear" w:color="auto" w:fill="auto"/>
            <w:vAlign w:val="bottom"/>
            <w:hideMark/>
          </w:tcPr>
          <w:p w14:paraId="5E28AE3D"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Welsh Government</w:t>
            </w:r>
          </w:p>
        </w:tc>
        <w:tc>
          <w:tcPr>
            <w:tcW w:w="1209" w:type="dxa"/>
            <w:tcBorders>
              <w:top w:val="single" w:sz="4" w:space="0" w:color="auto"/>
              <w:left w:val="nil"/>
              <w:bottom w:val="nil"/>
              <w:right w:val="nil"/>
            </w:tcBorders>
            <w:shd w:val="clear" w:color="auto" w:fill="auto"/>
            <w:vAlign w:val="bottom"/>
            <w:hideMark/>
          </w:tcPr>
          <w:p w14:paraId="59B140A9" w14:textId="05D9A889"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A82BA2" w:rsidRPr="000D67C6">
              <w:rPr>
                <w:rFonts w:ascii="Arial" w:eastAsia="Times New Roman" w:hAnsi="Arial" w:cs="Arial"/>
                <w:sz w:val="22"/>
                <w:szCs w:val="22"/>
                <w:lang w:val="en-GB" w:eastAsia="en-GB"/>
              </w:rPr>
              <w:t>9,340</w:t>
            </w:r>
            <w:r w:rsidRPr="000D67C6">
              <w:rPr>
                <w:rFonts w:ascii="Arial" w:eastAsia="Times New Roman" w:hAnsi="Arial" w:cs="Arial"/>
                <w:sz w:val="22"/>
                <w:szCs w:val="22"/>
                <w:lang w:val="en-GB" w:eastAsia="en-GB"/>
              </w:rPr>
              <w:t xml:space="preserve">) </w:t>
            </w:r>
          </w:p>
        </w:tc>
        <w:tc>
          <w:tcPr>
            <w:tcW w:w="1500" w:type="dxa"/>
            <w:tcBorders>
              <w:top w:val="single" w:sz="4" w:space="0" w:color="auto"/>
              <w:left w:val="nil"/>
              <w:bottom w:val="nil"/>
              <w:right w:val="nil"/>
            </w:tcBorders>
            <w:shd w:val="clear" w:color="auto" w:fill="auto"/>
            <w:vAlign w:val="bottom"/>
            <w:hideMark/>
          </w:tcPr>
          <w:p w14:paraId="000A7FD2"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224 </w:t>
            </w:r>
          </w:p>
        </w:tc>
        <w:tc>
          <w:tcPr>
            <w:tcW w:w="1195" w:type="dxa"/>
            <w:tcBorders>
              <w:top w:val="single" w:sz="4" w:space="0" w:color="auto"/>
              <w:left w:val="nil"/>
              <w:bottom w:val="nil"/>
              <w:right w:val="nil"/>
            </w:tcBorders>
            <w:shd w:val="clear" w:color="auto" w:fill="auto"/>
            <w:vAlign w:val="bottom"/>
            <w:hideMark/>
          </w:tcPr>
          <w:p w14:paraId="2DD64866" w14:textId="64CC5A73" w:rsidR="00CB2FF8" w:rsidRPr="000D67C6" w:rsidRDefault="00084F42"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935</w:t>
            </w:r>
            <w:r w:rsidR="00CB2FF8" w:rsidRPr="000D67C6">
              <w:rPr>
                <w:rFonts w:ascii="Arial" w:eastAsia="Times New Roman" w:hAnsi="Arial" w:cs="Arial"/>
                <w:sz w:val="22"/>
                <w:szCs w:val="22"/>
                <w:lang w:val="en-GB" w:eastAsia="en-GB"/>
              </w:rPr>
              <w:t xml:space="preserve"> </w:t>
            </w:r>
          </w:p>
        </w:tc>
        <w:tc>
          <w:tcPr>
            <w:tcW w:w="1219" w:type="dxa"/>
            <w:tcBorders>
              <w:top w:val="single" w:sz="4" w:space="0" w:color="auto"/>
              <w:left w:val="nil"/>
              <w:bottom w:val="nil"/>
              <w:right w:val="nil"/>
            </w:tcBorders>
            <w:shd w:val="clear" w:color="auto" w:fill="auto"/>
            <w:vAlign w:val="bottom"/>
            <w:hideMark/>
          </w:tcPr>
          <w:p w14:paraId="10A431DF" w14:textId="77777777" w:rsidR="00CB2FF8" w:rsidRPr="000D67C6" w:rsidRDefault="00CB2FF8"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0 </w:t>
            </w:r>
          </w:p>
        </w:tc>
      </w:tr>
      <w:tr w:rsidR="00CB2FF8" w:rsidRPr="000D67C6" w14:paraId="1C53FCFD" w14:textId="77777777" w:rsidTr="000967FF">
        <w:trPr>
          <w:trHeight w:val="288"/>
        </w:trPr>
        <w:tc>
          <w:tcPr>
            <w:tcW w:w="4240" w:type="dxa"/>
            <w:tcBorders>
              <w:top w:val="nil"/>
              <w:left w:val="nil"/>
              <w:bottom w:val="nil"/>
              <w:right w:val="nil"/>
            </w:tcBorders>
            <w:shd w:val="clear" w:color="auto" w:fill="auto"/>
            <w:noWrap/>
            <w:vAlign w:val="bottom"/>
            <w:hideMark/>
          </w:tcPr>
          <w:p w14:paraId="2E266CA8"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Carmarthenshire County Council</w:t>
            </w:r>
          </w:p>
        </w:tc>
        <w:tc>
          <w:tcPr>
            <w:tcW w:w="1209" w:type="dxa"/>
            <w:tcBorders>
              <w:top w:val="nil"/>
              <w:left w:val="nil"/>
              <w:bottom w:val="nil"/>
              <w:right w:val="nil"/>
            </w:tcBorders>
            <w:shd w:val="clear" w:color="auto" w:fill="auto"/>
            <w:noWrap/>
            <w:vAlign w:val="bottom"/>
            <w:hideMark/>
          </w:tcPr>
          <w:p w14:paraId="13233E74" w14:textId="77777777"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 xml:space="preserve">9,600) </w:t>
            </w:r>
          </w:p>
        </w:tc>
        <w:tc>
          <w:tcPr>
            <w:tcW w:w="1500" w:type="dxa"/>
            <w:tcBorders>
              <w:top w:val="nil"/>
              <w:left w:val="nil"/>
              <w:bottom w:val="nil"/>
              <w:right w:val="nil"/>
            </w:tcBorders>
            <w:shd w:val="clear" w:color="auto" w:fill="auto"/>
            <w:noWrap/>
            <w:vAlign w:val="bottom"/>
            <w:hideMark/>
          </w:tcPr>
          <w:p w14:paraId="4A1F9E50" w14:textId="43C566E6" w:rsidR="00CB2FF8" w:rsidRPr="000D67C6" w:rsidRDefault="001942D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608</w:t>
            </w:r>
            <w:r w:rsidR="00CB2FF8" w:rsidRPr="000D67C6">
              <w:rPr>
                <w:rFonts w:ascii="Arial" w:eastAsia="Times New Roman" w:hAnsi="Arial" w:cs="Arial"/>
                <w:sz w:val="22"/>
                <w:szCs w:val="22"/>
                <w:lang w:val="en-GB" w:eastAsia="en-GB"/>
              </w:rPr>
              <w:t xml:space="preserve"> </w:t>
            </w:r>
          </w:p>
        </w:tc>
        <w:tc>
          <w:tcPr>
            <w:tcW w:w="1195" w:type="dxa"/>
            <w:tcBorders>
              <w:top w:val="nil"/>
              <w:left w:val="nil"/>
              <w:bottom w:val="nil"/>
              <w:right w:val="nil"/>
            </w:tcBorders>
            <w:shd w:val="clear" w:color="auto" w:fill="auto"/>
            <w:noWrap/>
            <w:vAlign w:val="bottom"/>
            <w:hideMark/>
          </w:tcPr>
          <w:p w14:paraId="3A09496A" w14:textId="567DC0E6"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0 </w:t>
            </w:r>
          </w:p>
        </w:tc>
        <w:tc>
          <w:tcPr>
            <w:tcW w:w="1219" w:type="dxa"/>
            <w:tcBorders>
              <w:top w:val="nil"/>
              <w:left w:val="nil"/>
              <w:bottom w:val="nil"/>
              <w:right w:val="nil"/>
            </w:tcBorders>
            <w:shd w:val="clear" w:color="auto" w:fill="auto"/>
            <w:noWrap/>
            <w:vAlign w:val="bottom"/>
            <w:hideMark/>
          </w:tcPr>
          <w:p w14:paraId="115245FF" w14:textId="466FCC4F" w:rsidR="00CB2FF8" w:rsidRPr="000D67C6" w:rsidRDefault="00084F42"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(197)</w:t>
            </w:r>
            <w:r w:rsidR="00CB2FF8" w:rsidRPr="000D67C6">
              <w:rPr>
                <w:rFonts w:ascii="Arial" w:eastAsia="Times New Roman" w:hAnsi="Arial" w:cs="Arial"/>
                <w:color w:val="000000"/>
                <w:sz w:val="22"/>
                <w:szCs w:val="22"/>
                <w:lang w:val="en-GB" w:eastAsia="en-GB"/>
              </w:rPr>
              <w:t xml:space="preserve"> </w:t>
            </w:r>
          </w:p>
        </w:tc>
      </w:tr>
      <w:tr w:rsidR="00CB2FF8" w:rsidRPr="000D67C6" w14:paraId="4325E1F0" w14:textId="77777777" w:rsidTr="000967FF">
        <w:trPr>
          <w:trHeight w:val="288"/>
        </w:trPr>
        <w:tc>
          <w:tcPr>
            <w:tcW w:w="4240" w:type="dxa"/>
            <w:tcBorders>
              <w:top w:val="nil"/>
              <w:left w:val="nil"/>
              <w:bottom w:val="nil"/>
              <w:right w:val="nil"/>
            </w:tcBorders>
            <w:shd w:val="clear" w:color="auto" w:fill="auto"/>
            <w:noWrap/>
            <w:vAlign w:val="bottom"/>
            <w:hideMark/>
          </w:tcPr>
          <w:p w14:paraId="5D1D35F9"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Ceredigion County Council</w:t>
            </w:r>
          </w:p>
        </w:tc>
        <w:tc>
          <w:tcPr>
            <w:tcW w:w="1209" w:type="dxa"/>
            <w:tcBorders>
              <w:top w:val="nil"/>
              <w:left w:val="nil"/>
              <w:bottom w:val="nil"/>
              <w:right w:val="nil"/>
            </w:tcBorders>
            <w:shd w:val="clear" w:color="auto" w:fill="auto"/>
            <w:noWrap/>
            <w:vAlign w:val="bottom"/>
            <w:hideMark/>
          </w:tcPr>
          <w:p w14:paraId="44AC76E9" w14:textId="77777777"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 xml:space="preserve">3,937) </w:t>
            </w:r>
          </w:p>
        </w:tc>
        <w:tc>
          <w:tcPr>
            <w:tcW w:w="1500" w:type="dxa"/>
            <w:tcBorders>
              <w:top w:val="nil"/>
              <w:left w:val="nil"/>
              <w:bottom w:val="nil"/>
              <w:right w:val="nil"/>
            </w:tcBorders>
            <w:shd w:val="clear" w:color="auto" w:fill="auto"/>
            <w:noWrap/>
            <w:vAlign w:val="bottom"/>
            <w:hideMark/>
          </w:tcPr>
          <w:p w14:paraId="275AA03D"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66 </w:t>
            </w:r>
          </w:p>
        </w:tc>
        <w:tc>
          <w:tcPr>
            <w:tcW w:w="1195" w:type="dxa"/>
            <w:tcBorders>
              <w:top w:val="nil"/>
              <w:left w:val="nil"/>
              <w:bottom w:val="nil"/>
              <w:right w:val="nil"/>
            </w:tcBorders>
            <w:shd w:val="clear" w:color="auto" w:fill="auto"/>
            <w:noWrap/>
            <w:vAlign w:val="bottom"/>
            <w:hideMark/>
          </w:tcPr>
          <w:p w14:paraId="5AC20499"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0 </w:t>
            </w:r>
          </w:p>
        </w:tc>
        <w:tc>
          <w:tcPr>
            <w:tcW w:w="1219" w:type="dxa"/>
            <w:tcBorders>
              <w:top w:val="nil"/>
              <w:left w:val="nil"/>
              <w:bottom w:val="nil"/>
              <w:right w:val="nil"/>
            </w:tcBorders>
            <w:shd w:val="clear" w:color="auto" w:fill="auto"/>
            <w:noWrap/>
            <w:vAlign w:val="bottom"/>
            <w:hideMark/>
          </w:tcPr>
          <w:p w14:paraId="60374383" w14:textId="77777777" w:rsidR="00CB2FF8" w:rsidRPr="000D67C6" w:rsidRDefault="00CB2FF8"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0 </w:t>
            </w:r>
          </w:p>
        </w:tc>
      </w:tr>
      <w:tr w:rsidR="00CB2FF8" w:rsidRPr="000D67C6" w14:paraId="6B34094A" w14:textId="77777777" w:rsidTr="000967FF">
        <w:trPr>
          <w:trHeight w:val="288"/>
        </w:trPr>
        <w:tc>
          <w:tcPr>
            <w:tcW w:w="4240" w:type="dxa"/>
            <w:tcBorders>
              <w:top w:val="nil"/>
              <w:left w:val="nil"/>
              <w:bottom w:val="nil"/>
              <w:right w:val="nil"/>
            </w:tcBorders>
            <w:shd w:val="clear" w:color="auto" w:fill="auto"/>
            <w:noWrap/>
            <w:vAlign w:val="bottom"/>
            <w:hideMark/>
          </w:tcPr>
          <w:p w14:paraId="1F599CDD"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Neath Port Talbot County Borough Council</w:t>
            </w:r>
          </w:p>
        </w:tc>
        <w:tc>
          <w:tcPr>
            <w:tcW w:w="1209" w:type="dxa"/>
            <w:tcBorders>
              <w:top w:val="nil"/>
              <w:left w:val="nil"/>
              <w:bottom w:val="nil"/>
              <w:right w:val="nil"/>
            </w:tcBorders>
            <w:shd w:val="clear" w:color="auto" w:fill="auto"/>
            <w:noWrap/>
            <w:vAlign w:val="bottom"/>
            <w:hideMark/>
          </w:tcPr>
          <w:p w14:paraId="4BE39A9C" w14:textId="77777777" w:rsidR="007C0F24" w:rsidRPr="000D67C6" w:rsidRDefault="007C0F24" w:rsidP="00CB2FF8">
            <w:pPr>
              <w:jc w:val="right"/>
              <w:rPr>
                <w:rFonts w:ascii="Arial" w:eastAsia="Times New Roman" w:hAnsi="Arial" w:cs="Arial"/>
                <w:sz w:val="22"/>
                <w:szCs w:val="22"/>
                <w:lang w:val="en-GB" w:eastAsia="en-GB"/>
              </w:rPr>
            </w:pPr>
          </w:p>
          <w:p w14:paraId="75AF21B8" w14:textId="77777777"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 xml:space="preserve">7,288) </w:t>
            </w:r>
          </w:p>
        </w:tc>
        <w:tc>
          <w:tcPr>
            <w:tcW w:w="1500" w:type="dxa"/>
            <w:tcBorders>
              <w:top w:val="nil"/>
              <w:left w:val="nil"/>
              <w:bottom w:val="nil"/>
              <w:right w:val="nil"/>
            </w:tcBorders>
            <w:shd w:val="clear" w:color="auto" w:fill="auto"/>
            <w:noWrap/>
            <w:vAlign w:val="bottom"/>
            <w:hideMark/>
          </w:tcPr>
          <w:p w14:paraId="5AAD81E2" w14:textId="0D165D72"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16</w:t>
            </w:r>
            <w:r w:rsidR="001942D8" w:rsidRPr="000D67C6">
              <w:rPr>
                <w:rFonts w:ascii="Arial" w:eastAsia="Times New Roman" w:hAnsi="Arial" w:cs="Arial"/>
                <w:sz w:val="22"/>
                <w:szCs w:val="22"/>
                <w:lang w:val="en-GB" w:eastAsia="en-GB"/>
              </w:rPr>
              <w:t>2</w:t>
            </w:r>
            <w:r w:rsidRPr="000D67C6">
              <w:rPr>
                <w:rFonts w:ascii="Arial" w:eastAsia="Times New Roman" w:hAnsi="Arial" w:cs="Arial"/>
                <w:sz w:val="22"/>
                <w:szCs w:val="22"/>
                <w:lang w:val="en-GB" w:eastAsia="en-GB"/>
              </w:rPr>
              <w:t xml:space="preserve"> </w:t>
            </w:r>
          </w:p>
        </w:tc>
        <w:tc>
          <w:tcPr>
            <w:tcW w:w="1195" w:type="dxa"/>
            <w:tcBorders>
              <w:top w:val="nil"/>
              <w:left w:val="nil"/>
              <w:bottom w:val="nil"/>
              <w:right w:val="nil"/>
            </w:tcBorders>
            <w:shd w:val="clear" w:color="auto" w:fill="auto"/>
            <w:noWrap/>
            <w:vAlign w:val="bottom"/>
            <w:hideMark/>
          </w:tcPr>
          <w:p w14:paraId="4D5CA6A0"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0 </w:t>
            </w:r>
          </w:p>
        </w:tc>
        <w:tc>
          <w:tcPr>
            <w:tcW w:w="1219" w:type="dxa"/>
            <w:tcBorders>
              <w:top w:val="nil"/>
              <w:left w:val="nil"/>
              <w:bottom w:val="nil"/>
              <w:right w:val="nil"/>
            </w:tcBorders>
            <w:shd w:val="clear" w:color="auto" w:fill="auto"/>
            <w:noWrap/>
            <w:vAlign w:val="bottom"/>
            <w:hideMark/>
          </w:tcPr>
          <w:p w14:paraId="767114B3" w14:textId="77777777" w:rsidR="00CB2FF8" w:rsidRPr="000D67C6" w:rsidRDefault="007C0F24"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r w:rsidR="00CB2FF8" w:rsidRPr="000D67C6">
              <w:rPr>
                <w:rFonts w:ascii="Arial" w:eastAsia="Times New Roman" w:hAnsi="Arial" w:cs="Arial"/>
                <w:color w:val="FF0000"/>
                <w:sz w:val="22"/>
                <w:szCs w:val="22"/>
                <w:lang w:val="en-GB" w:eastAsia="en-GB"/>
              </w:rPr>
              <w:t xml:space="preserve"> </w:t>
            </w:r>
          </w:p>
        </w:tc>
      </w:tr>
      <w:tr w:rsidR="00CB2FF8" w:rsidRPr="000D67C6" w14:paraId="6E63BA8D" w14:textId="77777777" w:rsidTr="000967FF">
        <w:trPr>
          <w:trHeight w:val="288"/>
        </w:trPr>
        <w:tc>
          <w:tcPr>
            <w:tcW w:w="4240" w:type="dxa"/>
            <w:tcBorders>
              <w:top w:val="nil"/>
              <w:left w:val="nil"/>
              <w:bottom w:val="nil"/>
              <w:right w:val="nil"/>
            </w:tcBorders>
            <w:shd w:val="clear" w:color="auto" w:fill="auto"/>
            <w:noWrap/>
            <w:vAlign w:val="bottom"/>
            <w:hideMark/>
          </w:tcPr>
          <w:p w14:paraId="46555C3C"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Pembrokeshire County Council</w:t>
            </w:r>
          </w:p>
        </w:tc>
        <w:tc>
          <w:tcPr>
            <w:tcW w:w="1209" w:type="dxa"/>
            <w:tcBorders>
              <w:top w:val="nil"/>
              <w:left w:val="nil"/>
              <w:bottom w:val="nil"/>
              <w:right w:val="nil"/>
            </w:tcBorders>
            <w:shd w:val="clear" w:color="auto" w:fill="auto"/>
            <w:noWrap/>
            <w:vAlign w:val="bottom"/>
            <w:hideMark/>
          </w:tcPr>
          <w:p w14:paraId="53C0497B" w14:textId="292F37A3"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6,</w:t>
            </w:r>
            <w:r w:rsidR="00D37DA6" w:rsidRPr="000D67C6">
              <w:rPr>
                <w:rFonts w:ascii="Arial" w:eastAsia="Times New Roman" w:hAnsi="Arial" w:cs="Arial"/>
                <w:sz w:val="22"/>
                <w:szCs w:val="22"/>
                <w:lang w:val="en-GB" w:eastAsia="en-GB"/>
              </w:rPr>
              <w:t>399</w:t>
            </w:r>
            <w:r w:rsidR="00CB2FF8" w:rsidRPr="000D67C6">
              <w:rPr>
                <w:rFonts w:ascii="Arial" w:eastAsia="Times New Roman" w:hAnsi="Arial" w:cs="Arial"/>
                <w:sz w:val="22"/>
                <w:szCs w:val="22"/>
                <w:lang w:val="en-GB" w:eastAsia="en-GB"/>
              </w:rPr>
              <w:t xml:space="preserve">) </w:t>
            </w:r>
          </w:p>
        </w:tc>
        <w:tc>
          <w:tcPr>
            <w:tcW w:w="1500" w:type="dxa"/>
            <w:tcBorders>
              <w:top w:val="nil"/>
              <w:left w:val="nil"/>
              <w:bottom w:val="nil"/>
              <w:right w:val="nil"/>
            </w:tcBorders>
            <w:shd w:val="clear" w:color="auto" w:fill="auto"/>
            <w:noWrap/>
            <w:vAlign w:val="bottom"/>
            <w:hideMark/>
          </w:tcPr>
          <w:p w14:paraId="12CFCBCD" w14:textId="0D1F470C"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13</w:t>
            </w:r>
            <w:r w:rsidR="001942D8" w:rsidRPr="000D67C6">
              <w:rPr>
                <w:rFonts w:ascii="Arial" w:eastAsia="Times New Roman" w:hAnsi="Arial" w:cs="Arial"/>
                <w:sz w:val="22"/>
                <w:szCs w:val="22"/>
                <w:lang w:val="en-GB" w:eastAsia="en-GB"/>
              </w:rPr>
              <w:t>4</w:t>
            </w:r>
            <w:r w:rsidRPr="000D67C6">
              <w:rPr>
                <w:rFonts w:ascii="Arial" w:eastAsia="Times New Roman" w:hAnsi="Arial" w:cs="Arial"/>
                <w:sz w:val="22"/>
                <w:szCs w:val="22"/>
                <w:lang w:val="en-GB" w:eastAsia="en-GB"/>
              </w:rPr>
              <w:t xml:space="preserve"> </w:t>
            </w:r>
          </w:p>
        </w:tc>
        <w:tc>
          <w:tcPr>
            <w:tcW w:w="1195" w:type="dxa"/>
            <w:tcBorders>
              <w:top w:val="nil"/>
              <w:left w:val="nil"/>
              <w:bottom w:val="nil"/>
              <w:right w:val="nil"/>
            </w:tcBorders>
            <w:shd w:val="clear" w:color="auto" w:fill="auto"/>
            <w:noWrap/>
            <w:vAlign w:val="bottom"/>
            <w:hideMark/>
          </w:tcPr>
          <w:p w14:paraId="48CA4253"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0 </w:t>
            </w:r>
          </w:p>
        </w:tc>
        <w:tc>
          <w:tcPr>
            <w:tcW w:w="1219" w:type="dxa"/>
            <w:tcBorders>
              <w:top w:val="nil"/>
              <w:left w:val="nil"/>
              <w:bottom w:val="nil"/>
              <w:right w:val="nil"/>
            </w:tcBorders>
            <w:shd w:val="clear" w:color="auto" w:fill="auto"/>
            <w:noWrap/>
            <w:vAlign w:val="bottom"/>
            <w:hideMark/>
          </w:tcPr>
          <w:p w14:paraId="125F559A" w14:textId="77777777" w:rsidR="00CB2FF8" w:rsidRPr="000D67C6" w:rsidRDefault="00CB2FF8"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0 </w:t>
            </w:r>
          </w:p>
        </w:tc>
      </w:tr>
      <w:tr w:rsidR="00CB2FF8" w:rsidRPr="000D67C6" w14:paraId="1490DCAF" w14:textId="77777777" w:rsidTr="000967FF">
        <w:trPr>
          <w:trHeight w:val="288"/>
        </w:trPr>
        <w:tc>
          <w:tcPr>
            <w:tcW w:w="4240" w:type="dxa"/>
            <w:tcBorders>
              <w:top w:val="nil"/>
              <w:left w:val="nil"/>
              <w:right w:val="nil"/>
            </w:tcBorders>
            <w:shd w:val="clear" w:color="auto" w:fill="auto"/>
            <w:noWrap/>
            <w:vAlign w:val="bottom"/>
            <w:hideMark/>
          </w:tcPr>
          <w:p w14:paraId="02F8A99D"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Powys County Council</w:t>
            </w:r>
          </w:p>
        </w:tc>
        <w:tc>
          <w:tcPr>
            <w:tcW w:w="1209" w:type="dxa"/>
            <w:tcBorders>
              <w:top w:val="nil"/>
              <w:left w:val="nil"/>
              <w:right w:val="nil"/>
            </w:tcBorders>
            <w:shd w:val="clear" w:color="auto" w:fill="auto"/>
            <w:noWrap/>
            <w:vAlign w:val="bottom"/>
            <w:hideMark/>
          </w:tcPr>
          <w:p w14:paraId="188F9F37" w14:textId="77777777"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 xml:space="preserve">6,805) </w:t>
            </w:r>
          </w:p>
        </w:tc>
        <w:tc>
          <w:tcPr>
            <w:tcW w:w="1500" w:type="dxa"/>
            <w:tcBorders>
              <w:top w:val="nil"/>
              <w:left w:val="nil"/>
              <w:right w:val="nil"/>
            </w:tcBorders>
            <w:shd w:val="clear" w:color="auto" w:fill="auto"/>
            <w:noWrap/>
            <w:vAlign w:val="bottom"/>
            <w:hideMark/>
          </w:tcPr>
          <w:p w14:paraId="58DBB6C8" w14:textId="69C46C74"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3</w:t>
            </w:r>
            <w:r w:rsidR="001942D8" w:rsidRPr="000D67C6">
              <w:rPr>
                <w:rFonts w:ascii="Arial" w:eastAsia="Times New Roman" w:hAnsi="Arial" w:cs="Arial"/>
                <w:sz w:val="22"/>
                <w:szCs w:val="22"/>
                <w:lang w:val="en-GB" w:eastAsia="en-GB"/>
              </w:rPr>
              <w:t>07</w:t>
            </w:r>
            <w:r w:rsidRPr="000D67C6">
              <w:rPr>
                <w:rFonts w:ascii="Arial" w:eastAsia="Times New Roman" w:hAnsi="Arial" w:cs="Arial"/>
                <w:sz w:val="22"/>
                <w:szCs w:val="22"/>
                <w:lang w:val="en-GB" w:eastAsia="en-GB"/>
              </w:rPr>
              <w:t xml:space="preserve"> </w:t>
            </w:r>
          </w:p>
        </w:tc>
        <w:tc>
          <w:tcPr>
            <w:tcW w:w="1195" w:type="dxa"/>
            <w:tcBorders>
              <w:top w:val="nil"/>
              <w:left w:val="nil"/>
              <w:right w:val="nil"/>
            </w:tcBorders>
            <w:shd w:val="clear" w:color="auto" w:fill="auto"/>
            <w:noWrap/>
            <w:vAlign w:val="bottom"/>
            <w:hideMark/>
          </w:tcPr>
          <w:p w14:paraId="7FFFF12B" w14:textId="77777777"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 xml:space="preserve">0 </w:t>
            </w:r>
          </w:p>
        </w:tc>
        <w:tc>
          <w:tcPr>
            <w:tcW w:w="1219" w:type="dxa"/>
            <w:tcBorders>
              <w:top w:val="nil"/>
              <w:left w:val="nil"/>
              <w:right w:val="nil"/>
            </w:tcBorders>
            <w:shd w:val="clear" w:color="auto" w:fill="auto"/>
            <w:noWrap/>
            <w:vAlign w:val="bottom"/>
            <w:hideMark/>
          </w:tcPr>
          <w:p w14:paraId="18D3E8A6" w14:textId="277ED5CB" w:rsidR="00CB2FF8" w:rsidRPr="000D67C6" w:rsidRDefault="005E1DA1"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CB2FF8" w:rsidRPr="000D67C6">
              <w:rPr>
                <w:rFonts w:ascii="Arial" w:eastAsia="Times New Roman" w:hAnsi="Arial" w:cs="Arial"/>
                <w:color w:val="000000"/>
                <w:sz w:val="22"/>
                <w:szCs w:val="22"/>
                <w:lang w:val="en-GB" w:eastAsia="en-GB"/>
              </w:rPr>
              <w:t>1</w:t>
            </w:r>
            <w:r w:rsidRPr="000D67C6">
              <w:rPr>
                <w:rFonts w:ascii="Arial" w:eastAsia="Times New Roman" w:hAnsi="Arial" w:cs="Arial"/>
                <w:color w:val="000000"/>
                <w:sz w:val="22"/>
                <w:szCs w:val="22"/>
                <w:lang w:val="en-GB" w:eastAsia="en-GB"/>
              </w:rPr>
              <w:t>)</w:t>
            </w:r>
            <w:r w:rsidR="00CB2FF8" w:rsidRPr="000D67C6">
              <w:rPr>
                <w:rFonts w:ascii="Arial" w:eastAsia="Times New Roman" w:hAnsi="Arial" w:cs="Arial"/>
                <w:color w:val="000000"/>
                <w:sz w:val="22"/>
                <w:szCs w:val="22"/>
                <w:lang w:val="en-GB" w:eastAsia="en-GB"/>
              </w:rPr>
              <w:t xml:space="preserve"> </w:t>
            </w:r>
          </w:p>
        </w:tc>
      </w:tr>
      <w:tr w:rsidR="00CB2FF8" w:rsidRPr="000D67C6" w14:paraId="346C00A2" w14:textId="77777777" w:rsidTr="000967FF">
        <w:trPr>
          <w:trHeight w:val="288"/>
        </w:trPr>
        <w:tc>
          <w:tcPr>
            <w:tcW w:w="4240" w:type="dxa"/>
            <w:tcBorders>
              <w:top w:val="nil"/>
              <w:left w:val="nil"/>
              <w:bottom w:val="single" w:sz="4" w:space="0" w:color="auto"/>
              <w:right w:val="nil"/>
            </w:tcBorders>
            <w:shd w:val="clear" w:color="auto" w:fill="auto"/>
            <w:noWrap/>
            <w:vAlign w:val="bottom"/>
            <w:hideMark/>
          </w:tcPr>
          <w:p w14:paraId="146ED7C7" w14:textId="77777777" w:rsidR="00CB2FF8" w:rsidRPr="000D67C6" w:rsidRDefault="00CB2FF8" w:rsidP="00CB2FF8">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City and County of Swansea Council</w:t>
            </w:r>
          </w:p>
        </w:tc>
        <w:tc>
          <w:tcPr>
            <w:tcW w:w="1209" w:type="dxa"/>
            <w:tcBorders>
              <w:top w:val="nil"/>
              <w:left w:val="nil"/>
              <w:bottom w:val="single" w:sz="4" w:space="0" w:color="auto"/>
              <w:right w:val="nil"/>
            </w:tcBorders>
            <w:shd w:val="clear" w:color="auto" w:fill="auto"/>
            <w:noWrap/>
            <w:vAlign w:val="bottom"/>
            <w:hideMark/>
          </w:tcPr>
          <w:p w14:paraId="7B58BB97" w14:textId="77777777" w:rsidR="00CB2FF8" w:rsidRPr="000D67C6" w:rsidRDefault="007C0F24"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12,643</w:t>
            </w:r>
            <w:r w:rsidRPr="000D67C6">
              <w:rPr>
                <w:rFonts w:ascii="Arial" w:eastAsia="Times New Roman" w:hAnsi="Arial" w:cs="Arial"/>
                <w:sz w:val="22"/>
                <w:szCs w:val="22"/>
                <w:lang w:val="en-GB" w:eastAsia="en-GB"/>
              </w:rPr>
              <w:t>)</w:t>
            </w:r>
            <w:r w:rsidR="00CB2FF8" w:rsidRPr="000D67C6">
              <w:rPr>
                <w:rFonts w:ascii="Arial" w:eastAsia="Times New Roman" w:hAnsi="Arial" w:cs="Arial"/>
                <w:sz w:val="22"/>
                <w:szCs w:val="22"/>
                <w:lang w:val="en-GB" w:eastAsia="en-GB"/>
              </w:rPr>
              <w:t xml:space="preserve"> </w:t>
            </w:r>
          </w:p>
        </w:tc>
        <w:tc>
          <w:tcPr>
            <w:tcW w:w="1500" w:type="dxa"/>
            <w:tcBorders>
              <w:top w:val="nil"/>
              <w:left w:val="nil"/>
              <w:bottom w:val="single" w:sz="4" w:space="0" w:color="auto"/>
              <w:right w:val="nil"/>
            </w:tcBorders>
            <w:shd w:val="clear" w:color="auto" w:fill="auto"/>
            <w:noWrap/>
            <w:vAlign w:val="bottom"/>
            <w:hideMark/>
          </w:tcPr>
          <w:p w14:paraId="162188F1" w14:textId="17A20A4D" w:rsidR="00CB2FF8" w:rsidRPr="000D67C6" w:rsidRDefault="00CB2FF8"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15</w:t>
            </w:r>
            <w:r w:rsidR="001942D8" w:rsidRPr="000D67C6">
              <w:rPr>
                <w:rFonts w:ascii="Arial" w:eastAsia="Times New Roman" w:hAnsi="Arial" w:cs="Arial"/>
                <w:sz w:val="22"/>
                <w:szCs w:val="22"/>
                <w:lang w:val="en-GB" w:eastAsia="en-GB"/>
              </w:rPr>
              <w:t>4</w:t>
            </w:r>
            <w:r w:rsidRPr="000D67C6">
              <w:rPr>
                <w:rFonts w:ascii="Arial" w:eastAsia="Times New Roman" w:hAnsi="Arial" w:cs="Arial"/>
                <w:sz w:val="22"/>
                <w:szCs w:val="22"/>
                <w:lang w:val="en-GB" w:eastAsia="en-GB"/>
              </w:rPr>
              <w:t xml:space="preserve"> </w:t>
            </w:r>
          </w:p>
        </w:tc>
        <w:tc>
          <w:tcPr>
            <w:tcW w:w="1195" w:type="dxa"/>
            <w:tcBorders>
              <w:top w:val="nil"/>
              <w:left w:val="nil"/>
              <w:bottom w:val="single" w:sz="4" w:space="0" w:color="auto"/>
              <w:right w:val="nil"/>
            </w:tcBorders>
            <w:shd w:val="clear" w:color="auto" w:fill="auto"/>
            <w:noWrap/>
            <w:vAlign w:val="bottom"/>
            <w:hideMark/>
          </w:tcPr>
          <w:p w14:paraId="1F8F4D69" w14:textId="734332EB" w:rsidR="00CB2FF8" w:rsidRPr="000D67C6" w:rsidRDefault="00084F42" w:rsidP="00CB2FF8">
            <w:pPr>
              <w:jc w:val="right"/>
              <w:rPr>
                <w:rFonts w:ascii="Arial" w:eastAsia="Times New Roman" w:hAnsi="Arial" w:cs="Arial"/>
                <w:sz w:val="22"/>
                <w:szCs w:val="22"/>
                <w:lang w:val="en-GB" w:eastAsia="en-GB"/>
              </w:rPr>
            </w:pPr>
            <w:r w:rsidRPr="000D67C6">
              <w:rPr>
                <w:rFonts w:ascii="Arial" w:eastAsia="Times New Roman" w:hAnsi="Arial" w:cs="Arial"/>
                <w:sz w:val="22"/>
                <w:szCs w:val="22"/>
                <w:lang w:val="en-GB" w:eastAsia="en-GB"/>
              </w:rPr>
              <w:t>5</w:t>
            </w:r>
            <w:r w:rsidR="00CB2FF8" w:rsidRPr="000D67C6">
              <w:rPr>
                <w:rFonts w:ascii="Arial" w:eastAsia="Times New Roman" w:hAnsi="Arial" w:cs="Arial"/>
                <w:sz w:val="22"/>
                <w:szCs w:val="22"/>
                <w:lang w:val="en-GB" w:eastAsia="en-GB"/>
              </w:rPr>
              <w:t xml:space="preserve"> </w:t>
            </w:r>
          </w:p>
        </w:tc>
        <w:tc>
          <w:tcPr>
            <w:tcW w:w="1219" w:type="dxa"/>
            <w:tcBorders>
              <w:top w:val="nil"/>
              <w:left w:val="nil"/>
              <w:bottom w:val="single" w:sz="4" w:space="0" w:color="auto"/>
              <w:right w:val="nil"/>
            </w:tcBorders>
            <w:shd w:val="clear" w:color="auto" w:fill="auto"/>
            <w:noWrap/>
            <w:vAlign w:val="bottom"/>
            <w:hideMark/>
          </w:tcPr>
          <w:p w14:paraId="57997009" w14:textId="5C4CD376" w:rsidR="00CB2FF8" w:rsidRPr="000D67C6" w:rsidRDefault="005E1DA1" w:rsidP="00CB2FF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(5)</w:t>
            </w:r>
            <w:r w:rsidR="00CB2FF8" w:rsidRPr="000D67C6">
              <w:rPr>
                <w:rFonts w:ascii="Arial" w:eastAsia="Times New Roman" w:hAnsi="Arial" w:cs="Arial"/>
                <w:color w:val="000000"/>
                <w:sz w:val="22"/>
                <w:szCs w:val="22"/>
                <w:lang w:val="en-GB" w:eastAsia="en-GB"/>
              </w:rPr>
              <w:t xml:space="preserve"> </w:t>
            </w:r>
          </w:p>
        </w:tc>
      </w:tr>
      <w:tr w:rsidR="00CB2FF8" w:rsidRPr="000D67C6" w14:paraId="2E5EB2D6" w14:textId="77777777" w:rsidTr="000967FF">
        <w:trPr>
          <w:trHeight w:val="288"/>
        </w:trPr>
        <w:tc>
          <w:tcPr>
            <w:tcW w:w="4240" w:type="dxa"/>
            <w:tcBorders>
              <w:top w:val="single" w:sz="4" w:space="0" w:color="auto"/>
              <w:left w:val="nil"/>
              <w:bottom w:val="single" w:sz="4" w:space="0" w:color="auto"/>
              <w:right w:val="nil"/>
            </w:tcBorders>
            <w:shd w:val="clear" w:color="auto" w:fill="auto"/>
            <w:noWrap/>
            <w:vAlign w:val="bottom"/>
            <w:hideMark/>
          </w:tcPr>
          <w:p w14:paraId="2E6107E4" w14:textId="77777777" w:rsidR="00CB2FF8" w:rsidRPr="000D67C6" w:rsidRDefault="00CB2FF8" w:rsidP="00CB2FF8">
            <w:pPr>
              <w:jc w:val="right"/>
              <w:rPr>
                <w:rFonts w:ascii="Arial" w:eastAsia="Times New Roman" w:hAnsi="Arial" w:cs="Arial"/>
                <w:color w:val="000000"/>
                <w:sz w:val="22"/>
                <w:szCs w:val="22"/>
                <w:lang w:val="en-GB" w:eastAsia="en-GB"/>
              </w:rPr>
            </w:pPr>
          </w:p>
        </w:tc>
        <w:tc>
          <w:tcPr>
            <w:tcW w:w="1209" w:type="dxa"/>
            <w:tcBorders>
              <w:top w:val="single" w:sz="4" w:space="0" w:color="auto"/>
              <w:left w:val="nil"/>
              <w:bottom w:val="single" w:sz="4" w:space="0" w:color="auto"/>
              <w:right w:val="nil"/>
            </w:tcBorders>
            <w:shd w:val="clear" w:color="auto" w:fill="auto"/>
            <w:noWrap/>
            <w:vAlign w:val="bottom"/>
            <w:hideMark/>
          </w:tcPr>
          <w:p w14:paraId="5B7882C7" w14:textId="0DEEF2CB" w:rsidR="00CB2FF8" w:rsidRPr="000D67C6" w:rsidRDefault="007C0F24" w:rsidP="00CB2FF8">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w:t>
            </w:r>
            <w:r w:rsidR="00D37DA6" w:rsidRPr="000D67C6">
              <w:rPr>
                <w:rFonts w:ascii="Arial" w:eastAsia="Times New Roman" w:hAnsi="Arial" w:cs="Arial"/>
                <w:b/>
                <w:bCs/>
                <w:sz w:val="22"/>
                <w:szCs w:val="22"/>
                <w:lang w:val="en-GB" w:eastAsia="en-GB"/>
              </w:rPr>
              <w:t>56</w:t>
            </w:r>
            <w:r w:rsidR="00CB2FF8" w:rsidRPr="000D67C6">
              <w:rPr>
                <w:rFonts w:ascii="Arial" w:eastAsia="Times New Roman" w:hAnsi="Arial" w:cs="Arial"/>
                <w:b/>
                <w:bCs/>
                <w:sz w:val="22"/>
                <w:szCs w:val="22"/>
                <w:lang w:val="en-GB" w:eastAsia="en-GB"/>
              </w:rPr>
              <w:t>,</w:t>
            </w:r>
            <w:r w:rsidR="00D37DA6" w:rsidRPr="000D67C6">
              <w:rPr>
                <w:rFonts w:ascii="Arial" w:eastAsia="Times New Roman" w:hAnsi="Arial" w:cs="Arial"/>
                <w:b/>
                <w:bCs/>
                <w:sz w:val="22"/>
                <w:szCs w:val="22"/>
                <w:lang w:val="en-GB" w:eastAsia="en-GB"/>
              </w:rPr>
              <w:t>012</w:t>
            </w:r>
            <w:r w:rsidRPr="000D67C6">
              <w:rPr>
                <w:rFonts w:ascii="Arial" w:eastAsia="Times New Roman" w:hAnsi="Arial" w:cs="Arial"/>
                <w:b/>
                <w:bCs/>
                <w:sz w:val="22"/>
                <w:szCs w:val="22"/>
                <w:lang w:val="en-GB" w:eastAsia="en-GB"/>
              </w:rPr>
              <w:t>)</w:t>
            </w:r>
          </w:p>
        </w:tc>
        <w:tc>
          <w:tcPr>
            <w:tcW w:w="1500" w:type="dxa"/>
            <w:tcBorders>
              <w:top w:val="single" w:sz="4" w:space="0" w:color="auto"/>
              <w:left w:val="nil"/>
              <w:bottom w:val="single" w:sz="4" w:space="0" w:color="auto"/>
              <w:right w:val="nil"/>
            </w:tcBorders>
            <w:shd w:val="clear" w:color="auto" w:fill="auto"/>
            <w:noWrap/>
            <w:vAlign w:val="bottom"/>
            <w:hideMark/>
          </w:tcPr>
          <w:p w14:paraId="393DFB0A" w14:textId="1F9BC294" w:rsidR="00CB2FF8" w:rsidRPr="000D67C6" w:rsidRDefault="001942D8" w:rsidP="00CB2FF8">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1,65</w:t>
            </w:r>
            <w:r w:rsidR="000F6CA4" w:rsidRPr="000D67C6">
              <w:rPr>
                <w:rFonts w:ascii="Arial" w:eastAsia="Times New Roman" w:hAnsi="Arial" w:cs="Arial"/>
                <w:b/>
                <w:bCs/>
                <w:sz w:val="22"/>
                <w:szCs w:val="22"/>
                <w:lang w:val="en-GB" w:eastAsia="en-GB"/>
              </w:rPr>
              <w:t>5</w:t>
            </w:r>
          </w:p>
        </w:tc>
        <w:tc>
          <w:tcPr>
            <w:tcW w:w="1195" w:type="dxa"/>
            <w:tcBorders>
              <w:top w:val="single" w:sz="4" w:space="0" w:color="auto"/>
              <w:left w:val="nil"/>
              <w:bottom w:val="single" w:sz="4" w:space="0" w:color="auto"/>
              <w:right w:val="nil"/>
            </w:tcBorders>
            <w:shd w:val="clear" w:color="auto" w:fill="auto"/>
            <w:noWrap/>
            <w:vAlign w:val="bottom"/>
            <w:hideMark/>
          </w:tcPr>
          <w:p w14:paraId="19D473F2" w14:textId="167BEBCA" w:rsidR="00CB2FF8" w:rsidRPr="000D67C6" w:rsidRDefault="00084F42" w:rsidP="00CB2FF8">
            <w:pPr>
              <w:jc w:val="right"/>
              <w:rPr>
                <w:rFonts w:ascii="Arial" w:eastAsia="Times New Roman" w:hAnsi="Arial" w:cs="Arial"/>
                <w:b/>
                <w:bCs/>
                <w:sz w:val="22"/>
                <w:szCs w:val="22"/>
                <w:lang w:val="en-GB" w:eastAsia="en-GB"/>
              </w:rPr>
            </w:pPr>
            <w:r w:rsidRPr="000D67C6">
              <w:rPr>
                <w:rFonts w:ascii="Arial" w:eastAsia="Times New Roman" w:hAnsi="Arial" w:cs="Arial"/>
                <w:b/>
                <w:bCs/>
                <w:sz w:val="22"/>
                <w:szCs w:val="22"/>
                <w:lang w:val="en-GB" w:eastAsia="en-GB"/>
              </w:rPr>
              <w:t>940</w:t>
            </w:r>
          </w:p>
        </w:tc>
        <w:tc>
          <w:tcPr>
            <w:tcW w:w="1219" w:type="dxa"/>
            <w:tcBorders>
              <w:top w:val="single" w:sz="4" w:space="0" w:color="auto"/>
              <w:left w:val="nil"/>
              <w:bottom w:val="single" w:sz="4" w:space="0" w:color="auto"/>
              <w:right w:val="nil"/>
            </w:tcBorders>
            <w:shd w:val="clear" w:color="auto" w:fill="auto"/>
            <w:noWrap/>
            <w:vAlign w:val="bottom"/>
            <w:hideMark/>
          </w:tcPr>
          <w:p w14:paraId="0670BF11" w14:textId="349950AD" w:rsidR="00CB2FF8" w:rsidRPr="000D67C6" w:rsidRDefault="005E1DA1" w:rsidP="00CB2FF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(203)</w:t>
            </w:r>
          </w:p>
        </w:tc>
      </w:tr>
    </w:tbl>
    <w:p w14:paraId="3B9BC4C7" w14:textId="77777777" w:rsidR="00F457EE" w:rsidRPr="000D67C6" w:rsidRDefault="00F457EE" w:rsidP="00CC663C">
      <w:pPr>
        <w:pStyle w:val="Default"/>
        <w:rPr>
          <w:rFonts w:ascii="Arial" w:hAnsi="Arial" w:cs="Arial"/>
          <w:b/>
          <w:bCs/>
          <w:sz w:val="22"/>
          <w:szCs w:val="22"/>
        </w:rPr>
      </w:pPr>
    </w:p>
    <w:p w14:paraId="01FF9669" w14:textId="04D006A6" w:rsidR="006050D5" w:rsidRPr="000D67C6" w:rsidRDefault="00CC663C" w:rsidP="00CC663C">
      <w:pPr>
        <w:pStyle w:val="Default"/>
        <w:rPr>
          <w:rFonts w:ascii="Arial" w:hAnsi="Arial" w:cs="Arial"/>
          <w:b/>
          <w:bCs/>
          <w:sz w:val="22"/>
          <w:szCs w:val="22"/>
        </w:rPr>
      </w:pPr>
      <w:r w:rsidRPr="000D67C6">
        <w:rPr>
          <w:rFonts w:ascii="Arial" w:hAnsi="Arial" w:cs="Arial"/>
          <w:b/>
          <w:bCs/>
          <w:sz w:val="22"/>
          <w:szCs w:val="22"/>
        </w:rPr>
        <w:t xml:space="preserve">Entities Influenced by the Authority </w:t>
      </w:r>
    </w:p>
    <w:p w14:paraId="4539E561" w14:textId="77777777" w:rsidR="00293192" w:rsidRPr="000D67C6" w:rsidRDefault="00293192" w:rsidP="00CC663C">
      <w:pPr>
        <w:pStyle w:val="Default"/>
        <w:rPr>
          <w:rFonts w:ascii="Arial" w:hAnsi="Arial" w:cs="Arial"/>
          <w:b/>
          <w:bCs/>
          <w:sz w:val="22"/>
          <w:szCs w:val="22"/>
        </w:rPr>
      </w:pPr>
    </w:p>
    <w:p w14:paraId="59218CA9" w14:textId="77777777" w:rsidR="00CC663C" w:rsidRPr="000D67C6" w:rsidRDefault="00CC663C" w:rsidP="008107DA">
      <w:pPr>
        <w:pStyle w:val="Default"/>
        <w:jc w:val="both"/>
        <w:rPr>
          <w:rFonts w:ascii="Arial" w:hAnsi="Arial" w:cs="Arial"/>
          <w:sz w:val="22"/>
          <w:szCs w:val="22"/>
        </w:rPr>
      </w:pPr>
      <w:r w:rsidRPr="000D67C6">
        <w:rPr>
          <w:rFonts w:ascii="Arial" w:hAnsi="Arial" w:cs="Arial"/>
          <w:sz w:val="22"/>
          <w:szCs w:val="22"/>
        </w:rPr>
        <w:t xml:space="preserve">Rescue 365 is a Community Interest Company Limited by Guarantee set up to provide prevention, protection and response services to the community in Mid and West Wales. Surpluses generated from the company's activities will be applied to provide prevention, protection and response services to our </w:t>
      </w:r>
      <w:r w:rsidR="008107DA" w:rsidRPr="000D67C6">
        <w:rPr>
          <w:rFonts w:ascii="Arial" w:hAnsi="Arial" w:cs="Arial"/>
          <w:sz w:val="22"/>
          <w:szCs w:val="22"/>
        </w:rPr>
        <w:t>communities</w:t>
      </w:r>
      <w:r w:rsidRPr="000D67C6">
        <w:rPr>
          <w:rFonts w:ascii="Arial" w:hAnsi="Arial" w:cs="Arial"/>
          <w:sz w:val="22"/>
          <w:szCs w:val="22"/>
        </w:rPr>
        <w:t>. These prevention, protection and</w:t>
      </w:r>
      <w:r w:rsidR="000A21C5" w:rsidRPr="000D67C6">
        <w:rPr>
          <w:rFonts w:ascii="Arial" w:hAnsi="Arial" w:cs="Arial"/>
          <w:sz w:val="22"/>
          <w:szCs w:val="22"/>
        </w:rPr>
        <w:t xml:space="preserve"> response services aim to comple</w:t>
      </w:r>
      <w:r w:rsidRPr="000D67C6">
        <w:rPr>
          <w:rFonts w:ascii="Arial" w:hAnsi="Arial" w:cs="Arial"/>
          <w:sz w:val="22"/>
          <w:szCs w:val="22"/>
        </w:rPr>
        <w:t xml:space="preserve">ment the statutory </w:t>
      </w:r>
      <w:r w:rsidR="008107DA" w:rsidRPr="000D67C6">
        <w:rPr>
          <w:rFonts w:ascii="Arial" w:hAnsi="Arial" w:cs="Arial"/>
          <w:sz w:val="22"/>
          <w:szCs w:val="22"/>
        </w:rPr>
        <w:t xml:space="preserve">and </w:t>
      </w:r>
      <w:r w:rsidRPr="000D67C6">
        <w:rPr>
          <w:rFonts w:ascii="Arial" w:hAnsi="Arial" w:cs="Arial"/>
          <w:sz w:val="22"/>
          <w:szCs w:val="22"/>
        </w:rPr>
        <w:t>non-statutory prevention, protection and response services by Mid &amp; West Wales Fire &amp; Rescue Authority. The company directors have the ability to apply some or all of the surpluses in furtherance of Rescue 365's object</w:t>
      </w:r>
      <w:r w:rsidR="000A21C5" w:rsidRPr="000D67C6">
        <w:rPr>
          <w:rFonts w:ascii="Arial" w:hAnsi="Arial" w:cs="Arial"/>
          <w:sz w:val="22"/>
          <w:szCs w:val="22"/>
        </w:rPr>
        <w:t>ive</w:t>
      </w:r>
      <w:r w:rsidRPr="000D67C6">
        <w:rPr>
          <w:rFonts w:ascii="Arial" w:hAnsi="Arial" w:cs="Arial"/>
          <w:sz w:val="22"/>
          <w:szCs w:val="22"/>
        </w:rPr>
        <w:t xml:space="preserve">s and community purpose. As the community purpose is aligned with that of the Authority, the directors may pass some or all of the surpluses to the Authority. </w:t>
      </w:r>
    </w:p>
    <w:p w14:paraId="771E18BE" w14:textId="77777777" w:rsidR="008107DA" w:rsidRPr="000D67C6" w:rsidRDefault="008107DA" w:rsidP="008107DA">
      <w:pPr>
        <w:pStyle w:val="Default"/>
        <w:jc w:val="both"/>
        <w:rPr>
          <w:rFonts w:ascii="Arial" w:hAnsi="Arial" w:cs="Arial"/>
          <w:sz w:val="22"/>
          <w:szCs w:val="22"/>
        </w:rPr>
      </w:pPr>
    </w:p>
    <w:p w14:paraId="57C7C376" w14:textId="54B31E3B" w:rsidR="008107DA" w:rsidRPr="000D67C6" w:rsidRDefault="00CC663C" w:rsidP="007D3C9B">
      <w:pPr>
        <w:jc w:val="both"/>
        <w:rPr>
          <w:rFonts w:ascii="Arial" w:hAnsi="Arial" w:cs="Arial"/>
          <w:sz w:val="22"/>
          <w:szCs w:val="22"/>
        </w:rPr>
      </w:pPr>
      <w:r w:rsidRPr="000D67C6">
        <w:rPr>
          <w:rFonts w:ascii="Arial" w:hAnsi="Arial" w:cs="Arial"/>
          <w:sz w:val="22"/>
          <w:szCs w:val="22"/>
        </w:rPr>
        <w:t xml:space="preserve">A decision on how to use any surpluses would be a matter for the board of Rescue 365, who would need to act in the best interests of Rescue 365 with a view to furthering its community purpose. The Rescue 365 board </w:t>
      </w:r>
      <w:r w:rsidR="00FE5283" w:rsidRPr="000D67C6">
        <w:rPr>
          <w:rFonts w:ascii="Arial" w:hAnsi="Arial" w:cs="Arial"/>
          <w:sz w:val="22"/>
          <w:szCs w:val="22"/>
        </w:rPr>
        <w:t>(members of which can be found on Compan</w:t>
      </w:r>
      <w:r w:rsidR="00BE228D" w:rsidRPr="000D67C6">
        <w:rPr>
          <w:rFonts w:ascii="Arial" w:hAnsi="Arial" w:cs="Arial"/>
          <w:sz w:val="22"/>
          <w:szCs w:val="22"/>
        </w:rPr>
        <w:t xml:space="preserve">ies House) </w:t>
      </w:r>
      <w:r w:rsidRPr="000D67C6">
        <w:rPr>
          <w:rFonts w:ascii="Arial" w:hAnsi="Arial" w:cs="Arial"/>
          <w:sz w:val="22"/>
          <w:szCs w:val="22"/>
        </w:rPr>
        <w:t xml:space="preserve">are likely to consider making grants of surpluses to the Authority or to Authority identified projects as being an effective way of furthering Rescue 365's community purpose and the intention at the outset was that surpluses would be applied to support services provided by the Authority. </w:t>
      </w:r>
    </w:p>
    <w:p w14:paraId="25A27A4F" w14:textId="77777777" w:rsidR="00C36290" w:rsidRPr="000D67C6" w:rsidRDefault="00AB4F56" w:rsidP="00126E38">
      <w:pPr>
        <w:pStyle w:val="Normal0"/>
        <w:spacing w:after="160" w:line="259" w:lineRule="auto"/>
        <w:jc w:val="both"/>
        <w:rPr>
          <w:rFonts w:ascii="Arial" w:hAnsi="Arial" w:cs="Arial"/>
          <w:sz w:val="22"/>
          <w:szCs w:val="22"/>
          <w:lang w:val="en-GB"/>
        </w:rPr>
      </w:pPr>
      <w:r w:rsidRPr="000D67C6">
        <w:rPr>
          <w:rFonts w:ascii="Arial" w:hAnsi="Arial" w:cs="Arial"/>
          <w:sz w:val="22"/>
          <w:szCs w:val="22"/>
          <w:lang w:val="en-GB"/>
        </w:rPr>
        <w:t xml:space="preserve">In total the Authority has </w:t>
      </w:r>
      <w:r w:rsidR="000A21C5" w:rsidRPr="000D67C6">
        <w:rPr>
          <w:rFonts w:ascii="Arial" w:hAnsi="Arial" w:cs="Arial"/>
          <w:sz w:val="22"/>
          <w:szCs w:val="22"/>
          <w:lang w:val="en-GB"/>
        </w:rPr>
        <w:t>advanced</w:t>
      </w:r>
      <w:r w:rsidRPr="000D67C6">
        <w:rPr>
          <w:rFonts w:ascii="Arial" w:hAnsi="Arial" w:cs="Arial"/>
          <w:sz w:val="22"/>
          <w:szCs w:val="22"/>
          <w:lang w:val="en-GB"/>
        </w:rPr>
        <w:t xml:space="preserve"> £</w:t>
      </w:r>
      <w:r w:rsidR="00990EE3" w:rsidRPr="000D67C6">
        <w:rPr>
          <w:rFonts w:ascii="Arial" w:hAnsi="Arial" w:cs="Arial"/>
          <w:sz w:val="22"/>
          <w:szCs w:val="22"/>
          <w:lang w:val="en-GB"/>
        </w:rPr>
        <w:t>260k to Rescue 365 of which £1</w:t>
      </w:r>
      <w:r w:rsidR="00486811" w:rsidRPr="000D67C6">
        <w:rPr>
          <w:rFonts w:ascii="Arial" w:hAnsi="Arial" w:cs="Arial"/>
          <w:sz w:val="22"/>
          <w:szCs w:val="22"/>
          <w:lang w:val="en-GB"/>
        </w:rPr>
        <w:t>36</w:t>
      </w:r>
      <w:r w:rsidRPr="000D67C6">
        <w:rPr>
          <w:rFonts w:ascii="Arial" w:hAnsi="Arial" w:cs="Arial"/>
          <w:sz w:val="22"/>
          <w:szCs w:val="22"/>
          <w:lang w:val="en-GB"/>
        </w:rPr>
        <w:t>k is</w:t>
      </w:r>
      <w:r w:rsidR="008A450C" w:rsidRPr="000D67C6">
        <w:rPr>
          <w:rFonts w:ascii="Arial" w:hAnsi="Arial" w:cs="Arial"/>
          <w:sz w:val="22"/>
          <w:szCs w:val="22"/>
          <w:lang w:val="en-GB"/>
        </w:rPr>
        <w:t xml:space="preserve"> outstanding as at 31 March 201</w:t>
      </w:r>
      <w:r w:rsidR="00486811" w:rsidRPr="000D67C6">
        <w:rPr>
          <w:rFonts w:ascii="Arial" w:hAnsi="Arial" w:cs="Arial"/>
          <w:sz w:val="22"/>
          <w:szCs w:val="22"/>
          <w:lang w:val="en-GB"/>
        </w:rPr>
        <w:t>9</w:t>
      </w:r>
      <w:r w:rsidR="00524C1A" w:rsidRPr="000D67C6">
        <w:rPr>
          <w:rFonts w:ascii="Arial" w:hAnsi="Arial" w:cs="Arial"/>
          <w:sz w:val="22"/>
          <w:szCs w:val="22"/>
          <w:lang w:val="en-GB"/>
        </w:rPr>
        <w:t xml:space="preserve"> (£</w:t>
      </w:r>
      <w:r w:rsidR="00486811" w:rsidRPr="000D67C6">
        <w:rPr>
          <w:rFonts w:ascii="Arial" w:hAnsi="Arial" w:cs="Arial"/>
          <w:sz w:val="22"/>
          <w:szCs w:val="22"/>
          <w:lang w:val="en-GB"/>
        </w:rPr>
        <w:t>162</w:t>
      </w:r>
      <w:r w:rsidR="00C36290" w:rsidRPr="000D67C6">
        <w:rPr>
          <w:rFonts w:ascii="Arial" w:hAnsi="Arial" w:cs="Arial"/>
          <w:sz w:val="22"/>
          <w:szCs w:val="22"/>
          <w:lang w:val="en-GB"/>
        </w:rPr>
        <w:t>k as at 31 March 201</w:t>
      </w:r>
      <w:r w:rsidR="00486811" w:rsidRPr="000D67C6">
        <w:rPr>
          <w:rFonts w:ascii="Arial" w:hAnsi="Arial" w:cs="Arial"/>
          <w:sz w:val="22"/>
          <w:szCs w:val="22"/>
          <w:lang w:val="en-GB"/>
        </w:rPr>
        <w:t>8</w:t>
      </w:r>
      <w:r w:rsidR="00C36290" w:rsidRPr="000D67C6">
        <w:rPr>
          <w:rFonts w:ascii="Arial" w:hAnsi="Arial" w:cs="Arial"/>
          <w:sz w:val="22"/>
          <w:szCs w:val="22"/>
          <w:lang w:val="en-GB"/>
        </w:rPr>
        <w:t>)</w:t>
      </w:r>
      <w:r w:rsidRPr="000D67C6">
        <w:rPr>
          <w:rFonts w:ascii="Arial" w:hAnsi="Arial" w:cs="Arial"/>
          <w:sz w:val="22"/>
          <w:szCs w:val="22"/>
          <w:lang w:val="en-GB"/>
        </w:rPr>
        <w:t>.</w:t>
      </w:r>
      <w:r w:rsidR="00C36290" w:rsidRPr="000D67C6">
        <w:rPr>
          <w:rFonts w:ascii="Arial" w:hAnsi="Arial" w:cs="Arial"/>
          <w:sz w:val="22"/>
          <w:szCs w:val="22"/>
          <w:lang w:val="en-GB"/>
        </w:rPr>
        <w:t xml:space="preserve"> </w:t>
      </w:r>
    </w:p>
    <w:p w14:paraId="653AE683" w14:textId="77777777" w:rsidR="00C36290" w:rsidRPr="000D67C6" w:rsidRDefault="00C36290" w:rsidP="00BC4C2E">
      <w:pPr>
        <w:pStyle w:val="Normal0"/>
        <w:spacing w:after="160" w:line="259" w:lineRule="auto"/>
        <w:jc w:val="both"/>
        <w:rPr>
          <w:rFonts w:ascii="Arial" w:hAnsi="Arial" w:cs="Arial"/>
          <w:sz w:val="22"/>
          <w:szCs w:val="22"/>
          <w:lang w:val="en-GB"/>
        </w:rPr>
      </w:pPr>
      <w:r w:rsidRPr="000D67C6">
        <w:rPr>
          <w:rFonts w:ascii="Arial" w:hAnsi="Arial" w:cs="Arial"/>
          <w:sz w:val="22"/>
          <w:szCs w:val="22"/>
          <w:lang w:val="en-GB"/>
        </w:rPr>
        <w:t xml:space="preserve">In addition to the loan the Authority seconded staff and rented accommodation to Rescue 365 which was charged and </w:t>
      </w:r>
      <w:r w:rsidR="009A6841" w:rsidRPr="000D67C6">
        <w:rPr>
          <w:rFonts w:ascii="Arial" w:hAnsi="Arial" w:cs="Arial"/>
          <w:sz w:val="22"/>
          <w:szCs w:val="22"/>
          <w:lang w:val="en-GB"/>
        </w:rPr>
        <w:t>the balance due at 31 March 201</w:t>
      </w:r>
      <w:r w:rsidR="00486811" w:rsidRPr="000D67C6">
        <w:rPr>
          <w:rFonts w:ascii="Arial" w:hAnsi="Arial" w:cs="Arial"/>
          <w:sz w:val="22"/>
          <w:szCs w:val="22"/>
          <w:lang w:val="en-GB"/>
        </w:rPr>
        <w:t>9</w:t>
      </w:r>
      <w:r w:rsidR="009A6841" w:rsidRPr="000D67C6">
        <w:rPr>
          <w:rFonts w:ascii="Arial" w:hAnsi="Arial" w:cs="Arial"/>
          <w:sz w:val="22"/>
          <w:szCs w:val="22"/>
          <w:lang w:val="en-GB"/>
        </w:rPr>
        <w:t xml:space="preserve"> was £2</w:t>
      </w:r>
      <w:r w:rsidR="00486811" w:rsidRPr="000D67C6">
        <w:rPr>
          <w:rFonts w:ascii="Arial" w:hAnsi="Arial" w:cs="Arial"/>
          <w:sz w:val="22"/>
          <w:szCs w:val="22"/>
          <w:lang w:val="en-GB"/>
        </w:rPr>
        <w:t>91</w:t>
      </w:r>
      <w:r w:rsidR="00126E38" w:rsidRPr="000D67C6">
        <w:rPr>
          <w:rFonts w:ascii="Arial" w:hAnsi="Arial" w:cs="Arial"/>
          <w:sz w:val="22"/>
          <w:szCs w:val="22"/>
          <w:lang w:val="en-GB"/>
        </w:rPr>
        <w:t xml:space="preserve">k. </w:t>
      </w:r>
    </w:p>
    <w:p w14:paraId="1FAA2A2D" w14:textId="77777777" w:rsidR="00436720" w:rsidRPr="000D67C6" w:rsidRDefault="00126E38" w:rsidP="00BC4C2E">
      <w:pPr>
        <w:pStyle w:val="Default"/>
        <w:jc w:val="both"/>
        <w:rPr>
          <w:rFonts w:ascii="Arial" w:hAnsi="Arial" w:cs="Arial"/>
          <w:sz w:val="22"/>
          <w:szCs w:val="22"/>
        </w:rPr>
      </w:pPr>
      <w:r w:rsidRPr="000D67C6">
        <w:rPr>
          <w:rFonts w:ascii="Arial" w:hAnsi="Arial" w:cs="Arial"/>
          <w:sz w:val="22"/>
          <w:szCs w:val="22"/>
        </w:rPr>
        <w:t xml:space="preserve">The total debtor in the Statement of Accounts </w:t>
      </w:r>
      <w:r w:rsidR="009A6841" w:rsidRPr="000D67C6">
        <w:rPr>
          <w:rFonts w:ascii="Arial" w:hAnsi="Arial" w:cs="Arial"/>
          <w:sz w:val="22"/>
          <w:szCs w:val="22"/>
        </w:rPr>
        <w:t>for Rescue 365 is therefore £4</w:t>
      </w:r>
      <w:r w:rsidR="000D32C8" w:rsidRPr="000D67C6">
        <w:rPr>
          <w:rFonts w:ascii="Arial" w:hAnsi="Arial" w:cs="Arial"/>
          <w:sz w:val="22"/>
          <w:szCs w:val="22"/>
        </w:rPr>
        <w:t>27</w:t>
      </w:r>
      <w:r w:rsidRPr="000D67C6">
        <w:rPr>
          <w:rFonts w:ascii="Arial" w:hAnsi="Arial" w:cs="Arial"/>
          <w:sz w:val="22"/>
          <w:szCs w:val="22"/>
        </w:rPr>
        <w:t>k</w:t>
      </w:r>
      <w:r w:rsidR="008B75FC" w:rsidRPr="000D67C6">
        <w:rPr>
          <w:rFonts w:ascii="Arial" w:hAnsi="Arial" w:cs="Arial"/>
          <w:sz w:val="22"/>
          <w:szCs w:val="22"/>
        </w:rPr>
        <w:t xml:space="preserve">, </w:t>
      </w:r>
      <w:r w:rsidR="00045CFF" w:rsidRPr="000D67C6">
        <w:rPr>
          <w:rFonts w:ascii="Arial" w:hAnsi="Arial" w:cs="Arial"/>
          <w:sz w:val="22"/>
          <w:szCs w:val="22"/>
        </w:rPr>
        <w:t>a reduction of £</w:t>
      </w:r>
      <w:r w:rsidR="000D32C8" w:rsidRPr="000D67C6">
        <w:rPr>
          <w:rFonts w:ascii="Arial" w:hAnsi="Arial" w:cs="Arial"/>
          <w:sz w:val="22"/>
          <w:szCs w:val="22"/>
        </w:rPr>
        <w:t>7</w:t>
      </w:r>
      <w:r w:rsidR="00045CFF" w:rsidRPr="000D67C6">
        <w:rPr>
          <w:rFonts w:ascii="Arial" w:hAnsi="Arial" w:cs="Arial"/>
          <w:sz w:val="22"/>
          <w:szCs w:val="22"/>
        </w:rPr>
        <w:t>k.</w:t>
      </w:r>
      <w:r w:rsidRPr="000D67C6">
        <w:rPr>
          <w:rFonts w:ascii="Arial" w:hAnsi="Arial" w:cs="Arial"/>
          <w:sz w:val="22"/>
          <w:szCs w:val="22"/>
        </w:rPr>
        <w:t xml:space="preserve"> A review of the Accounts for Rescue 365 identified losses in the early years of trading, as a result of this the recoverability of the debt has been </w:t>
      </w:r>
      <w:r w:rsidR="009A6841" w:rsidRPr="000D67C6">
        <w:rPr>
          <w:rFonts w:ascii="Arial" w:hAnsi="Arial" w:cs="Arial"/>
          <w:sz w:val="22"/>
          <w:szCs w:val="22"/>
        </w:rPr>
        <w:t xml:space="preserve">reviewed </w:t>
      </w:r>
      <w:r w:rsidR="00302FA1" w:rsidRPr="000D67C6">
        <w:rPr>
          <w:rFonts w:ascii="Arial" w:hAnsi="Arial" w:cs="Arial"/>
          <w:sz w:val="22"/>
          <w:szCs w:val="22"/>
        </w:rPr>
        <w:t xml:space="preserve">and </w:t>
      </w:r>
      <w:r w:rsidR="009329E0" w:rsidRPr="000D67C6">
        <w:rPr>
          <w:rFonts w:ascii="Arial" w:hAnsi="Arial" w:cs="Arial"/>
          <w:sz w:val="22"/>
          <w:szCs w:val="22"/>
        </w:rPr>
        <w:t xml:space="preserve">it has been deemed to be prudent </w:t>
      </w:r>
      <w:r w:rsidR="00A04841" w:rsidRPr="000D67C6">
        <w:rPr>
          <w:rFonts w:ascii="Arial" w:hAnsi="Arial" w:cs="Arial"/>
          <w:sz w:val="22"/>
          <w:szCs w:val="22"/>
        </w:rPr>
        <w:t xml:space="preserve">to </w:t>
      </w:r>
      <w:r w:rsidR="00B82A2A" w:rsidRPr="000D67C6">
        <w:rPr>
          <w:rFonts w:ascii="Arial" w:hAnsi="Arial" w:cs="Arial"/>
          <w:sz w:val="22"/>
          <w:szCs w:val="22"/>
        </w:rPr>
        <w:t>adjust the bad debt provision</w:t>
      </w:r>
      <w:r w:rsidR="00336F73" w:rsidRPr="000D67C6">
        <w:rPr>
          <w:rFonts w:ascii="Arial" w:hAnsi="Arial" w:cs="Arial"/>
          <w:sz w:val="22"/>
          <w:szCs w:val="22"/>
        </w:rPr>
        <w:t xml:space="preserve"> to 100% of the debt </w:t>
      </w:r>
      <w:r w:rsidR="00B82A2A" w:rsidRPr="000D67C6">
        <w:rPr>
          <w:rFonts w:ascii="Arial" w:hAnsi="Arial" w:cs="Arial"/>
          <w:sz w:val="22"/>
          <w:szCs w:val="22"/>
        </w:rPr>
        <w:t>£</w:t>
      </w:r>
      <w:r w:rsidR="000F00CA" w:rsidRPr="000D67C6">
        <w:rPr>
          <w:rFonts w:ascii="Arial" w:hAnsi="Arial" w:cs="Arial"/>
          <w:sz w:val="22"/>
          <w:szCs w:val="22"/>
        </w:rPr>
        <w:t>427k</w:t>
      </w:r>
      <w:r w:rsidR="00706637" w:rsidRPr="000D67C6">
        <w:rPr>
          <w:rFonts w:ascii="Arial" w:hAnsi="Arial" w:cs="Arial"/>
          <w:sz w:val="22"/>
          <w:szCs w:val="22"/>
        </w:rPr>
        <w:t xml:space="preserve"> (</w:t>
      </w:r>
      <w:r w:rsidR="00302FA1" w:rsidRPr="000D67C6">
        <w:rPr>
          <w:rFonts w:ascii="Arial" w:hAnsi="Arial" w:cs="Arial"/>
          <w:sz w:val="22"/>
          <w:szCs w:val="22"/>
        </w:rPr>
        <w:t>£35</w:t>
      </w:r>
      <w:r w:rsidR="00706637" w:rsidRPr="000D67C6">
        <w:rPr>
          <w:rFonts w:ascii="Arial" w:hAnsi="Arial" w:cs="Arial"/>
          <w:sz w:val="22"/>
          <w:szCs w:val="22"/>
        </w:rPr>
        <w:t>3</w:t>
      </w:r>
      <w:r w:rsidR="00302FA1" w:rsidRPr="000D67C6">
        <w:rPr>
          <w:rFonts w:ascii="Arial" w:hAnsi="Arial" w:cs="Arial"/>
          <w:sz w:val="22"/>
          <w:szCs w:val="22"/>
        </w:rPr>
        <w:t>k at 31</w:t>
      </w:r>
      <w:r w:rsidR="00302FA1" w:rsidRPr="000D67C6">
        <w:rPr>
          <w:rFonts w:ascii="Arial" w:hAnsi="Arial" w:cs="Arial"/>
          <w:sz w:val="22"/>
          <w:szCs w:val="22"/>
          <w:vertAlign w:val="superscript"/>
        </w:rPr>
        <w:t>st</w:t>
      </w:r>
      <w:r w:rsidR="00302FA1" w:rsidRPr="000D67C6">
        <w:rPr>
          <w:rFonts w:ascii="Arial" w:hAnsi="Arial" w:cs="Arial"/>
          <w:sz w:val="22"/>
          <w:szCs w:val="22"/>
        </w:rPr>
        <w:t xml:space="preserve"> March 20</w:t>
      </w:r>
      <w:r w:rsidR="005F3D5C" w:rsidRPr="000D67C6">
        <w:rPr>
          <w:rFonts w:ascii="Arial" w:hAnsi="Arial" w:cs="Arial"/>
          <w:sz w:val="22"/>
          <w:szCs w:val="22"/>
        </w:rPr>
        <w:t>1</w:t>
      </w:r>
      <w:r w:rsidR="00706637" w:rsidRPr="000D67C6">
        <w:rPr>
          <w:rFonts w:ascii="Arial" w:hAnsi="Arial" w:cs="Arial"/>
          <w:sz w:val="22"/>
          <w:szCs w:val="22"/>
        </w:rPr>
        <w:t>8</w:t>
      </w:r>
      <w:r w:rsidR="00045CFF" w:rsidRPr="000D67C6">
        <w:rPr>
          <w:rFonts w:ascii="Arial" w:hAnsi="Arial" w:cs="Arial"/>
          <w:sz w:val="22"/>
          <w:szCs w:val="22"/>
        </w:rPr>
        <w:t>)</w:t>
      </w:r>
      <w:r w:rsidR="00302FA1" w:rsidRPr="000D67C6">
        <w:rPr>
          <w:rFonts w:ascii="Arial" w:hAnsi="Arial" w:cs="Arial"/>
          <w:sz w:val="22"/>
          <w:szCs w:val="22"/>
        </w:rPr>
        <w:t>.</w:t>
      </w:r>
      <w:r w:rsidRPr="000D67C6">
        <w:rPr>
          <w:rFonts w:ascii="Arial" w:hAnsi="Arial" w:cs="Arial"/>
          <w:sz w:val="22"/>
          <w:szCs w:val="22"/>
        </w:rPr>
        <w:t xml:space="preserve"> Th</w:t>
      </w:r>
      <w:r w:rsidR="00A37C53" w:rsidRPr="000D67C6">
        <w:rPr>
          <w:rFonts w:ascii="Arial" w:hAnsi="Arial" w:cs="Arial"/>
          <w:sz w:val="22"/>
          <w:szCs w:val="22"/>
        </w:rPr>
        <w:t xml:space="preserve">e </w:t>
      </w:r>
      <w:r w:rsidR="00706637" w:rsidRPr="000D67C6">
        <w:rPr>
          <w:rFonts w:ascii="Arial" w:hAnsi="Arial" w:cs="Arial"/>
          <w:sz w:val="22"/>
          <w:szCs w:val="22"/>
        </w:rPr>
        <w:t>increase of</w:t>
      </w:r>
      <w:r w:rsidR="00A37C53" w:rsidRPr="000D67C6">
        <w:rPr>
          <w:rFonts w:ascii="Arial" w:hAnsi="Arial" w:cs="Arial"/>
          <w:sz w:val="22"/>
          <w:szCs w:val="22"/>
        </w:rPr>
        <w:t xml:space="preserve"> £</w:t>
      </w:r>
      <w:r w:rsidR="00706637" w:rsidRPr="000D67C6">
        <w:rPr>
          <w:rFonts w:ascii="Arial" w:hAnsi="Arial" w:cs="Arial"/>
          <w:sz w:val="22"/>
          <w:szCs w:val="22"/>
        </w:rPr>
        <w:t>74</w:t>
      </w:r>
      <w:r w:rsidR="00A37C53" w:rsidRPr="000D67C6">
        <w:rPr>
          <w:rFonts w:ascii="Arial" w:hAnsi="Arial" w:cs="Arial"/>
          <w:sz w:val="22"/>
          <w:szCs w:val="22"/>
        </w:rPr>
        <w:t>k</w:t>
      </w:r>
      <w:r w:rsidRPr="000D67C6">
        <w:rPr>
          <w:rFonts w:ascii="Arial" w:hAnsi="Arial" w:cs="Arial"/>
          <w:sz w:val="22"/>
          <w:szCs w:val="22"/>
        </w:rPr>
        <w:t xml:space="preserve"> has been </w:t>
      </w:r>
      <w:r w:rsidR="00706637" w:rsidRPr="000D67C6">
        <w:rPr>
          <w:rFonts w:ascii="Arial" w:hAnsi="Arial" w:cs="Arial"/>
          <w:sz w:val="22"/>
          <w:szCs w:val="22"/>
        </w:rPr>
        <w:t>charged</w:t>
      </w:r>
      <w:r w:rsidRPr="000D67C6">
        <w:rPr>
          <w:rFonts w:ascii="Arial" w:hAnsi="Arial" w:cs="Arial"/>
          <w:sz w:val="22"/>
          <w:szCs w:val="22"/>
        </w:rPr>
        <w:t xml:space="preserve"> in year to the net cost of services.</w:t>
      </w:r>
      <w:r w:rsidR="00436720" w:rsidRPr="000D67C6">
        <w:rPr>
          <w:rFonts w:ascii="Arial" w:hAnsi="Arial" w:cs="Arial"/>
          <w:sz w:val="22"/>
          <w:szCs w:val="22"/>
        </w:rPr>
        <w:t xml:space="preserve"> </w:t>
      </w:r>
    </w:p>
    <w:p w14:paraId="5E20BA1E" w14:textId="77777777" w:rsidR="00265456" w:rsidRPr="000D67C6" w:rsidRDefault="00265456" w:rsidP="00BC4C2E">
      <w:pPr>
        <w:pStyle w:val="Default"/>
        <w:jc w:val="both"/>
        <w:rPr>
          <w:rFonts w:ascii="Arial" w:hAnsi="Arial" w:cs="Arial"/>
          <w:sz w:val="22"/>
          <w:szCs w:val="22"/>
        </w:rPr>
      </w:pPr>
    </w:p>
    <w:p w14:paraId="2890EC76" w14:textId="77777777" w:rsidR="001E123F" w:rsidRPr="000D67C6" w:rsidRDefault="00436720" w:rsidP="00BC4C2E">
      <w:pPr>
        <w:pStyle w:val="Default"/>
        <w:jc w:val="both"/>
        <w:rPr>
          <w:rFonts w:ascii="Arial" w:hAnsi="Arial" w:cs="Arial"/>
          <w:sz w:val="22"/>
          <w:szCs w:val="22"/>
        </w:rPr>
      </w:pPr>
      <w:r w:rsidRPr="000D67C6">
        <w:rPr>
          <w:rFonts w:ascii="Arial" w:hAnsi="Arial" w:cs="Arial"/>
          <w:sz w:val="22"/>
          <w:szCs w:val="22"/>
        </w:rPr>
        <w:t>The Authority is working with Rescue 365 to determine the long-term viability of the company and is considering restructuring options and operating models.</w:t>
      </w:r>
    </w:p>
    <w:p w14:paraId="5ACC435B" w14:textId="77777777" w:rsidR="001E123F" w:rsidRPr="000D67C6" w:rsidRDefault="001E123F" w:rsidP="00BC4C2E">
      <w:pPr>
        <w:jc w:val="both"/>
        <w:rPr>
          <w:rFonts w:ascii="Arial" w:hAnsi="Arial" w:cs="Arial"/>
          <w:sz w:val="22"/>
          <w:szCs w:val="22"/>
        </w:rPr>
      </w:pPr>
    </w:p>
    <w:p w14:paraId="6940E7C0" w14:textId="77777777" w:rsidR="00947244" w:rsidRPr="000D67C6" w:rsidRDefault="00947244" w:rsidP="00BC4C2E">
      <w:pPr>
        <w:jc w:val="both"/>
        <w:rPr>
          <w:rFonts w:ascii="Arial" w:hAnsi="Arial" w:cs="Arial"/>
          <w:color w:val="000000"/>
          <w:sz w:val="22"/>
          <w:szCs w:val="22"/>
          <w:lang w:val="en-GB"/>
        </w:rPr>
      </w:pPr>
      <w:r w:rsidRPr="000D67C6">
        <w:rPr>
          <w:rFonts w:ascii="Arial" w:hAnsi="Arial" w:cs="Arial"/>
          <w:color w:val="000000"/>
          <w:sz w:val="22"/>
          <w:szCs w:val="22"/>
          <w:lang w:val="en-GB"/>
        </w:rPr>
        <w:t>A summary of transactions in 2018/19 and outstanding balances as at 31</w:t>
      </w:r>
      <w:r w:rsidRPr="000D67C6">
        <w:rPr>
          <w:rFonts w:ascii="Arial" w:hAnsi="Arial" w:cs="Arial"/>
          <w:color w:val="000000"/>
          <w:sz w:val="22"/>
          <w:szCs w:val="22"/>
          <w:vertAlign w:val="superscript"/>
          <w:lang w:val="en-GB"/>
        </w:rPr>
        <w:t>st</w:t>
      </w:r>
      <w:r w:rsidRPr="000D67C6">
        <w:rPr>
          <w:rFonts w:ascii="Arial" w:hAnsi="Arial" w:cs="Arial"/>
          <w:color w:val="000000"/>
          <w:sz w:val="22"/>
          <w:szCs w:val="22"/>
          <w:lang w:val="en-GB"/>
        </w:rPr>
        <w:t xml:space="preserve"> March 2019 is detailed in the following table:</w:t>
      </w:r>
    </w:p>
    <w:p w14:paraId="7A07ADF4" w14:textId="77777777" w:rsidR="00947244" w:rsidRPr="000D67C6" w:rsidRDefault="00947244">
      <w:pPr>
        <w:rPr>
          <w:rFonts w:ascii="Arial" w:hAnsi="Arial" w:cs="Arial"/>
          <w:color w:val="000000"/>
          <w:sz w:val="22"/>
          <w:szCs w:val="22"/>
          <w:lang w:val="en-GB"/>
        </w:rPr>
      </w:pPr>
      <w:r w:rsidRPr="000D67C6">
        <w:rPr>
          <w:rFonts w:ascii="Arial" w:hAnsi="Arial" w:cs="Arial"/>
          <w:color w:val="000000"/>
          <w:sz w:val="22"/>
          <w:szCs w:val="22"/>
          <w:lang w:val="en-GB"/>
        </w:rPr>
        <w:br w:type="page"/>
      </w:r>
    </w:p>
    <w:tbl>
      <w:tblPr>
        <w:tblW w:w="8364" w:type="dxa"/>
        <w:jc w:val="center"/>
        <w:tblLook w:val="04A0" w:firstRow="1" w:lastRow="0" w:firstColumn="1" w:lastColumn="0" w:noHBand="0" w:noVBand="1"/>
      </w:tblPr>
      <w:tblGrid>
        <w:gridCol w:w="4854"/>
        <w:gridCol w:w="1096"/>
        <w:gridCol w:w="1481"/>
        <w:gridCol w:w="933"/>
      </w:tblGrid>
      <w:tr w:rsidR="008C1F18" w:rsidRPr="000D67C6" w14:paraId="7CD4DA03" w14:textId="77777777" w:rsidTr="00055140">
        <w:trPr>
          <w:trHeight w:val="288"/>
          <w:jc w:val="center"/>
        </w:trPr>
        <w:tc>
          <w:tcPr>
            <w:tcW w:w="4854" w:type="dxa"/>
            <w:tcBorders>
              <w:top w:val="nil"/>
              <w:left w:val="nil"/>
              <w:bottom w:val="single" w:sz="4" w:space="0" w:color="auto"/>
              <w:right w:val="nil"/>
            </w:tcBorders>
            <w:shd w:val="clear" w:color="auto" w:fill="auto"/>
            <w:vAlign w:val="bottom"/>
          </w:tcPr>
          <w:p w14:paraId="13A9577D" w14:textId="77777777" w:rsidR="008C1F18" w:rsidRPr="000D67C6" w:rsidRDefault="0019447C" w:rsidP="0093429D">
            <w:pPr>
              <w:spacing w:line="276" w:lineRule="auto"/>
              <w:rPr>
                <w:rFonts w:ascii="Arial" w:eastAsia="Times New Roman" w:hAnsi="Arial" w:cs="Arial"/>
                <w:color w:val="000000"/>
                <w:sz w:val="22"/>
                <w:szCs w:val="22"/>
                <w:lang w:val="en-GB" w:eastAsia="en-GB"/>
              </w:rPr>
            </w:pPr>
            <w:r w:rsidRPr="000D67C6">
              <w:rPr>
                <w:rFonts w:ascii="Arial" w:hAnsi="Arial" w:cs="Arial"/>
                <w:b/>
                <w:sz w:val="22"/>
                <w:szCs w:val="22"/>
                <w:lang w:val="en-GB"/>
              </w:rPr>
              <w:t>Summary of Transactions between Rescue 365 &amp; MAWWFRS</w:t>
            </w:r>
          </w:p>
          <w:p w14:paraId="628E14F9" w14:textId="77777777" w:rsidR="008C1F18" w:rsidRPr="000D67C6" w:rsidRDefault="008C1F18" w:rsidP="0019447C">
            <w:pPr>
              <w:spacing w:line="276" w:lineRule="auto"/>
              <w:jc w:val="center"/>
              <w:rPr>
                <w:rFonts w:ascii="Arial" w:eastAsia="Times New Roman" w:hAnsi="Arial" w:cs="Arial"/>
                <w:color w:val="000000"/>
                <w:sz w:val="22"/>
                <w:szCs w:val="22"/>
                <w:lang w:val="en-GB" w:eastAsia="en-GB"/>
              </w:rPr>
            </w:pPr>
          </w:p>
        </w:tc>
        <w:tc>
          <w:tcPr>
            <w:tcW w:w="1096" w:type="dxa"/>
            <w:tcBorders>
              <w:top w:val="nil"/>
              <w:left w:val="nil"/>
              <w:bottom w:val="single" w:sz="4" w:space="0" w:color="auto"/>
              <w:right w:val="nil"/>
            </w:tcBorders>
            <w:shd w:val="clear" w:color="auto" w:fill="auto"/>
            <w:noWrap/>
            <w:vAlign w:val="bottom"/>
          </w:tcPr>
          <w:p w14:paraId="7FC787FE" w14:textId="77777777" w:rsidR="008C1F18" w:rsidRPr="000D67C6" w:rsidRDefault="008C1F18" w:rsidP="008C1F18">
            <w:pPr>
              <w:spacing w:line="276" w:lineRule="auto"/>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Loan Account</w:t>
            </w:r>
          </w:p>
          <w:p w14:paraId="24B91EED" w14:textId="77777777" w:rsidR="008C1F18" w:rsidRPr="000D67C6" w:rsidRDefault="008C1F18" w:rsidP="008C1F18">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481" w:type="dxa"/>
            <w:tcBorders>
              <w:top w:val="nil"/>
              <w:left w:val="nil"/>
              <w:bottom w:val="single" w:sz="4" w:space="0" w:color="auto"/>
              <w:right w:val="nil"/>
            </w:tcBorders>
            <w:shd w:val="clear" w:color="auto" w:fill="auto"/>
            <w:noWrap/>
            <w:vAlign w:val="bottom"/>
          </w:tcPr>
          <w:p w14:paraId="6CE4231E" w14:textId="77777777" w:rsidR="008C1F18" w:rsidRPr="000D67C6" w:rsidRDefault="008C1F18" w:rsidP="008C1F18">
            <w:pPr>
              <w:spacing w:line="276" w:lineRule="auto"/>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Recharge of Costs</w:t>
            </w:r>
          </w:p>
          <w:p w14:paraId="07241882" w14:textId="77777777" w:rsidR="008C1F18" w:rsidRPr="000D67C6" w:rsidRDefault="008C1F18" w:rsidP="008C1F18">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933" w:type="dxa"/>
            <w:tcBorders>
              <w:top w:val="nil"/>
              <w:left w:val="nil"/>
              <w:bottom w:val="single" w:sz="4" w:space="0" w:color="auto"/>
              <w:right w:val="nil"/>
            </w:tcBorders>
            <w:shd w:val="clear" w:color="auto" w:fill="auto"/>
            <w:noWrap/>
            <w:vAlign w:val="bottom"/>
          </w:tcPr>
          <w:p w14:paraId="0ECCE834" w14:textId="77777777" w:rsidR="008C1F18" w:rsidRPr="000D67C6" w:rsidRDefault="008C1F18" w:rsidP="008C1F18">
            <w:pPr>
              <w:spacing w:line="276" w:lineRule="auto"/>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Total</w:t>
            </w:r>
          </w:p>
          <w:p w14:paraId="65F4D679" w14:textId="77777777" w:rsidR="008C1F18" w:rsidRPr="000D67C6" w:rsidRDefault="008C1F18" w:rsidP="008C1F18">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b/>
                <w:bCs/>
                <w:color w:val="000000"/>
                <w:sz w:val="22"/>
                <w:szCs w:val="22"/>
                <w:lang w:val="en-GB" w:eastAsia="en-GB"/>
              </w:rPr>
              <w:t>£000</w:t>
            </w:r>
          </w:p>
        </w:tc>
      </w:tr>
      <w:tr w:rsidR="008C1F18" w:rsidRPr="000D67C6" w14:paraId="572A28A2" w14:textId="77777777" w:rsidTr="00055140">
        <w:trPr>
          <w:trHeight w:val="288"/>
          <w:jc w:val="center"/>
        </w:trPr>
        <w:tc>
          <w:tcPr>
            <w:tcW w:w="4854" w:type="dxa"/>
            <w:tcBorders>
              <w:top w:val="single" w:sz="4" w:space="0" w:color="auto"/>
            </w:tcBorders>
            <w:shd w:val="clear" w:color="auto" w:fill="auto"/>
            <w:vAlign w:val="center"/>
            <w:hideMark/>
          </w:tcPr>
          <w:p w14:paraId="0CBCA12D" w14:textId="77777777" w:rsidR="008C1F18" w:rsidRPr="000D67C6" w:rsidRDefault="008C1F18" w:rsidP="0093429D">
            <w:pPr>
              <w:spacing w:line="276" w:lineRule="auto"/>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Balance at 1st April 201</w:t>
            </w:r>
            <w:r w:rsidR="00493211" w:rsidRPr="000D67C6">
              <w:rPr>
                <w:rFonts w:ascii="Arial" w:eastAsia="Times New Roman" w:hAnsi="Arial" w:cs="Arial"/>
                <w:b/>
                <w:color w:val="000000"/>
                <w:sz w:val="22"/>
                <w:szCs w:val="22"/>
                <w:lang w:val="en-GB" w:eastAsia="en-GB"/>
              </w:rPr>
              <w:t>8</w:t>
            </w:r>
          </w:p>
        </w:tc>
        <w:tc>
          <w:tcPr>
            <w:tcW w:w="1096" w:type="dxa"/>
            <w:tcBorders>
              <w:top w:val="single" w:sz="4" w:space="0" w:color="auto"/>
            </w:tcBorders>
            <w:shd w:val="clear" w:color="auto" w:fill="auto"/>
            <w:noWrap/>
            <w:vAlign w:val="center"/>
            <w:hideMark/>
          </w:tcPr>
          <w:p w14:paraId="3B7FE708" w14:textId="77777777" w:rsidR="008C1F18" w:rsidRPr="000D67C6" w:rsidRDefault="00B0780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162</w:t>
            </w:r>
          </w:p>
        </w:tc>
        <w:tc>
          <w:tcPr>
            <w:tcW w:w="1481" w:type="dxa"/>
            <w:tcBorders>
              <w:top w:val="single" w:sz="4" w:space="0" w:color="auto"/>
            </w:tcBorders>
            <w:shd w:val="clear" w:color="auto" w:fill="auto"/>
            <w:noWrap/>
            <w:vAlign w:val="center"/>
            <w:hideMark/>
          </w:tcPr>
          <w:p w14:paraId="34CEF3C6"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2</w:t>
            </w:r>
            <w:r w:rsidR="00A32E31" w:rsidRPr="000D67C6">
              <w:rPr>
                <w:rFonts w:ascii="Arial" w:eastAsia="Times New Roman" w:hAnsi="Arial" w:cs="Arial"/>
                <w:b/>
                <w:color w:val="000000"/>
                <w:sz w:val="22"/>
                <w:szCs w:val="22"/>
                <w:lang w:val="en-GB" w:eastAsia="en-GB"/>
              </w:rPr>
              <w:t>72</w:t>
            </w:r>
          </w:p>
        </w:tc>
        <w:tc>
          <w:tcPr>
            <w:tcW w:w="933" w:type="dxa"/>
            <w:tcBorders>
              <w:top w:val="single" w:sz="4" w:space="0" w:color="auto"/>
            </w:tcBorders>
            <w:shd w:val="clear" w:color="auto" w:fill="auto"/>
            <w:noWrap/>
            <w:vAlign w:val="center"/>
            <w:hideMark/>
          </w:tcPr>
          <w:p w14:paraId="026AD2EB"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4</w:t>
            </w:r>
            <w:r w:rsidR="00A32E31" w:rsidRPr="000D67C6">
              <w:rPr>
                <w:rFonts w:ascii="Arial" w:eastAsia="Times New Roman" w:hAnsi="Arial" w:cs="Arial"/>
                <w:b/>
                <w:color w:val="000000"/>
                <w:sz w:val="22"/>
                <w:szCs w:val="22"/>
                <w:lang w:val="en-GB" w:eastAsia="en-GB"/>
              </w:rPr>
              <w:t>34</w:t>
            </w:r>
          </w:p>
        </w:tc>
      </w:tr>
      <w:tr w:rsidR="008C1F18" w:rsidRPr="000D67C6" w14:paraId="6E23D265" w14:textId="77777777" w:rsidTr="00055140">
        <w:trPr>
          <w:trHeight w:val="288"/>
          <w:jc w:val="center"/>
        </w:trPr>
        <w:tc>
          <w:tcPr>
            <w:tcW w:w="4854" w:type="dxa"/>
            <w:shd w:val="clear" w:color="auto" w:fill="auto"/>
            <w:vAlign w:val="center"/>
            <w:hideMark/>
          </w:tcPr>
          <w:p w14:paraId="0765AF97" w14:textId="77777777" w:rsidR="008C1F18" w:rsidRPr="000D67C6" w:rsidRDefault="008C1F18"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 xml:space="preserve">Interest Accrued </w:t>
            </w:r>
          </w:p>
        </w:tc>
        <w:tc>
          <w:tcPr>
            <w:tcW w:w="1096" w:type="dxa"/>
            <w:shd w:val="clear" w:color="auto" w:fill="auto"/>
            <w:noWrap/>
            <w:vAlign w:val="center"/>
            <w:hideMark/>
          </w:tcPr>
          <w:p w14:paraId="630DEB13"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481" w:type="dxa"/>
            <w:shd w:val="clear" w:color="auto" w:fill="auto"/>
            <w:noWrap/>
            <w:vAlign w:val="center"/>
            <w:hideMark/>
          </w:tcPr>
          <w:p w14:paraId="28003316"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933" w:type="dxa"/>
            <w:shd w:val="clear" w:color="auto" w:fill="auto"/>
            <w:noWrap/>
            <w:vAlign w:val="center"/>
            <w:hideMark/>
          </w:tcPr>
          <w:p w14:paraId="2AB49E26"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r>
      <w:tr w:rsidR="008C1F18" w:rsidRPr="000D67C6" w14:paraId="603D94DD" w14:textId="77777777" w:rsidTr="00055140">
        <w:trPr>
          <w:trHeight w:val="288"/>
          <w:jc w:val="center"/>
        </w:trPr>
        <w:tc>
          <w:tcPr>
            <w:tcW w:w="4854" w:type="dxa"/>
            <w:shd w:val="clear" w:color="auto" w:fill="auto"/>
            <w:vAlign w:val="center"/>
            <w:hideMark/>
          </w:tcPr>
          <w:p w14:paraId="6F4B6E8A" w14:textId="77777777" w:rsidR="008C1F18" w:rsidRPr="000D67C6" w:rsidRDefault="008C1F18"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Invoices Raised</w:t>
            </w:r>
          </w:p>
        </w:tc>
        <w:tc>
          <w:tcPr>
            <w:tcW w:w="1096" w:type="dxa"/>
            <w:shd w:val="clear" w:color="auto" w:fill="auto"/>
            <w:noWrap/>
            <w:vAlign w:val="center"/>
            <w:hideMark/>
          </w:tcPr>
          <w:p w14:paraId="3BDC9C18"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481" w:type="dxa"/>
            <w:shd w:val="clear" w:color="auto" w:fill="auto"/>
            <w:noWrap/>
            <w:vAlign w:val="center"/>
            <w:hideMark/>
          </w:tcPr>
          <w:p w14:paraId="195D1738" w14:textId="77777777" w:rsidR="008C1F18" w:rsidRPr="000D67C6" w:rsidRDefault="00A32E31"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20</w:t>
            </w:r>
          </w:p>
        </w:tc>
        <w:tc>
          <w:tcPr>
            <w:tcW w:w="933" w:type="dxa"/>
            <w:shd w:val="clear" w:color="auto" w:fill="auto"/>
            <w:noWrap/>
            <w:vAlign w:val="center"/>
            <w:hideMark/>
          </w:tcPr>
          <w:p w14:paraId="2350724C" w14:textId="77777777" w:rsidR="008C1F18" w:rsidRPr="000D67C6" w:rsidRDefault="00A32E31"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20</w:t>
            </w:r>
          </w:p>
        </w:tc>
      </w:tr>
      <w:tr w:rsidR="008C1F18" w:rsidRPr="000D67C6" w14:paraId="1D819DAD" w14:textId="77777777" w:rsidTr="00055140">
        <w:trPr>
          <w:trHeight w:val="288"/>
          <w:jc w:val="center"/>
        </w:trPr>
        <w:tc>
          <w:tcPr>
            <w:tcW w:w="4854" w:type="dxa"/>
            <w:shd w:val="clear" w:color="auto" w:fill="auto"/>
            <w:vAlign w:val="center"/>
            <w:hideMark/>
          </w:tcPr>
          <w:p w14:paraId="3584D886" w14:textId="77777777" w:rsidR="008C1F18" w:rsidRPr="000D67C6" w:rsidRDefault="008C1F18"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Principal Repayment</w:t>
            </w:r>
          </w:p>
        </w:tc>
        <w:tc>
          <w:tcPr>
            <w:tcW w:w="1096" w:type="dxa"/>
            <w:shd w:val="clear" w:color="auto" w:fill="auto"/>
            <w:noWrap/>
            <w:vAlign w:val="center"/>
            <w:hideMark/>
          </w:tcPr>
          <w:p w14:paraId="44735848"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B07808" w:rsidRPr="000D67C6">
              <w:rPr>
                <w:rFonts w:ascii="Arial" w:eastAsia="Times New Roman" w:hAnsi="Arial" w:cs="Arial"/>
                <w:color w:val="000000"/>
                <w:sz w:val="22"/>
                <w:szCs w:val="22"/>
                <w:lang w:val="en-GB" w:eastAsia="en-GB"/>
              </w:rPr>
              <w:t>26</w:t>
            </w:r>
            <w:r w:rsidRPr="000D67C6">
              <w:rPr>
                <w:rFonts w:ascii="Arial" w:eastAsia="Times New Roman" w:hAnsi="Arial" w:cs="Arial"/>
                <w:color w:val="000000"/>
                <w:sz w:val="22"/>
                <w:szCs w:val="22"/>
                <w:lang w:val="en-GB" w:eastAsia="en-GB"/>
              </w:rPr>
              <w:t>)</w:t>
            </w:r>
          </w:p>
        </w:tc>
        <w:tc>
          <w:tcPr>
            <w:tcW w:w="1481" w:type="dxa"/>
            <w:shd w:val="clear" w:color="auto" w:fill="auto"/>
            <w:noWrap/>
            <w:vAlign w:val="center"/>
            <w:hideMark/>
          </w:tcPr>
          <w:p w14:paraId="180EA690"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933" w:type="dxa"/>
            <w:shd w:val="clear" w:color="auto" w:fill="auto"/>
            <w:noWrap/>
            <w:vAlign w:val="center"/>
            <w:hideMark/>
          </w:tcPr>
          <w:p w14:paraId="0518A514"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A32E31" w:rsidRPr="000D67C6">
              <w:rPr>
                <w:rFonts w:ascii="Arial" w:eastAsia="Times New Roman" w:hAnsi="Arial" w:cs="Arial"/>
                <w:color w:val="000000"/>
                <w:sz w:val="22"/>
                <w:szCs w:val="22"/>
                <w:lang w:val="en-GB" w:eastAsia="en-GB"/>
              </w:rPr>
              <w:t>26</w:t>
            </w:r>
            <w:r w:rsidRPr="000D67C6">
              <w:rPr>
                <w:rFonts w:ascii="Arial" w:eastAsia="Times New Roman" w:hAnsi="Arial" w:cs="Arial"/>
                <w:color w:val="000000"/>
                <w:sz w:val="22"/>
                <w:szCs w:val="22"/>
                <w:lang w:val="en-GB" w:eastAsia="en-GB"/>
              </w:rPr>
              <w:t>)</w:t>
            </w:r>
          </w:p>
        </w:tc>
      </w:tr>
      <w:tr w:rsidR="008C1F18" w:rsidRPr="000D67C6" w14:paraId="0368E87C" w14:textId="77777777" w:rsidTr="00055140">
        <w:trPr>
          <w:trHeight w:val="288"/>
          <w:jc w:val="center"/>
        </w:trPr>
        <w:tc>
          <w:tcPr>
            <w:tcW w:w="4854" w:type="dxa"/>
            <w:tcBorders>
              <w:bottom w:val="single" w:sz="4" w:space="0" w:color="auto"/>
            </w:tcBorders>
            <w:shd w:val="clear" w:color="auto" w:fill="auto"/>
            <w:vAlign w:val="center"/>
            <w:hideMark/>
          </w:tcPr>
          <w:p w14:paraId="108AAC2D" w14:textId="77777777" w:rsidR="008C1F18" w:rsidRPr="000D67C6" w:rsidRDefault="008C1F18"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Invoices Paid</w:t>
            </w:r>
          </w:p>
        </w:tc>
        <w:tc>
          <w:tcPr>
            <w:tcW w:w="1096" w:type="dxa"/>
            <w:tcBorders>
              <w:bottom w:val="single" w:sz="4" w:space="0" w:color="auto"/>
            </w:tcBorders>
            <w:shd w:val="clear" w:color="auto" w:fill="auto"/>
            <w:noWrap/>
            <w:vAlign w:val="center"/>
            <w:hideMark/>
          </w:tcPr>
          <w:p w14:paraId="32FBE1E9"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481" w:type="dxa"/>
            <w:tcBorders>
              <w:bottom w:val="single" w:sz="4" w:space="0" w:color="auto"/>
            </w:tcBorders>
            <w:shd w:val="clear" w:color="auto" w:fill="auto"/>
            <w:noWrap/>
            <w:vAlign w:val="center"/>
            <w:hideMark/>
          </w:tcPr>
          <w:p w14:paraId="04167DE4"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A32E31" w:rsidRPr="000D67C6">
              <w:rPr>
                <w:rFonts w:ascii="Arial" w:eastAsia="Times New Roman" w:hAnsi="Arial" w:cs="Arial"/>
                <w:color w:val="000000"/>
                <w:sz w:val="22"/>
                <w:szCs w:val="22"/>
                <w:lang w:val="en-GB" w:eastAsia="en-GB"/>
              </w:rPr>
              <w:t>1</w:t>
            </w:r>
            <w:r w:rsidRPr="000D67C6">
              <w:rPr>
                <w:rFonts w:ascii="Arial" w:eastAsia="Times New Roman" w:hAnsi="Arial" w:cs="Arial"/>
                <w:color w:val="000000"/>
                <w:sz w:val="22"/>
                <w:szCs w:val="22"/>
                <w:lang w:val="en-GB" w:eastAsia="en-GB"/>
              </w:rPr>
              <w:t>)</w:t>
            </w:r>
          </w:p>
        </w:tc>
        <w:tc>
          <w:tcPr>
            <w:tcW w:w="933" w:type="dxa"/>
            <w:tcBorders>
              <w:bottom w:val="single" w:sz="4" w:space="0" w:color="auto"/>
            </w:tcBorders>
            <w:shd w:val="clear" w:color="auto" w:fill="auto"/>
            <w:noWrap/>
            <w:vAlign w:val="center"/>
            <w:hideMark/>
          </w:tcPr>
          <w:p w14:paraId="6DE849ED"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A32E31" w:rsidRPr="000D67C6">
              <w:rPr>
                <w:rFonts w:ascii="Arial" w:eastAsia="Times New Roman" w:hAnsi="Arial" w:cs="Arial"/>
                <w:color w:val="000000"/>
                <w:sz w:val="22"/>
                <w:szCs w:val="22"/>
                <w:lang w:val="en-GB" w:eastAsia="en-GB"/>
              </w:rPr>
              <w:t>1</w:t>
            </w:r>
            <w:r w:rsidRPr="000D67C6">
              <w:rPr>
                <w:rFonts w:ascii="Arial" w:eastAsia="Times New Roman" w:hAnsi="Arial" w:cs="Arial"/>
                <w:color w:val="000000"/>
                <w:sz w:val="22"/>
                <w:szCs w:val="22"/>
                <w:lang w:val="en-GB" w:eastAsia="en-GB"/>
              </w:rPr>
              <w:t>)</w:t>
            </w:r>
          </w:p>
        </w:tc>
      </w:tr>
      <w:tr w:rsidR="008C1F18" w:rsidRPr="000D67C6" w14:paraId="2F6E7BA4" w14:textId="77777777" w:rsidTr="00055140">
        <w:trPr>
          <w:trHeight w:val="288"/>
          <w:jc w:val="center"/>
        </w:trPr>
        <w:tc>
          <w:tcPr>
            <w:tcW w:w="4854" w:type="dxa"/>
            <w:tcBorders>
              <w:top w:val="single" w:sz="4" w:space="0" w:color="auto"/>
              <w:bottom w:val="single" w:sz="4" w:space="0" w:color="auto"/>
            </w:tcBorders>
            <w:shd w:val="clear" w:color="auto" w:fill="auto"/>
            <w:vAlign w:val="center"/>
            <w:hideMark/>
          </w:tcPr>
          <w:p w14:paraId="6AAB995D" w14:textId="77777777" w:rsidR="008C1F18" w:rsidRPr="000D67C6" w:rsidRDefault="008C1F18" w:rsidP="0093429D">
            <w:pPr>
              <w:spacing w:line="276" w:lineRule="auto"/>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Balance as at 31st March 201</w:t>
            </w:r>
            <w:r w:rsidR="00493211" w:rsidRPr="000D67C6">
              <w:rPr>
                <w:rFonts w:ascii="Arial" w:eastAsia="Times New Roman" w:hAnsi="Arial" w:cs="Arial"/>
                <w:b/>
                <w:color w:val="000000"/>
                <w:sz w:val="22"/>
                <w:szCs w:val="22"/>
                <w:lang w:val="en-GB" w:eastAsia="en-GB"/>
              </w:rPr>
              <w:t>9</w:t>
            </w:r>
          </w:p>
        </w:tc>
        <w:tc>
          <w:tcPr>
            <w:tcW w:w="1096" w:type="dxa"/>
            <w:tcBorders>
              <w:top w:val="single" w:sz="4" w:space="0" w:color="auto"/>
              <w:bottom w:val="single" w:sz="4" w:space="0" w:color="auto"/>
            </w:tcBorders>
            <w:shd w:val="clear" w:color="auto" w:fill="auto"/>
            <w:noWrap/>
            <w:vAlign w:val="center"/>
            <w:hideMark/>
          </w:tcPr>
          <w:p w14:paraId="54276717"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w:t>
            </w:r>
            <w:r w:rsidR="00B07808" w:rsidRPr="000D67C6">
              <w:rPr>
                <w:rFonts w:ascii="Arial" w:eastAsia="Times New Roman" w:hAnsi="Arial" w:cs="Arial"/>
                <w:b/>
                <w:color w:val="000000"/>
                <w:sz w:val="22"/>
                <w:szCs w:val="22"/>
                <w:lang w:val="en-GB" w:eastAsia="en-GB"/>
              </w:rPr>
              <w:t>36</w:t>
            </w:r>
          </w:p>
        </w:tc>
        <w:tc>
          <w:tcPr>
            <w:tcW w:w="1481" w:type="dxa"/>
            <w:tcBorders>
              <w:top w:val="single" w:sz="4" w:space="0" w:color="auto"/>
              <w:bottom w:val="single" w:sz="4" w:space="0" w:color="auto"/>
            </w:tcBorders>
            <w:shd w:val="clear" w:color="auto" w:fill="auto"/>
            <w:noWrap/>
            <w:vAlign w:val="center"/>
            <w:hideMark/>
          </w:tcPr>
          <w:p w14:paraId="06AAC330"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2</w:t>
            </w:r>
            <w:r w:rsidR="00A32E31" w:rsidRPr="000D67C6">
              <w:rPr>
                <w:rFonts w:ascii="Arial" w:eastAsia="Times New Roman" w:hAnsi="Arial" w:cs="Arial"/>
                <w:b/>
                <w:color w:val="000000"/>
                <w:sz w:val="22"/>
                <w:szCs w:val="22"/>
                <w:lang w:val="en-GB" w:eastAsia="en-GB"/>
              </w:rPr>
              <w:t>91</w:t>
            </w:r>
          </w:p>
        </w:tc>
        <w:tc>
          <w:tcPr>
            <w:tcW w:w="933" w:type="dxa"/>
            <w:tcBorders>
              <w:top w:val="single" w:sz="4" w:space="0" w:color="auto"/>
              <w:bottom w:val="single" w:sz="4" w:space="0" w:color="auto"/>
            </w:tcBorders>
            <w:shd w:val="clear" w:color="auto" w:fill="auto"/>
            <w:noWrap/>
            <w:vAlign w:val="center"/>
            <w:hideMark/>
          </w:tcPr>
          <w:p w14:paraId="600EB624"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4</w:t>
            </w:r>
            <w:r w:rsidR="00A32E31" w:rsidRPr="000D67C6">
              <w:rPr>
                <w:rFonts w:ascii="Arial" w:eastAsia="Times New Roman" w:hAnsi="Arial" w:cs="Arial"/>
                <w:b/>
                <w:color w:val="000000"/>
                <w:sz w:val="22"/>
                <w:szCs w:val="22"/>
                <w:lang w:val="en-GB" w:eastAsia="en-GB"/>
              </w:rPr>
              <w:t>27</w:t>
            </w:r>
          </w:p>
        </w:tc>
      </w:tr>
    </w:tbl>
    <w:p w14:paraId="3C8A0005" w14:textId="77777777" w:rsidR="008A7DD0" w:rsidRPr="000D67C6" w:rsidRDefault="008A7DD0"/>
    <w:tbl>
      <w:tblPr>
        <w:tblW w:w="8364" w:type="dxa"/>
        <w:jc w:val="center"/>
        <w:tblLook w:val="04A0" w:firstRow="1" w:lastRow="0" w:firstColumn="1" w:lastColumn="0" w:noHBand="0" w:noVBand="1"/>
      </w:tblPr>
      <w:tblGrid>
        <w:gridCol w:w="4854"/>
        <w:gridCol w:w="1096"/>
        <w:gridCol w:w="1481"/>
        <w:gridCol w:w="933"/>
      </w:tblGrid>
      <w:tr w:rsidR="00CE0081" w:rsidRPr="000D67C6" w14:paraId="1C454428" w14:textId="77777777" w:rsidTr="00055140">
        <w:trPr>
          <w:trHeight w:val="359"/>
          <w:jc w:val="center"/>
        </w:trPr>
        <w:tc>
          <w:tcPr>
            <w:tcW w:w="4854" w:type="dxa"/>
            <w:tcBorders>
              <w:top w:val="nil"/>
              <w:left w:val="nil"/>
              <w:right w:val="nil"/>
            </w:tcBorders>
            <w:shd w:val="clear" w:color="auto" w:fill="auto"/>
            <w:vAlign w:val="center"/>
            <w:hideMark/>
          </w:tcPr>
          <w:p w14:paraId="152F978F" w14:textId="77777777" w:rsidR="00265456" w:rsidRPr="000D67C6" w:rsidRDefault="00265456" w:rsidP="0093429D">
            <w:pPr>
              <w:spacing w:line="276" w:lineRule="auto"/>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Bad Debt Provision</w:t>
            </w:r>
          </w:p>
          <w:p w14:paraId="5DD61753" w14:textId="77777777" w:rsidR="00CE0081" w:rsidRPr="000D67C6" w:rsidRDefault="0079260E"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As at 31</w:t>
            </w:r>
            <w:r w:rsidRPr="000D67C6">
              <w:rPr>
                <w:rFonts w:ascii="Arial" w:eastAsia="Times New Roman" w:hAnsi="Arial" w:cs="Arial"/>
                <w:color w:val="000000"/>
                <w:sz w:val="22"/>
                <w:szCs w:val="22"/>
                <w:vertAlign w:val="superscript"/>
                <w:lang w:val="en-GB" w:eastAsia="en-GB"/>
              </w:rPr>
              <w:t>st</w:t>
            </w:r>
            <w:r w:rsidRPr="000D67C6">
              <w:rPr>
                <w:rFonts w:ascii="Arial" w:eastAsia="Times New Roman" w:hAnsi="Arial" w:cs="Arial"/>
                <w:color w:val="000000"/>
                <w:sz w:val="22"/>
                <w:szCs w:val="22"/>
                <w:lang w:val="en-GB" w:eastAsia="en-GB"/>
              </w:rPr>
              <w:t xml:space="preserve"> March 2018</w:t>
            </w:r>
          </w:p>
        </w:tc>
        <w:tc>
          <w:tcPr>
            <w:tcW w:w="1096" w:type="dxa"/>
            <w:tcBorders>
              <w:top w:val="nil"/>
              <w:left w:val="nil"/>
              <w:right w:val="nil"/>
            </w:tcBorders>
            <w:shd w:val="clear" w:color="auto" w:fill="auto"/>
            <w:noWrap/>
            <w:vAlign w:val="center"/>
            <w:hideMark/>
          </w:tcPr>
          <w:p w14:paraId="7949A4D7" w14:textId="77777777" w:rsidR="00CE0081" w:rsidRPr="000D67C6" w:rsidRDefault="00CE0081"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79260E" w:rsidRPr="000D67C6">
              <w:rPr>
                <w:rFonts w:ascii="Arial" w:eastAsia="Times New Roman" w:hAnsi="Arial" w:cs="Arial"/>
                <w:color w:val="000000"/>
                <w:sz w:val="22"/>
                <w:szCs w:val="22"/>
                <w:lang w:val="en-GB" w:eastAsia="en-GB"/>
              </w:rPr>
              <w:t>81</w:t>
            </w:r>
            <w:r w:rsidRPr="000D67C6">
              <w:rPr>
                <w:rFonts w:ascii="Arial" w:eastAsia="Times New Roman" w:hAnsi="Arial" w:cs="Arial"/>
                <w:color w:val="000000"/>
                <w:sz w:val="22"/>
                <w:szCs w:val="22"/>
                <w:lang w:val="en-GB" w:eastAsia="en-GB"/>
              </w:rPr>
              <w:t>)</w:t>
            </w:r>
          </w:p>
        </w:tc>
        <w:tc>
          <w:tcPr>
            <w:tcW w:w="1481" w:type="dxa"/>
            <w:tcBorders>
              <w:top w:val="nil"/>
              <w:left w:val="nil"/>
              <w:right w:val="nil"/>
            </w:tcBorders>
            <w:shd w:val="clear" w:color="auto" w:fill="auto"/>
            <w:noWrap/>
            <w:vAlign w:val="center"/>
            <w:hideMark/>
          </w:tcPr>
          <w:p w14:paraId="1945B635" w14:textId="77777777" w:rsidR="00CE0081" w:rsidRPr="000D67C6" w:rsidRDefault="00CE0081"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79260E" w:rsidRPr="000D67C6">
              <w:rPr>
                <w:rFonts w:ascii="Arial" w:eastAsia="Times New Roman" w:hAnsi="Arial" w:cs="Arial"/>
                <w:color w:val="000000"/>
                <w:sz w:val="22"/>
                <w:szCs w:val="22"/>
                <w:lang w:val="en-GB" w:eastAsia="en-GB"/>
              </w:rPr>
              <w:t>272</w:t>
            </w:r>
            <w:r w:rsidRPr="000D67C6">
              <w:rPr>
                <w:rFonts w:ascii="Arial" w:eastAsia="Times New Roman" w:hAnsi="Arial" w:cs="Arial"/>
                <w:color w:val="000000"/>
                <w:sz w:val="22"/>
                <w:szCs w:val="22"/>
                <w:lang w:val="en-GB" w:eastAsia="en-GB"/>
              </w:rPr>
              <w:t>)</w:t>
            </w:r>
          </w:p>
        </w:tc>
        <w:tc>
          <w:tcPr>
            <w:tcW w:w="933" w:type="dxa"/>
            <w:tcBorders>
              <w:top w:val="nil"/>
              <w:left w:val="nil"/>
              <w:right w:val="nil"/>
            </w:tcBorders>
            <w:shd w:val="clear" w:color="auto" w:fill="auto"/>
            <w:noWrap/>
            <w:vAlign w:val="center"/>
            <w:hideMark/>
          </w:tcPr>
          <w:p w14:paraId="226BCA86" w14:textId="77777777" w:rsidR="00CE0081" w:rsidRPr="000D67C6" w:rsidRDefault="00CE0081"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w:t>
            </w:r>
            <w:r w:rsidR="0079260E" w:rsidRPr="000D67C6">
              <w:rPr>
                <w:rFonts w:ascii="Arial" w:eastAsia="Times New Roman" w:hAnsi="Arial" w:cs="Arial"/>
                <w:color w:val="000000"/>
                <w:sz w:val="22"/>
                <w:szCs w:val="22"/>
                <w:lang w:val="en-GB" w:eastAsia="en-GB"/>
              </w:rPr>
              <w:t>53</w:t>
            </w:r>
            <w:r w:rsidRPr="000D67C6">
              <w:rPr>
                <w:rFonts w:ascii="Arial" w:eastAsia="Times New Roman" w:hAnsi="Arial" w:cs="Arial"/>
                <w:color w:val="000000"/>
                <w:sz w:val="22"/>
                <w:szCs w:val="22"/>
                <w:lang w:val="en-GB" w:eastAsia="en-GB"/>
              </w:rPr>
              <w:t>)</w:t>
            </w:r>
          </w:p>
        </w:tc>
      </w:tr>
      <w:tr w:rsidR="008C1F18" w:rsidRPr="000D67C6" w14:paraId="46260C92" w14:textId="77777777" w:rsidTr="00055140">
        <w:trPr>
          <w:trHeight w:val="397"/>
          <w:jc w:val="center"/>
        </w:trPr>
        <w:tc>
          <w:tcPr>
            <w:tcW w:w="4854" w:type="dxa"/>
            <w:tcBorders>
              <w:left w:val="nil"/>
              <w:bottom w:val="single" w:sz="4" w:space="0" w:color="auto"/>
              <w:right w:val="nil"/>
            </w:tcBorders>
            <w:shd w:val="clear" w:color="auto" w:fill="auto"/>
            <w:vAlign w:val="center"/>
            <w:hideMark/>
          </w:tcPr>
          <w:p w14:paraId="28548554" w14:textId="77777777" w:rsidR="008C1F18" w:rsidRPr="000D67C6" w:rsidRDefault="0079260E" w:rsidP="0093429D">
            <w:pPr>
              <w:spacing w:line="276" w:lineRule="auto"/>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As at 31</w:t>
            </w:r>
            <w:r w:rsidRPr="000D67C6">
              <w:rPr>
                <w:rFonts w:ascii="Arial" w:eastAsia="Times New Roman" w:hAnsi="Arial" w:cs="Arial"/>
                <w:color w:val="000000"/>
                <w:sz w:val="22"/>
                <w:szCs w:val="22"/>
                <w:vertAlign w:val="superscript"/>
                <w:lang w:val="en-GB" w:eastAsia="en-GB"/>
              </w:rPr>
              <w:t>st</w:t>
            </w:r>
            <w:r w:rsidRPr="000D67C6">
              <w:rPr>
                <w:rFonts w:ascii="Arial" w:eastAsia="Times New Roman" w:hAnsi="Arial" w:cs="Arial"/>
                <w:color w:val="000000"/>
                <w:sz w:val="22"/>
                <w:szCs w:val="22"/>
                <w:lang w:val="en-GB" w:eastAsia="en-GB"/>
              </w:rPr>
              <w:t xml:space="preserve"> March 2019</w:t>
            </w:r>
          </w:p>
        </w:tc>
        <w:tc>
          <w:tcPr>
            <w:tcW w:w="1096" w:type="dxa"/>
            <w:tcBorders>
              <w:left w:val="nil"/>
              <w:bottom w:val="single" w:sz="4" w:space="0" w:color="auto"/>
              <w:right w:val="nil"/>
            </w:tcBorders>
            <w:shd w:val="clear" w:color="auto" w:fill="auto"/>
            <w:noWrap/>
            <w:vAlign w:val="center"/>
            <w:hideMark/>
          </w:tcPr>
          <w:p w14:paraId="4D8BB657"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79260E" w:rsidRPr="000D67C6">
              <w:rPr>
                <w:rFonts w:ascii="Arial" w:eastAsia="Times New Roman" w:hAnsi="Arial" w:cs="Arial"/>
                <w:color w:val="000000"/>
                <w:sz w:val="22"/>
                <w:szCs w:val="22"/>
                <w:lang w:val="en-GB" w:eastAsia="en-GB"/>
              </w:rPr>
              <w:t>136</w:t>
            </w:r>
            <w:r w:rsidRPr="000D67C6">
              <w:rPr>
                <w:rFonts w:ascii="Arial" w:eastAsia="Times New Roman" w:hAnsi="Arial" w:cs="Arial"/>
                <w:color w:val="000000"/>
                <w:sz w:val="22"/>
                <w:szCs w:val="22"/>
                <w:lang w:val="en-GB" w:eastAsia="en-GB"/>
              </w:rPr>
              <w:t>)</w:t>
            </w:r>
          </w:p>
        </w:tc>
        <w:tc>
          <w:tcPr>
            <w:tcW w:w="1481" w:type="dxa"/>
            <w:tcBorders>
              <w:left w:val="nil"/>
              <w:bottom w:val="single" w:sz="4" w:space="0" w:color="auto"/>
              <w:right w:val="nil"/>
            </w:tcBorders>
            <w:shd w:val="clear" w:color="auto" w:fill="auto"/>
            <w:noWrap/>
            <w:vAlign w:val="center"/>
            <w:hideMark/>
          </w:tcPr>
          <w:p w14:paraId="03DF04BF"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w:t>
            </w:r>
            <w:r w:rsidR="0079260E" w:rsidRPr="000D67C6">
              <w:rPr>
                <w:rFonts w:ascii="Arial" w:eastAsia="Times New Roman" w:hAnsi="Arial" w:cs="Arial"/>
                <w:color w:val="000000"/>
                <w:sz w:val="22"/>
                <w:szCs w:val="22"/>
                <w:lang w:val="en-GB" w:eastAsia="en-GB"/>
              </w:rPr>
              <w:t>91</w:t>
            </w:r>
            <w:r w:rsidRPr="000D67C6">
              <w:rPr>
                <w:rFonts w:ascii="Arial" w:eastAsia="Times New Roman" w:hAnsi="Arial" w:cs="Arial"/>
                <w:color w:val="000000"/>
                <w:sz w:val="22"/>
                <w:szCs w:val="22"/>
                <w:lang w:val="en-GB" w:eastAsia="en-GB"/>
              </w:rPr>
              <w:t>)</w:t>
            </w:r>
          </w:p>
        </w:tc>
        <w:tc>
          <w:tcPr>
            <w:tcW w:w="933" w:type="dxa"/>
            <w:tcBorders>
              <w:left w:val="nil"/>
              <w:bottom w:val="single" w:sz="4" w:space="0" w:color="auto"/>
              <w:right w:val="nil"/>
            </w:tcBorders>
            <w:shd w:val="clear" w:color="auto" w:fill="auto"/>
            <w:noWrap/>
            <w:vAlign w:val="center"/>
            <w:hideMark/>
          </w:tcPr>
          <w:p w14:paraId="1DC5BE66" w14:textId="77777777" w:rsidR="008C1F18" w:rsidRPr="000D67C6" w:rsidRDefault="008C1F18" w:rsidP="0093429D">
            <w:pPr>
              <w:spacing w:line="276" w:lineRule="auto"/>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79260E" w:rsidRPr="000D67C6">
              <w:rPr>
                <w:rFonts w:ascii="Arial" w:eastAsia="Times New Roman" w:hAnsi="Arial" w:cs="Arial"/>
                <w:color w:val="000000"/>
                <w:sz w:val="22"/>
                <w:szCs w:val="22"/>
                <w:lang w:val="en-GB" w:eastAsia="en-GB"/>
              </w:rPr>
              <w:t>427</w:t>
            </w:r>
            <w:r w:rsidRPr="000D67C6">
              <w:rPr>
                <w:rFonts w:ascii="Arial" w:eastAsia="Times New Roman" w:hAnsi="Arial" w:cs="Arial"/>
                <w:color w:val="000000"/>
                <w:sz w:val="22"/>
                <w:szCs w:val="22"/>
                <w:lang w:val="en-GB" w:eastAsia="en-GB"/>
              </w:rPr>
              <w:t>)</w:t>
            </w:r>
          </w:p>
        </w:tc>
      </w:tr>
      <w:tr w:rsidR="008C1F18" w:rsidRPr="000D67C6" w14:paraId="5E5F325F" w14:textId="77777777" w:rsidTr="00055140">
        <w:trPr>
          <w:trHeight w:val="288"/>
          <w:jc w:val="center"/>
        </w:trPr>
        <w:tc>
          <w:tcPr>
            <w:tcW w:w="4854" w:type="dxa"/>
            <w:tcBorders>
              <w:top w:val="single" w:sz="4" w:space="0" w:color="auto"/>
              <w:left w:val="nil"/>
              <w:bottom w:val="single" w:sz="4" w:space="0" w:color="auto"/>
              <w:right w:val="nil"/>
            </w:tcBorders>
            <w:shd w:val="clear" w:color="auto" w:fill="auto"/>
            <w:vAlign w:val="center"/>
            <w:hideMark/>
          </w:tcPr>
          <w:p w14:paraId="3CBD1BC0" w14:textId="77777777" w:rsidR="008C1F18" w:rsidRPr="000D67C6" w:rsidRDefault="00293192" w:rsidP="0093429D">
            <w:pPr>
              <w:spacing w:line="276" w:lineRule="auto"/>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M</w:t>
            </w:r>
            <w:r w:rsidR="008C1F18" w:rsidRPr="000D67C6">
              <w:rPr>
                <w:rFonts w:ascii="Arial" w:eastAsia="Times New Roman" w:hAnsi="Arial" w:cs="Arial"/>
                <w:b/>
                <w:color w:val="000000"/>
                <w:sz w:val="22"/>
                <w:szCs w:val="22"/>
                <w:lang w:val="en-GB" w:eastAsia="en-GB"/>
              </w:rPr>
              <w:t>ovement in 201</w:t>
            </w:r>
            <w:r w:rsidR="00493211" w:rsidRPr="000D67C6">
              <w:rPr>
                <w:rFonts w:ascii="Arial" w:eastAsia="Times New Roman" w:hAnsi="Arial" w:cs="Arial"/>
                <w:b/>
                <w:color w:val="000000"/>
                <w:sz w:val="22"/>
                <w:szCs w:val="22"/>
                <w:lang w:val="en-GB" w:eastAsia="en-GB"/>
              </w:rPr>
              <w:t>8</w:t>
            </w:r>
            <w:r w:rsidR="008C1F18" w:rsidRPr="000D67C6">
              <w:rPr>
                <w:rFonts w:ascii="Arial" w:eastAsia="Times New Roman" w:hAnsi="Arial" w:cs="Arial"/>
                <w:b/>
                <w:color w:val="000000"/>
                <w:sz w:val="22"/>
                <w:szCs w:val="22"/>
                <w:lang w:val="en-GB" w:eastAsia="en-GB"/>
              </w:rPr>
              <w:t>/1</w:t>
            </w:r>
            <w:r w:rsidR="00493211" w:rsidRPr="000D67C6">
              <w:rPr>
                <w:rFonts w:ascii="Arial" w:eastAsia="Times New Roman" w:hAnsi="Arial" w:cs="Arial"/>
                <w:b/>
                <w:color w:val="000000"/>
                <w:sz w:val="22"/>
                <w:szCs w:val="22"/>
                <w:lang w:val="en-GB" w:eastAsia="en-GB"/>
              </w:rPr>
              <w:t>9</w:t>
            </w:r>
          </w:p>
        </w:tc>
        <w:tc>
          <w:tcPr>
            <w:tcW w:w="1096" w:type="dxa"/>
            <w:tcBorders>
              <w:top w:val="single" w:sz="4" w:space="0" w:color="auto"/>
              <w:left w:val="nil"/>
              <w:bottom w:val="single" w:sz="4" w:space="0" w:color="auto"/>
              <w:right w:val="nil"/>
            </w:tcBorders>
            <w:shd w:val="clear" w:color="auto" w:fill="auto"/>
            <w:noWrap/>
            <w:vAlign w:val="center"/>
            <w:hideMark/>
          </w:tcPr>
          <w:p w14:paraId="3DDE5F01" w14:textId="77777777" w:rsidR="008C1F18" w:rsidRPr="000D67C6" w:rsidRDefault="00FD34AA"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(55)</w:t>
            </w:r>
          </w:p>
        </w:tc>
        <w:tc>
          <w:tcPr>
            <w:tcW w:w="1481" w:type="dxa"/>
            <w:tcBorders>
              <w:top w:val="single" w:sz="4" w:space="0" w:color="auto"/>
              <w:left w:val="nil"/>
              <w:bottom w:val="single" w:sz="4" w:space="0" w:color="auto"/>
              <w:right w:val="nil"/>
            </w:tcBorders>
            <w:shd w:val="clear" w:color="auto" w:fill="auto"/>
            <w:noWrap/>
            <w:vAlign w:val="center"/>
            <w:hideMark/>
          </w:tcPr>
          <w:p w14:paraId="16EF836E" w14:textId="77777777" w:rsidR="008C1F18" w:rsidRPr="000D67C6" w:rsidRDefault="008C1F18"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w:t>
            </w:r>
            <w:r w:rsidR="00FD34AA" w:rsidRPr="000D67C6">
              <w:rPr>
                <w:rFonts w:ascii="Arial" w:eastAsia="Times New Roman" w:hAnsi="Arial" w:cs="Arial"/>
                <w:b/>
                <w:color w:val="000000"/>
                <w:sz w:val="22"/>
                <w:szCs w:val="22"/>
                <w:lang w:val="en-GB" w:eastAsia="en-GB"/>
              </w:rPr>
              <w:t>19</w:t>
            </w:r>
            <w:r w:rsidRPr="000D67C6">
              <w:rPr>
                <w:rFonts w:ascii="Arial" w:eastAsia="Times New Roman" w:hAnsi="Arial" w:cs="Arial"/>
                <w:b/>
                <w:color w:val="000000"/>
                <w:sz w:val="22"/>
                <w:szCs w:val="22"/>
                <w:lang w:val="en-GB" w:eastAsia="en-GB"/>
              </w:rPr>
              <w:t>)</w:t>
            </w:r>
          </w:p>
        </w:tc>
        <w:tc>
          <w:tcPr>
            <w:tcW w:w="933" w:type="dxa"/>
            <w:tcBorders>
              <w:top w:val="single" w:sz="4" w:space="0" w:color="auto"/>
              <w:left w:val="nil"/>
              <w:bottom w:val="single" w:sz="4" w:space="0" w:color="auto"/>
              <w:right w:val="nil"/>
            </w:tcBorders>
            <w:shd w:val="clear" w:color="auto" w:fill="auto"/>
            <w:noWrap/>
            <w:vAlign w:val="center"/>
            <w:hideMark/>
          </w:tcPr>
          <w:p w14:paraId="7D91D32C" w14:textId="77777777" w:rsidR="008C1F18" w:rsidRPr="000D67C6" w:rsidRDefault="00FD34AA" w:rsidP="0093429D">
            <w:pPr>
              <w:spacing w:line="276" w:lineRule="auto"/>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(74)</w:t>
            </w:r>
          </w:p>
        </w:tc>
      </w:tr>
    </w:tbl>
    <w:p w14:paraId="051C5C3A" w14:textId="77777777" w:rsidR="003121D0" w:rsidRPr="000D67C6" w:rsidRDefault="003121D0" w:rsidP="00CB0F2A">
      <w:pPr>
        <w:pStyle w:val="Default"/>
        <w:rPr>
          <w:rFonts w:ascii="Arial" w:hAnsi="Arial" w:cs="Arial"/>
          <w:b/>
          <w:bCs/>
          <w:sz w:val="22"/>
          <w:szCs w:val="22"/>
        </w:rPr>
      </w:pPr>
    </w:p>
    <w:p w14:paraId="2C0ADE42" w14:textId="77777777" w:rsidR="009A2875" w:rsidRPr="000D67C6" w:rsidRDefault="00CB0F2A" w:rsidP="00CB0F2A">
      <w:pPr>
        <w:pStyle w:val="Default"/>
        <w:rPr>
          <w:rFonts w:ascii="Arial" w:hAnsi="Arial" w:cs="Arial"/>
          <w:b/>
          <w:bCs/>
          <w:sz w:val="22"/>
          <w:szCs w:val="22"/>
        </w:rPr>
      </w:pPr>
      <w:r w:rsidRPr="000D67C6">
        <w:rPr>
          <w:rFonts w:ascii="Arial" w:hAnsi="Arial" w:cs="Arial"/>
          <w:b/>
          <w:bCs/>
          <w:sz w:val="22"/>
          <w:szCs w:val="22"/>
        </w:rPr>
        <w:t>Joint Operations</w:t>
      </w:r>
    </w:p>
    <w:p w14:paraId="37FD64DE" w14:textId="77777777" w:rsidR="00091694" w:rsidRPr="00055140" w:rsidRDefault="00091694" w:rsidP="00CB0F2A">
      <w:pPr>
        <w:pStyle w:val="Default"/>
        <w:rPr>
          <w:rFonts w:ascii="Arial" w:hAnsi="Arial" w:cs="Arial"/>
          <w:bCs/>
          <w:sz w:val="22"/>
          <w:szCs w:val="22"/>
        </w:rPr>
      </w:pPr>
    </w:p>
    <w:p w14:paraId="0F1358CA" w14:textId="77777777" w:rsidR="00EF5D96" w:rsidRPr="000D67C6" w:rsidRDefault="00AF31FF" w:rsidP="009E7A14">
      <w:pPr>
        <w:spacing w:after="160" w:line="259" w:lineRule="auto"/>
        <w:jc w:val="both"/>
        <w:rPr>
          <w:rFonts w:ascii="Arial" w:hAnsi="Arial" w:cs="Arial"/>
          <w:sz w:val="22"/>
          <w:szCs w:val="22"/>
          <w:lang w:val="en-GB"/>
        </w:rPr>
      </w:pPr>
      <w:r w:rsidRPr="000D67C6">
        <w:rPr>
          <w:rFonts w:ascii="Arial" w:hAnsi="Arial" w:cs="Arial"/>
          <w:sz w:val="22"/>
          <w:szCs w:val="22"/>
          <w:lang w:val="en-GB"/>
        </w:rPr>
        <w:t xml:space="preserve">In </w:t>
      </w:r>
      <w:r w:rsidR="00141A8F" w:rsidRPr="000D67C6">
        <w:rPr>
          <w:rFonts w:ascii="Arial" w:hAnsi="Arial" w:cs="Arial"/>
          <w:sz w:val="22"/>
          <w:szCs w:val="22"/>
          <w:lang w:val="en-GB"/>
        </w:rPr>
        <w:t xml:space="preserve">April </w:t>
      </w:r>
      <w:r w:rsidRPr="000D67C6">
        <w:rPr>
          <w:rFonts w:ascii="Arial" w:hAnsi="Arial" w:cs="Arial"/>
          <w:sz w:val="22"/>
          <w:szCs w:val="22"/>
          <w:lang w:val="en-GB"/>
        </w:rPr>
        <w:t>2014 Mid and West W</w:t>
      </w:r>
      <w:r w:rsidR="00F25313" w:rsidRPr="000D67C6">
        <w:rPr>
          <w:rFonts w:ascii="Arial" w:hAnsi="Arial" w:cs="Arial"/>
          <w:sz w:val="22"/>
          <w:szCs w:val="22"/>
          <w:lang w:val="en-GB"/>
        </w:rPr>
        <w:t xml:space="preserve">ales Fire and </w:t>
      </w:r>
      <w:r w:rsidR="00141A8F" w:rsidRPr="000D67C6">
        <w:rPr>
          <w:rFonts w:ascii="Arial" w:hAnsi="Arial" w:cs="Arial"/>
          <w:sz w:val="22"/>
          <w:szCs w:val="22"/>
          <w:lang w:val="en-GB"/>
        </w:rPr>
        <w:t>Rescue</w:t>
      </w:r>
      <w:r w:rsidR="00F25313" w:rsidRPr="000D67C6">
        <w:rPr>
          <w:rFonts w:ascii="Arial" w:hAnsi="Arial" w:cs="Arial"/>
          <w:sz w:val="22"/>
          <w:szCs w:val="22"/>
          <w:lang w:val="en-GB"/>
        </w:rPr>
        <w:t xml:space="preserve"> </w:t>
      </w:r>
      <w:r w:rsidR="00602474" w:rsidRPr="000D67C6">
        <w:rPr>
          <w:rFonts w:ascii="Arial" w:hAnsi="Arial" w:cs="Arial"/>
          <w:sz w:val="22"/>
          <w:szCs w:val="22"/>
          <w:lang w:val="en-GB"/>
        </w:rPr>
        <w:t>Service</w:t>
      </w:r>
      <w:r w:rsidR="00AC3BD0" w:rsidRPr="000D67C6">
        <w:rPr>
          <w:rFonts w:ascii="Arial" w:hAnsi="Arial" w:cs="Arial"/>
          <w:sz w:val="22"/>
          <w:szCs w:val="22"/>
          <w:lang w:val="en-GB"/>
        </w:rPr>
        <w:t xml:space="preserve"> (MAWWFRS)</w:t>
      </w:r>
      <w:r w:rsidR="00F25313" w:rsidRPr="000D67C6">
        <w:rPr>
          <w:rFonts w:ascii="Arial" w:hAnsi="Arial" w:cs="Arial"/>
          <w:sz w:val="22"/>
          <w:szCs w:val="22"/>
          <w:lang w:val="en-GB"/>
        </w:rPr>
        <w:t xml:space="preserve"> entered into a Memorandum of </w:t>
      </w:r>
      <w:r w:rsidR="00141A8F" w:rsidRPr="000D67C6">
        <w:rPr>
          <w:rFonts w:ascii="Arial" w:hAnsi="Arial" w:cs="Arial"/>
          <w:sz w:val="22"/>
          <w:szCs w:val="22"/>
          <w:lang w:val="en-GB"/>
        </w:rPr>
        <w:t>Understanding</w:t>
      </w:r>
      <w:r w:rsidR="00F25313" w:rsidRPr="000D67C6">
        <w:rPr>
          <w:rFonts w:ascii="Arial" w:hAnsi="Arial" w:cs="Arial"/>
          <w:sz w:val="22"/>
          <w:szCs w:val="22"/>
          <w:lang w:val="en-GB"/>
        </w:rPr>
        <w:t xml:space="preserve"> </w:t>
      </w:r>
      <w:r w:rsidR="00F66D24" w:rsidRPr="000D67C6">
        <w:rPr>
          <w:rFonts w:ascii="Arial" w:hAnsi="Arial" w:cs="Arial"/>
          <w:sz w:val="22"/>
          <w:szCs w:val="22"/>
          <w:lang w:val="en-GB"/>
        </w:rPr>
        <w:t xml:space="preserve">with South Wales Police and </w:t>
      </w:r>
      <w:r w:rsidR="009062B9" w:rsidRPr="000D67C6">
        <w:rPr>
          <w:rFonts w:ascii="Arial" w:hAnsi="Arial" w:cs="Arial"/>
          <w:sz w:val="22"/>
          <w:szCs w:val="22"/>
          <w:lang w:val="en-GB"/>
        </w:rPr>
        <w:t xml:space="preserve">South Wales Fire </w:t>
      </w:r>
      <w:r w:rsidR="009D5D64" w:rsidRPr="000D67C6">
        <w:rPr>
          <w:rFonts w:ascii="Arial" w:hAnsi="Arial" w:cs="Arial"/>
          <w:sz w:val="22"/>
          <w:szCs w:val="22"/>
          <w:lang w:val="en-GB"/>
        </w:rPr>
        <w:t xml:space="preserve">and Rescue </w:t>
      </w:r>
      <w:r w:rsidR="00602474" w:rsidRPr="000D67C6">
        <w:rPr>
          <w:rFonts w:ascii="Arial" w:hAnsi="Arial" w:cs="Arial"/>
          <w:sz w:val="22"/>
          <w:szCs w:val="22"/>
          <w:lang w:val="en-GB"/>
        </w:rPr>
        <w:t>Service</w:t>
      </w:r>
      <w:r w:rsidR="00AC3BD0" w:rsidRPr="000D67C6">
        <w:rPr>
          <w:rFonts w:ascii="Arial" w:hAnsi="Arial" w:cs="Arial"/>
          <w:sz w:val="22"/>
          <w:szCs w:val="22"/>
          <w:lang w:val="en-GB"/>
        </w:rPr>
        <w:t xml:space="preserve"> (SWFRS)</w:t>
      </w:r>
      <w:r w:rsidR="009D5D64" w:rsidRPr="000D67C6">
        <w:rPr>
          <w:rFonts w:ascii="Arial" w:hAnsi="Arial" w:cs="Arial"/>
          <w:sz w:val="22"/>
          <w:szCs w:val="22"/>
          <w:lang w:val="en-GB"/>
        </w:rPr>
        <w:t xml:space="preserve"> to work together to establish a </w:t>
      </w:r>
      <w:r w:rsidR="003A33CB" w:rsidRPr="000D67C6">
        <w:rPr>
          <w:rFonts w:ascii="Arial" w:hAnsi="Arial" w:cs="Arial"/>
          <w:sz w:val="22"/>
          <w:szCs w:val="22"/>
          <w:lang w:val="en-GB"/>
        </w:rPr>
        <w:t>Joint Public Service Centre</w:t>
      </w:r>
      <w:r w:rsidR="00BB14EB" w:rsidRPr="000D67C6">
        <w:rPr>
          <w:rFonts w:ascii="Arial" w:hAnsi="Arial" w:cs="Arial"/>
          <w:sz w:val="22"/>
          <w:szCs w:val="22"/>
          <w:lang w:val="en-GB"/>
        </w:rPr>
        <w:t xml:space="preserve"> (JPSC). In October 2017 the JPSC went “live”</w:t>
      </w:r>
      <w:r w:rsidR="00AC3BD0" w:rsidRPr="000D67C6">
        <w:rPr>
          <w:rFonts w:ascii="Arial" w:hAnsi="Arial" w:cs="Arial"/>
          <w:sz w:val="22"/>
          <w:szCs w:val="22"/>
          <w:lang w:val="en-GB"/>
        </w:rPr>
        <w:t xml:space="preserve">. MAWWFRS </w:t>
      </w:r>
      <w:r w:rsidR="0057710E" w:rsidRPr="000D67C6">
        <w:rPr>
          <w:rFonts w:ascii="Arial" w:hAnsi="Arial" w:cs="Arial"/>
          <w:sz w:val="22"/>
          <w:szCs w:val="22"/>
          <w:lang w:val="en-GB"/>
        </w:rPr>
        <w:t>and SWFRS have joint control of the operation</w:t>
      </w:r>
      <w:r w:rsidR="00826A59" w:rsidRPr="000D67C6">
        <w:rPr>
          <w:rFonts w:ascii="Arial" w:hAnsi="Arial" w:cs="Arial"/>
          <w:sz w:val="22"/>
          <w:szCs w:val="22"/>
          <w:lang w:val="en-GB"/>
        </w:rPr>
        <w:t xml:space="preserve"> and </w:t>
      </w:r>
      <w:r w:rsidR="007B15D3" w:rsidRPr="000D67C6">
        <w:rPr>
          <w:rFonts w:ascii="Arial" w:hAnsi="Arial" w:cs="Arial"/>
          <w:sz w:val="22"/>
          <w:szCs w:val="22"/>
          <w:lang w:val="en-GB"/>
        </w:rPr>
        <w:t xml:space="preserve">the </w:t>
      </w:r>
      <w:r w:rsidR="00826A59" w:rsidRPr="000D67C6">
        <w:rPr>
          <w:rFonts w:ascii="Arial" w:hAnsi="Arial" w:cs="Arial"/>
          <w:sz w:val="22"/>
          <w:szCs w:val="22"/>
          <w:lang w:val="en-GB"/>
        </w:rPr>
        <w:t xml:space="preserve">agreed approach </w:t>
      </w:r>
      <w:r w:rsidR="00840095" w:rsidRPr="000D67C6">
        <w:rPr>
          <w:rFonts w:ascii="Arial" w:hAnsi="Arial" w:cs="Arial"/>
          <w:sz w:val="22"/>
          <w:szCs w:val="22"/>
          <w:lang w:val="en-GB"/>
        </w:rPr>
        <w:t xml:space="preserve">from both FRSs </w:t>
      </w:r>
      <w:r w:rsidR="00826A59" w:rsidRPr="000D67C6">
        <w:rPr>
          <w:rFonts w:ascii="Arial" w:hAnsi="Arial" w:cs="Arial"/>
          <w:sz w:val="22"/>
          <w:szCs w:val="22"/>
          <w:lang w:val="en-GB"/>
        </w:rPr>
        <w:t xml:space="preserve">is set </w:t>
      </w:r>
      <w:r w:rsidR="00C42529" w:rsidRPr="000D67C6">
        <w:rPr>
          <w:rFonts w:ascii="Arial" w:hAnsi="Arial" w:cs="Arial"/>
          <w:sz w:val="22"/>
          <w:szCs w:val="22"/>
          <w:lang w:val="en-GB"/>
        </w:rPr>
        <w:t>out in a Service Level Agreement</w:t>
      </w:r>
      <w:r w:rsidR="005752AB" w:rsidRPr="000D67C6">
        <w:rPr>
          <w:rFonts w:ascii="Arial" w:hAnsi="Arial" w:cs="Arial"/>
          <w:sz w:val="22"/>
          <w:szCs w:val="22"/>
          <w:lang w:val="en-GB"/>
        </w:rPr>
        <w:t xml:space="preserve"> (SLA). The SLA</w:t>
      </w:r>
      <w:r w:rsidR="00EF5D96" w:rsidRPr="000D67C6">
        <w:rPr>
          <w:rFonts w:ascii="Arial" w:hAnsi="Arial" w:cs="Arial"/>
          <w:sz w:val="22"/>
          <w:szCs w:val="22"/>
          <w:lang w:val="en-GB"/>
        </w:rPr>
        <w:t xml:space="preserve"> outlines a set of agreed high-level principles in relation to the day-to-day management of the </w:t>
      </w:r>
      <w:r w:rsidR="001E4527" w:rsidRPr="000D67C6">
        <w:rPr>
          <w:rFonts w:ascii="Arial" w:hAnsi="Arial" w:cs="Arial"/>
          <w:sz w:val="22"/>
          <w:szCs w:val="22"/>
          <w:lang w:val="en-GB"/>
        </w:rPr>
        <w:t>t</w:t>
      </w:r>
      <w:r w:rsidR="00EF5D96" w:rsidRPr="000D67C6">
        <w:rPr>
          <w:rFonts w:ascii="Arial" w:hAnsi="Arial" w:cs="Arial"/>
          <w:sz w:val="22"/>
          <w:szCs w:val="22"/>
          <w:lang w:val="en-GB"/>
        </w:rPr>
        <w:t>eam.  It is the expectation of both Chief Fire Officers of the FRSs that the FRSs will work in collaboration to achieve the aims and objectives set out within th</w:t>
      </w:r>
      <w:r w:rsidR="00E35761" w:rsidRPr="000D67C6">
        <w:rPr>
          <w:rFonts w:ascii="Arial" w:hAnsi="Arial" w:cs="Arial"/>
          <w:sz w:val="22"/>
          <w:szCs w:val="22"/>
          <w:lang w:val="en-GB"/>
        </w:rPr>
        <w:t>e</w:t>
      </w:r>
      <w:r w:rsidR="00EF5D96" w:rsidRPr="000D67C6">
        <w:rPr>
          <w:rFonts w:ascii="Arial" w:hAnsi="Arial" w:cs="Arial"/>
          <w:sz w:val="22"/>
          <w:szCs w:val="22"/>
          <w:lang w:val="en-GB"/>
        </w:rPr>
        <w:t xml:space="preserve"> SLA.</w:t>
      </w:r>
    </w:p>
    <w:p w14:paraId="74420370" w14:textId="29EF2DC9" w:rsidR="004368FC" w:rsidRPr="000D67C6" w:rsidRDefault="008E6C98" w:rsidP="004368FC">
      <w:pPr>
        <w:spacing w:after="160" w:line="259" w:lineRule="auto"/>
        <w:jc w:val="both"/>
        <w:rPr>
          <w:rFonts w:ascii="Arial" w:hAnsi="Arial" w:cs="Arial"/>
          <w:sz w:val="22"/>
          <w:szCs w:val="22"/>
          <w:lang w:val="en-GB"/>
        </w:rPr>
      </w:pPr>
      <w:r w:rsidRPr="000D67C6">
        <w:rPr>
          <w:rFonts w:ascii="Arial" w:hAnsi="Arial" w:cs="Arial"/>
          <w:sz w:val="22"/>
          <w:szCs w:val="22"/>
          <w:lang w:val="en-GB"/>
        </w:rPr>
        <w:t xml:space="preserve">The SLA provided that </w:t>
      </w:r>
      <w:r w:rsidR="004368FC" w:rsidRPr="000D67C6">
        <w:rPr>
          <w:rFonts w:ascii="Arial" w:hAnsi="Arial" w:cs="Arial"/>
          <w:sz w:val="22"/>
          <w:szCs w:val="22"/>
          <w:lang w:val="en-GB"/>
        </w:rPr>
        <w:t xml:space="preserve">as from the point of the </w:t>
      </w:r>
      <w:r w:rsidR="00196F36" w:rsidRPr="000D67C6">
        <w:rPr>
          <w:rFonts w:ascii="Arial" w:hAnsi="Arial" w:cs="Arial"/>
          <w:sz w:val="22"/>
          <w:szCs w:val="22"/>
          <w:lang w:val="en-GB"/>
        </w:rPr>
        <w:t>t</w:t>
      </w:r>
      <w:r w:rsidR="004368FC" w:rsidRPr="000D67C6">
        <w:rPr>
          <w:rFonts w:ascii="Arial" w:hAnsi="Arial" w:cs="Arial"/>
          <w:sz w:val="22"/>
          <w:szCs w:val="22"/>
          <w:lang w:val="en-GB"/>
        </w:rPr>
        <w:t xml:space="preserve">eam becoming operational </w:t>
      </w:r>
      <w:r w:rsidR="00EA72CE" w:rsidRPr="000D67C6">
        <w:rPr>
          <w:rFonts w:ascii="Arial" w:hAnsi="Arial" w:cs="Arial"/>
          <w:sz w:val="22"/>
          <w:szCs w:val="22"/>
          <w:lang w:val="en-GB"/>
        </w:rPr>
        <w:t xml:space="preserve">(October 2017) </w:t>
      </w:r>
      <w:r w:rsidR="004368FC" w:rsidRPr="000D67C6">
        <w:rPr>
          <w:rFonts w:ascii="Arial" w:hAnsi="Arial" w:cs="Arial"/>
          <w:sz w:val="22"/>
          <w:szCs w:val="22"/>
          <w:lang w:val="en-GB"/>
        </w:rPr>
        <w:t xml:space="preserve">the </w:t>
      </w:r>
      <w:r w:rsidR="005310C9" w:rsidRPr="000D67C6">
        <w:rPr>
          <w:rFonts w:ascii="Arial" w:hAnsi="Arial" w:cs="Arial"/>
          <w:sz w:val="22"/>
          <w:szCs w:val="22"/>
          <w:lang w:val="en-GB"/>
        </w:rPr>
        <w:t xml:space="preserve">staff </w:t>
      </w:r>
      <w:r w:rsidR="004368FC" w:rsidRPr="000D67C6">
        <w:rPr>
          <w:rFonts w:ascii="Arial" w:hAnsi="Arial" w:cs="Arial"/>
          <w:sz w:val="22"/>
          <w:szCs w:val="22"/>
          <w:lang w:val="en-GB"/>
        </w:rPr>
        <w:t xml:space="preserve">budget </w:t>
      </w:r>
      <w:r w:rsidR="00521553" w:rsidRPr="000D67C6">
        <w:rPr>
          <w:rFonts w:ascii="Arial" w:hAnsi="Arial" w:cs="Arial"/>
          <w:sz w:val="22"/>
          <w:szCs w:val="22"/>
          <w:lang w:val="en-GB"/>
        </w:rPr>
        <w:t>(direct and indirect cost</w:t>
      </w:r>
      <w:r w:rsidR="001639A0" w:rsidRPr="000D67C6">
        <w:rPr>
          <w:rFonts w:ascii="Arial" w:hAnsi="Arial" w:cs="Arial"/>
          <w:sz w:val="22"/>
          <w:szCs w:val="22"/>
          <w:lang w:val="en-GB"/>
        </w:rPr>
        <w:t xml:space="preserve">s) </w:t>
      </w:r>
      <w:r w:rsidR="004368FC" w:rsidRPr="000D67C6">
        <w:rPr>
          <w:rFonts w:ascii="Arial" w:hAnsi="Arial" w:cs="Arial"/>
          <w:sz w:val="22"/>
          <w:szCs w:val="22"/>
          <w:lang w:val="en-GB"/>
        </w:rPr>
        <w:t xml:space="preserve">for the </w:t>
      </w:r>
      <w:r w:rsidR="00F321F6" w:rsidRPr="000D67C6">
        <w:rPr>
          <w:rFonts w:ascii="Arial" w:hAnsi="Arial" w:cs="Arial"/>
          <w:sz w:val="22"/>
          <w:szCs w:val="22"/>
          <w:lang w:val="en-GB"/>
        </w:rPr>
        <w:t>JPSC</w:t>
      </w:r>
      <w:r w:rsidR="004368FC" w:rsidRPr="000D67C6">
        <w:rPr>
          <w:rFonts w:ascii="Arial" w:hAnsi="Arial" w:cs="Arial"/>
          <w:sz w:val="22"/>
          <w:szCs w:val="22"/>
          <w:lang w:val="en-GB"/>
        </w:rPr>
        <w:t xml:space="preserve"> </w:t>
      </w:r>
      <w:r w:rsidR="003D58D2" w:rsidRPr="000D67C6">
        <w:rPr>
          <w:rFonts w:ascii="Arial" w:hAnsi="Arial" w:cs="Arial"/>
          <w:sz w:val="22"/>
          <w:szCs w:val="22"/>
          <w:lang w:val="en-GB"/>
        </w:rPr>
        <w:t>would</w:t>
      </w:r>
      <w:r w:rsidR="004368FC" w:rsidRPr="000D67C6">
        <w:rPr>
          <w:rFonts w:ascii="Arial" w:hAnsi="Arial" w:cs="Arial"/>
          <w:sz w:val="22"/>
          <w:szCs w:val="22"/>
          <w:lang w:val="en-GB"/>
        </w:rPr>
        <w:t xml:space="preserve"> be shared on a 50% basis between the two FRSs.</w:t>
      </w:r>
      <w:r w:rsidR="005F449B" w:rsidRPr="000D67C6">
        <w:rPr>
          <w:rFonts w:ascii="Arial" w:hAnsi="Arial" w:cs="Arial"/>
          <w:sz w:val="22"/>
          <w:szCs w:val="22"/>
          <w:lang w:val="en-GB"/>
        </w:rPr>
        <w:t xml:space="preserve"> </w:t>
      </w:r>
      <w:r w:rsidR="005310C9" w:rsidRPr="000D67C6">
        <w:rPr>
          <w:rFonts w:ascii="Arial" w:hAnsi="Arial" w:cs="Arial"/>
          <w:sz w:val="22"/>
          <w:szCs w:val="22"/>
          <w:lang w:val="en-GB"/>
        </w:rPr>
        <w:t xml:space="preserve">For 2018/19 </w:t>
      </w:r>
      <w:r w:rsidR="00173824" w:rsidRPr="000D67C6">
        <w:rPr>
          <w:rFonts w:ascii="Arial" w:hAnsi="Arial" w:cs="Arial"/>
          <w:sz w:val="22"/>
          <w:szCs w:val="22"/>
          <w:lang w:val="en-GB"/>
        </w:rPr>
        <w:t xml:space="preserve">onwards </w:t>
      </w:r>
      <w:r w:rsidR="005310C9" w:rsidRPr="000D67C6">
        <w:rPr>
          <w:rFonts w:ascii="Arial" w:hAnsi="Arial" w:cs="Arial"/>
          <w:sz w:val="22"/>
          <w:szCs w:val="22"/>
          <w:lang w:val="en-GB"/>
        </w:rPr>
        <w:t xml:space="preserve">the SLA was renegotiated </w:t>
      </w:r>
      <w:r w:rsidR="00521553" w:rsidRPr="000D67C6">
        <w:rPr>
          <w:rFonts w:ascii="Arial" w:hAnsi="Arial" w:cs="Arial"/>
          <w:sz w:val="22"/>
          <w:szCs w:val="22"/>
          <w:lang w:val="en-GB"/>
        </w:rPr>
        <w:t>resulting in</w:t>
      </w:r>
      <w:r w:rsidR="001639A0" w:rsidRPr="000D67C6">
        <w:rPr>
          <w:rFonts w:ascii="Arial" w:hAnsi="Arial" w:cs="Arial"/>
          <w:sz w:val="22"/>
          <w:szCs w:val="22"/>
          <w:lang w:val="en-GB"/>
        </w:rPr>
        <w:t xml:space="preserve"> a revised basis – direct staff costs 40% MAWWFRS and 60% SWFRS</w:t>
      </w:r>
      <w:r w:rsidR="005E6025" w:rsidRPr="000D67C6">
        <w:rPr>
          <w:rFonts w:ascii="Arial" w:hAnsi="Arial" w:cs="Arial"/>
          <w:sz w:val="22"/>
          <w:szCs w:val="22"/>
          <w:lang w:val="en-GB"/>
        </w:rPr>
        <w:t xml:space="preserve">, and 50% each for indirect </w:t>
      </w:r>
      <w:r w:rsidR="00774D13" w:rsidRPr="000D67C6">
        <w:rPr>
          <w:rFonts w:ascii="Arial" w:hAnsi="Arial" w:cs="Arial"/>
          <w:sz w:val="22"/>
          <w:szCs w:val="22"/>
          <w:lang w:val="en-GB"/>
        </w:rPr>
        <w:t xml:space="preserve">staff </w:t>
      </w:r>
      <w:r w:rsidR="005E6025" w:rsidRPr="000D67C6">
        <w:rPr>
          <w:rFonts w:ascii="Arial" w:hAnsi="Arial" w:cs="Arial"/>
          <w:sz w:val="22"/>
          <w:szCs w:val="22"/>
          <w:lang w:val="en-GB"/>
        </w:rPr>
        <w:t>costs.</w:t>
      </w:r>
    </w:p>
    <w:p w14:paraId="238AD986" w14:textId="77777777" w:rsidR="00250691" w:rsidRPr="000D67C6" w:rsidRDefault="00442F9A" w:rsidP="003C22E3">
      <w:pPr>
        <w:spacing w:after="160" w:line="259" w:lineRule="auto"/>
        <w:jc w:val="both"/>
        <w:rPr>
          <w:rFonts w:ascii="Arial" w:eastAsia="Calibri" w:hAnsi="Arial" w:cs="Arial"/>
          <w:sz w:val="22"/>
          <w:szCs w:val="22"/>
          <w:lang w:val="pt-BR"/>
        </w:rPr>
      </w:pPr>
      <w:r w:rsidRPr="000D67C6">
        <w:rPr>
          <w:rFonts w:ascii="Arial" w:hAnsi="Arial" w:cs="Arial"/>
          <w:sz w:val="22"/>
          <w:szCs w:val="22"/>
          <w:lang w:val="en-GB"/>
        </w:rPr>
        <w:t xml:space="preserve">In accordance with accounting policy 17, the main financial statements of the </w:t>
      </w:r>
      <w:r w:rsidR="004368FC" w:rsidRPr="000D67C6">
        <w:rPr>
          <w:rFonts w:ascii="Arial" w:hAnsi="Arial" w:cs="Arial"/>
          <w:sz w:val="22"/>
          <w:szCs w:val="22"/>
          <w:lang w:val="en-GB"/>
        </w:rPr>
        <w:t>Authority</w:t>
      </w:r>
      <w:r w:rsidRPr="000D67C6">
        <w:rPr>
          <w:rFonts w:ascii="Arial" w:hAnsi="Arial" w:cs="Arial"/>
          <w:sz w:val="22"/>
          <w:szCs w:val="22"/>
          <w:lang w:val="en-GB"/>
        </w:rPr>
        <w:t xml:space="preserve"> have been consolidated with</w:t>
      </w:r>
      <w:r w:rsidR="00250691" w:rsidRPr="000D67C6">
        <w:rPr>
          <w:rFonts w:ascii="Arial" w:hAnsi="Arial" w:cs="Arial"/>
          <w:sz w:val="22"/>
          <w:szCs w:val="22"/>
          <w:lang w:val="en-GB"/>
        </w:rPr>
        <w:t xml:space="preserve"> t</w:t>
      </w:r>
      <w:r w:rsidRPr="000D67C6">
        <w:rPr>
          <w:rFonts w:ascii="Arial" w:hAnsi="Arial" w:cs="Arial"/>
          <w:sz w:val="22"/>
          <w:szCs w:val="22"/>
          <w:lang w:val="en-GB"/>
        </w:rPr>
        <w:t>he relevant entries.</w:t>
      </w:r>
      <w:r w:rsidR="00864F39" w:rsidRPr="000D67C6">
        <w:rPr>
          <w:rFonts w:ascii="Arial" w:hAnsi="Arial" w:cs="Arial"/>
          <w:sz w:val="22"/>
          <w:szCs w:val="22"/>
          <w:lang w:val="en-GB"/>
        </w:rPr>
        <w:t xml:space="preserve"> The Authority’s share of the Joint Arrangement Income and Expenditure Account and Balance Sheet are shown in the table below:</w:t>
      </w:r>
    </w:p>
    <w:tbl>
      <w:tblPr>
        <w:tblW w:w="8963" w:type="dxa"/>
        <w:tblLook w:val="04A0" w:firstRow="1" w:lastRow="0" w:firstColumn="1" w:lastColumn="0" w:noHBand="0" w:noVBand="1"/>
      </w:tblPr>
      <w:tblGrid>
        <w:gridCol w:w="3580"/>
        <w:gridCol w:w="1255"/>
        <w:gridCol w:w="1414"/>
        <w:gridCol w:w="1300"/>
        <w:gridCol w:w="1414"/>
      </w:tblGrid>
      <w:tr w:rsidR="0016323B" w:rsidRPr="000D67C6" w14:paraId="267AF1E2" w14:textId="77777777" w:rsidTr="00050238">
        <w:trPr>
          <w:trHeight w:val="288"/>
        </w:trPr>
        <w:tc>
          <w:tcPr>
            <w:tcW w:w="3580" w:type="dxa"/>
            <w:tcBorders>
              <w:top w:val="nil"/>
              <w:left w:val="nil"/>
              <w:bottom w:val="nil"/>
              <w:right w:val="nil"/>
            </w:tcBorders>
            <w:shd w:val="clear" w:color="auto" w:fill="auto"/>
            <w:noWrap/>
            <w:vAlign w:val="bottom"/>
            <w:hideMark/>
          </w:tcPr>
          <w:p w14:paraId="20C7AAA5" w14:textId="77777777" w:rsidR="0016323B" w:rsidRPr="000D67C6" w:rsidRDefault="0016323B" w:rsidP="0016323B">
            <w:pPr>
              <w:rPr>
                <w:rFonts w:ascii="Arial" w:eastAsia="Times New Roman" w:hAnsi="Arial" w:cs="Arial"/>
                <w:lang w:val="en-GB" w:eastAsia="en-GB"/>
              </w:rPr>
            </w:pPr>
          </w:p>
        </w:tc>
        <w:tc>
          <w:tcPr>
            <w:tcW w:w="2669" w:type="dxa"/>
            <w:gridSpan w:val="2"/>
            <w:tcBorders>
              <w:top w:val="nil"/>
              <w:left w:val="nil"/>
              <w:bottom w:val="nil"/>
              <w:right w:val="nil"/>
            </w:tcBorders>
          </w:tcPr>
          <w:p w14:paraId="26EA41ED" w14:textId="77777777" w:rsidR="00050238" w:rsidRPr="000D67C6" w:rsidRDefault="00050238" w:rsidP="0016323B">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2017/</w:t>
            </w:r>
            <w:r w:rsidR="00E6509F" w:rsidRPr="000D67C6">
              <w:rPr>
                <w:rFonts w:ascii="Arial" w:eastAsia="Times New Roman" w:hAnsi="Arial" w:cs="Arial"/>
                <w:b/>
                <w:bCs/>
                <w:color w:val="000000"/>
                <w:sz w:val="22"/>
                <w:szCs w:val="22"/>
                <w:lang w:val="en-GB" w:eastAsia="en-GB"/>
              </w:rPr>
              <w:t>1</w:t>
            </w:r>
            <w:r w:rsidRPr="000D67C6">
              <w:rPr>
                <w:rFonts w:ascii="Arial" w:eastAsia="Times New Roman" w:hAnsi="Arial" w:cs="Arial"/>
                <w:b/>
                <w:bCs/>
                <w:color w:val="000000"/>
                <w:sz w:val="22"/>
                <w:szCs w:val="22"/>
                <w:lang w:val="en-GB" w:eastAsia="en-GB"/>
              </w:rPr>
              <w:t>8</w:t>
            </w:r>
          </w:p>
        </w:tc>
        <w:tc>
          <w:tcPr>
            <w:tcW w:w="2714" w:type="dxa"/>
            <w:gridSpan w:val="2"/>
            <w:tcBorders>
              <w:top w:val="nil"/>
              <w:left w:val="nil"/>
              <w:bottom w:val="nil"/>
              <w:right w:val="nil"/>
            </w:tcBorders>
            <w:shd w:val="clear" w:color="auto" w:fill="auto"/>
            <w:noWrap/>
            <w:vAlign w:val="bottom"/>
            <w:hideMark/>
          </w:tcPr>
          <w:p w14:paraId="03EFED9A" w14:textId="77777777" w:rsidR="0016323B" w:rsidRPr="000D67C6" w:rsidRDefault="0016323B" w:rsidP="0016323B">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201</w:t>
            </w:r>
            <w:r w:rsidR="006D7609" w:rsidRPr="000D67C6">
              <w:rPr>
                <w:rFonts w:ascii="Arial" w:eastAsia="Times New Roman" w:hAnsi="Arial" w:cs="Arial"/>
                <w:b/>
                <w:bCs/>
                <w:color w:val="000000"/>
                <w:sz w:val="22"/>
                <w:szCs w:val="22"/>
                <w:lang w:val="en-GB" w:eastAsia="en-GB"/>
              </w:rPr>
              <w:t>8</w:t>
            </w:r>
            <w:r w:rsidRPr="000D67C6">
              <w:rPr>
                <w:rFonts w:ascii="Arial" w:eastAsia="Times New Roman" w:hAnsi="Arial" w:cs="Arial"/>
                <w:b/>
                <w:bCs/>
                <w:color w:val="000000"/>
                <w:sz w:val="22"/>
                <w:szCs w:val="22"/>
                <w:lang w:val="en-GB" w:eastAsia="en-GB"/>
              </w:rPr>
              <w:t>/1</w:t>
            </w:r>
            <w:r w:rsidR="006D7609" w:rsidRPr="000D67C6">
              <w:rPr>
                <w:rFonts w:ascii="Arial" w:eastAsia="Times New Roman" w:hAnsi="Arial" w:cs="Arial"/>
                <w:b/>
                <w:bCs/>
                <w:color w:val="000000"/>
                <w:sz w:val="22"/>
                <w:szCs w:val="22"/>
                <w:lang w:val="en-GB" w:eastAsia="en-GB"/>
              </w:rPr>
              <w:t>9</w:t>
            </w:r>
          </w:p>
        </w:tc>
      </w:tr>
      <w:tr w:rsidR="0016323B" w:rsidRPr="000D67C6" w14:paraId="722996C7" w14:textId="77777777" w:rsidTr="00050238">
        <w:trPr>
          <w:trHeight w:val="864"/>
        </w:trPr>
        <w:tc>
          <w:tcPr>
            <w:tcW w:w="3580" w:type="dxa"/>
            <w:tcBorders>
              <w:top w:val="nil"/>
              <w:left w:val="nil"/>
              <w:bottom w:val="nil"/>
              <w:right w:val="nil"/>
            </w:tcBorders>
            <w:shd w:val="clear" w:color="auto" w:fill="auto"/>
            <w:noWrap/>
            <w:vAlign w:val="bottom"/>
            <w:hideMark/>
          </w:tcPr>
          <w:p w14:paraId="559E22C6" w14:textId="77777777" w:rsidR="0016323B" w:rsidRPr="000D67C6" w:rsidRDefault="0016323B" w:rsidP="0016323B">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Joint Public Service Centre</w:t>
            </w:r>
          </w:p>
        </w:tc>
        <w:tc>
          <w:tcPr>
            <w:tcW w:w="1255" w:type="dxa"/>
            <w:tcBorders>
              <w:top w:val="nil"/>
              <w:left w:val="nil"/>
              <w:bottom w:val="nil"/>
              <w:right w:val="nil"/>
            </w:tcBorders>
            <w:shd w:val="clear" w:color="auto" w:fill="auto"/>
            <w:vAlign w:val="bottom"/>
          </w:tcPr>
          <w:p w14:paraId="2EA8DE32" w14:textId="77777777" w:rsidR="00050238" w:rsidRPr="000D67C6" w:rsidRDefault="00050238" w:rsidP="0005023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Joint Operation Total</w:t>
            </w:r>
          </w:p>
        </w:tc>
        <w:tc>
          <w:tcPr>
            <w:tcW w:w="1414" w:type="dxa"/>
            <w:tcBorders>
              <w:top w:val="nil"/>
              <w:left w:val="nil"/>
              <w:bottom w:val="nil"/>
              <w:right w:val="nil"/>
            </w:tcBorders>
            <w:shd w:val="clear" w:color="auto" w:fill="auto"/>
            <w:vAlign w:val="bottom"/>
          </w:tcPr>
          <w:p w14:paraId="1F60FCF5" w14:textId="77777777" w:rsidR="00050238" w:rsidRPr="000D67C6" w:rsidRDefault="00050238" w:rsidP="0005023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MAWWFRS Share</w:t>
            </w:r>
          </w:p>
        </w:tc>
        <w:tc>
          <w:tcPr>
            <w:tcW w:w="1300" w:type="dxa"/>
            <w:tcBorders>
              <w:top w:val="nil"/>
              <w:left w:val="nil"/>
              <w:bottom w:val="nil"/>
              <w:right w:val="nil"/>
            </w:tcBorders>
            <w:shd w:val="clear" w:color="auto" w:fill="auto"/>
            <w:vAlign w:val="bottom"/>
            <w:hideMark/>
          </w:tcPr>
          <w:p w14:paraId="66D4FFD8" w14:textId="77777777" w:rsidR="0016323B" w:rsidRPr="000D67C6" w:rsidRDefault="0016323B"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Joint Operation Total</w:t>
            </w:r>
          </w:p>
        </w:tc>
        <w:tc>
          <w:tcPr>
            <w:tcW w:w="1414" w:type="dxa"/>
            <w:tcBorders>
              <w:top w:val="nil"/>
              <w:left w:val="nil"/>
              <w:bottom w:val="nil"/>
              <w:right w:val="nil"/>
            </w:tcBorders>
            <w:shd w:val="clear" w:color="auto" w:fill="auto"/>
            <w:vAlign w:val="bottom"/>
            <w:hideMark/>
          </w:tcPr>
          <w:p w14:paraId="1467EE31" w14:textId="77777777" w:rsidR="0016323B" w:rsidRPr="000D67C6" w:rsidRDefault="0016323B"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MAWWFRS Share</w:t>
            </w:r>
          </w:p>
        </w:tc>
      </w:tr>
      <w:tr w:rsidR="0016323B" w:rsidRPr="000D67C6" w14:paraId="4BB19BE0" w14:textId="77777777" w:rsidTr="00050238">
        <w:trPr>
          <w:trHeight w:val="288"/>
        </w:trPr>
        <w:tc>
          <w:tcPr>
            <w:tcW w:w="3580" w:type="dxa"/>
            <w:tcBorders>
              <w:top w:val="nil"/>
              <w:left w:val="nil"/>
              <w:bottom w:val="single" w:sz="4" w:space="0" w:color="auto"/>
              <w:right w:val="nil"/>
            </w:tcBorders>
            <w:shd w:val="clear" w:color="auto" w:fill="auto"/>
            <w:noWrap/>
            <w:vAlign w:val="bottom"/>
            <w:hideMark/>
          </w:tcPr>
          <w:p w14:paraId="408A4D59" w14:textId="77777777" w:rsidR="0016323B" w:rsidRPr="000D67C6" w:rsidRDefault="0016323B" w:rsidP="0016323B">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from October 2017</w:t>
            </w:r>
          </w:p>
        </w:tc>
        <w:tc>
          <w:tcPr>
            <w:tcW w:w="1255" w:type="dxa"/>
            <w:tcBorders>
              <w:top w:val="nil"/>
              <w:left w:val="nil"/>
              <w:bottom w:val="single" w:sz="4" w:space="0" w:color="auto"/>
              <w:right w:val="nil"/>
            </w:tcBorders>
            <w:shd w:val="clear" w:color="auto" w:fill="auto"/>
            <w:vAlign w:val="bottom"/>
          </w:tcPr>
          <w:p w14:paraId="14C62F51" w14:textId="77777777" w:rsidR="00050238" w:rsidRPr="000D67C6" w:rsidRDefault="00050238" w:rsidP="0005023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414" w:type="dxa"/>
            <w:tcBorders>
              <w:top w:val="nil"/>
              <w:left w:val="nil"/>
              <w:bottom w:val="single" w:sz="4" w:space="0" w:color="auto"/>
              <w:right w:val="nil"/>
            </w:tcBorders>
            <w:shd w:val="clear" w:color="auto" w:fill="auto"/>
            <w:vAlign w:val="bottom"/>
          </w:tcPr>
          <w:p w14:paraId="1212040E" w14:textId="77777777" w:rsidR="00050238" w:rsidRPr="000D67C6" w:rsidRDefault="00050238" w:rsidP="00050238">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300" w:type="dxa"/>
            <w:tcBorders>
              <w:top w:val="nil"/>
              <w:left w:val="nil"/>
              <w:bottom w:val="single" w:sz="4" w:space="0" w:color="auto"/>
              <w:right w:val="nil"/>
            </w:tcBorders>
            <w:shd w:val="clear" w:color="auto" w:fill="auto"/>
            <w:noWrap/>
            <w:vAlign w:val="bottom"/>
            <w:hideMark/>
          </w:tcPr>
          <w:p w14:paraId="58324774" w14:textId="77777777" w:rsidR="0016323B" w:rsidRPr="000D67C6" w:rsidRDefault="0016323B"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£000</w:t>
            </w:r>
          </w:p>
        </w:tc>
        <w:tc>
          <w:tcPr>
            <w:tcW w:w="1414" w:type="dxa"/>
            <w:tcBorders>
              <w:top w:val="nil"/>
              <w:left w:val="nil"/>
              <w:bottom w:val="single" w:sz="4" w:space="0" w:color="auto"/>
              <w:right w:val="nil"/>
            </w:tcBorders>
            <w:shd w:val="clear" w:color="auto" w:fill="auto"/>
            <w:noWrap/>
            <w:vAlign w:val="bottom"/>
            <w:hideMark/>
          </w:tcPr>
          <w:p w14:paraId="1BEC1A17" w14:textId="77777777" w:rsidR="0016323B" w:rsidRPr="000D67C6" w:rsidRDefault="0016323B"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£000</w:t>
            </w:r>
          </w:p>
        </w:tc>
      </w:tr>
      <w:tr w:rsidR="0016323B" w:rsidRPr="000D67C6" w14:paraId="40CBAE18" w14:textId="77777777" w:rsidTr="00631912">
        <w:trPr>
          <w:trHeight w:val="288"/>
        </w:trPr>
        <w:tc>
          <w:tcPr>
            <w:tcW w:w="3580" w:type="dxa"/>
            <w:tcBorders>
              <w:top w:val="nil"/>
              <w:left w:val="nil"/>
              <w:bottom w:val="nil"/>
              <w:right w:val="nil"/>
            </w:tcBorders>
            <w:shd w:val="clear" w:color="auto" w:fill="auto"/>
            <w:noWrap/>
            <w:vAlign w:val="center"/>
            <w:hideMark/>
          </w:tcPr>
          <w:p w14:paraId="77B5D110" w14:textId="77777777" w:rsidR="00631912" w:rsidRPr="000D67C6" w:rsidRDefault="00631912" w:rsidP="0016323B">
            <w:pPr>
              <w:rPr>
                <w:rFonts w:ascii="Arial" w:eastAsia="Times New Roman" w:hAnsi="Arial" w:cs="Arial"/>
                <w:b/>
                <w:color w:val="000000"/>
                <w:sz w:val="22"/>
                <w:szCs w:val="22"/>
                <w:lang w:val="en-GB" w:eastAsia="en-GB"/>
              </w:rPr>
            </w:pPr>
          </w:p>
          <w:p w14:paraId="15225A36" w14:textId="77777777" w:rsidR="0016323B" w:rsidRPr="000D67C6" w:rsidRDefault="0016323B" w:rsidP="0016323B">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Revenue</w:t>
            </w:r>
          </w:p>
        </w:tc>
        <w:tc>
          <w:tcPr>
            <w:tcW w:w="1255" w:type="dxa"/>
            <w:tcBorders>
              <w:top w:val="nil"/>
              <w:left w:val="nil"/>
              <w:bottom w:val="nil"/>
              <w:right w:val="nil"/>
            </w:tcBorders>
            <w:vAlign w:val="center"/>
          </w:tcPr>
          <w:p w14:paraId="61EB85C8" w14:textId="77777777" w:rsidR="00050238" w:rsidRPr="000D67C6" w:rsidRDefault="00050238" w:rsidP="00050238">
            <w:pPr>
              <w:rPr>
                <w:rFonts w:ascii="Arial" w:eastAsia="Times New Roman" w:hAnsi="Arial" w:cs="Arial"/>
                <w:b/>
                <w:bCs/>
                <w:color w:val="000000"/>
                <w:sz w:val="22"/>
                <w:szCs w:val="22"/>
                <w:lang w:val="en-GB" w:eastAsia="en-GB"/>
              </w:rPr>
            </w:pPr>
          </w:p>
        </w:tc>
        <w:tc>
          <w:tcPr>
            <w:tcW w:w="1414" w:type="dxa"/>
            <w:tcBorders>
              <w:top w:val="nil"/>
              <w:left w:val="nil"/>
              <w:bottom w:val="nil"/>
              <w:right w:val="nil"/>
            </w:tcBorders>
            <w:vAlign w:val="center"/>
          </w:tcPr>
          <w:p w14:paraId="23784464" w14:textId="77777777" w:rsidR="00050238" w:rsidRPr="000D67C6" w:rsidRDefault="00050238" w:rsidP="00050238">
            <w:pPr>
              <w:rPr>
                <w:rFonts w:ascii="Arial" w:eastAsia="Times New Roman" w:hAnsi="Arial" w:cs="Arial"/>
                <w:b/>
                <w:bCs/>
                <w:color w:val="000000"/>
                <w:sz w:val="22"/>
                <w:szCs w:val="22"/>
                <w:lang w:val="en-GB" w:eastAsia="en-GB"/>
              </w:rPr>
            </w:pPr>
          </w:p>
        </w:tc>
        <w:tc>
          <w:tcPr>
            <w:tcW w:w="1300" w:type="dxa"/>
            <w:tcBorders>
              <w:top w:val="nil"/>
              <w:left w:val="nil"/>
              <w:bottom w:val="nil"/>
              <w:right w:val="nil"/>
            </w:tcBorders>
            <w:shd w:val="clear" w:color="auto" w:fill="auto"/>
            <w:noWrap/>
            <w:vAlign w:val="center"/>
            <w:hideMark/>
          </w:tcPr>
          <w:p w14:paraId="57E47809" w14:textId="77777777" w:rsidR="0016323B" w:rsidRPr="000D67C6" w:rsidRDefault="0016323B" w:rsidP="0016323B">
            <w:pPr>
              <w:rPr>
                <w:rFonts w:ascii="Arial" w:eastAsia="Times New Roman" w:hAnsi="Arial" w:cs="Arial"/>
                <w:b/>
                <w:color w:val="000000"/>
                <w:sz w:val="22"/>
                <w:szCs w:val="22"/>
                <w:lang w:val="en-GB" w:eastAsia="en-GB"/>
              </w:rPr>
            </w:pPr>
          </w:p>
        </w:tc>
        <w:tc>
          <w:tcPr>
            <w:tcW w:w="1414" w:type="dxa"/>
            <w:tcBorders>
              <w:top w:val="nil"/>
              <w:left w:val="nil"/>
              <w:bottom w:val="nil"/>
              <w:right w:val="nil"/>
            </w:tcBorders>
            <w:shd w:val="clear" w:color="auto" w:fill="auto"/>
            <w:noWrap/>
            <w:vAlign w:val="center"/>
            <w:hideMark/>
          </w:tcPr>
          <w:p w14:paraId="72DDC496" w14:textId="77777777" w:rsidR="0016323B" w:rsidRPr="000D67C6" w:rsidRDefault="0016323B" w:rsidP="0016323B">
            <w:pPr>
              <w:rPr>
                <w:rFonts w:ascii="Arial" w:eastAsia="Times New Roman" w:hAnsi="Arial" w:cs="Arial"/>
                <w:sz w:val="20"/>
                <w:szCs w:val="20"/>
                <w:lang w:val="en-GB" w:eastAsia="en-GB"/>
              </w:rPr>
            </w:pPr>
          </w:p>
        </w:tc>
      </w:tr>
      <w:tr w:rsidR="0016323B" w:rsidRPr="000D67C6" w14:paraId="76286330" w14:textId="77777777" w:rsidTr="00631912">
        <w:trPr>
          <w:trHeight w:val="288"/>
        </w:trPr>
        <w:tc>
          <w:tcPr>
            <w:tcW w:w="3580" w:type="dxa"/>
            <w:tcBorders>
              <w:top w:val="nil"/>
              <w:left w:val="nil"/>
              <w:right w:val="nil"/>
            </w:tcBorders>
            <w:shd w:val="clear" w:color="auto" w:fill="auto"/>
            <w:noWrap/>
            <w:vAlign w:val="center"/>
            <w:hideMark/>
          </w:tcPr>
          <w:p w14:paraId="60E2B572" w14:textId="77777777" w:rsidR="0016323B" w:rsidRPr="000D67C6" w:rsidRDefault="0016323B" w:rsidP="0016323B">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Staff Expenditure</w:t>
            </w:r>
          </w:p>
        </w:tc>
        <w:tc>
          <w:tcPr>
            <w:tcW w:w="1255" w:type="dxa"/>
            <w:tcBorders>
              <w:top w:val="nil"/>
              <w:left w:val="nil"/>
              <w:right w:val="nil"/>
            </w:tcBorders>
            <w:vAlign w:val="center"/>
          </w:tcPr>
          <w:p w14:paraId="7457B160"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1,683</w:t>
            </w:r>
          </w:p>
        </w:tc>
        <w:tc>
          <w:tcPr>
            <w:tcW w:w="1414" w:type="dxa"/>
            <w:tcBorders>
              <w:top w:val="nil"/>
              <w:left w:val="nil"/>
              <w:right w:val="nil"/>
            </w:tcBorders>
            <w:vAlign w:val="center"/>
          </w:tcPr>
          <w:p w14:paraId="633C9D58"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841</w:t>
            </w:r>
          </w:p>
        </w:tc>
        <w:tc>
          <w:tcPr>
            <w:tcW w:w="1300" w:type="dxa"/>
            <w:tcBorders>
              <w:top w:val="nil"/>
              <w:left w:val="nil"/>
              <w:right w:val="nil"/>
            </w:tcBorders>
            <w:shd w:val="clear" w:color="auto" w:fill="auto"/>
            <w:noWrap/>
            <w:vAlign w:val="center"/>
            <w:hideMark/>
          </w:tcPr>
          <w:p w14:paraId="276D2158" w14:textId="77777777" w:rsidR="0016323B" w:rsidRPr="000D67C6" w:rsidRDefault="00C45393" w:rsidP="00362C3A">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2,786</w:t>
            </w:r>
          </w:p>
        </w:tc>
        <w:tc>
          <w:tcPr>
            <w:tcW w:w="1414" w:type="dxa"/>
            <w:tcBorders>
              <w:top w:val="nil"/>
              <w:left w:val="nil"/>
              <w:right w:val="nil"/>
            </w:tcBorders>
            <w:shd w:val="clear" w:color="auto" w:fill="auto"/>
            <w:noWrap/>
            <w:vAlign w:val="center"/>
            <w:hideMark/>
          </w:tcPr>
          <w:p w14:paraId="20A507C9" w14:textId="77777777" w:rsidR="0016323B" w:rsidRPr="000D67C6" w:rsidRDefault="00472F30" w:rsidP="00362C3A">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1,115</w:t>
            </w:r>
          </w:p>
        </w:tc>
      </w:tr>
      <w:tr w:rsidR="00472F30" w:rsidRPr="000D67C6" w14:paraId="60211420" w14:textId="77777777" w:rsidTr="00631912">
        <w:trPr>
          <w:trHeight w:val="288"/>
        </w:trPr>
        <w:tc>
          <w:tcPr>
            <w:tcW w:w="3580" w:type="dxa"/>
            <w:tcBorders>
              <w:top w:val="nil"/>
              <w:left w:val="nil"/>
              <w:bottom w:val="single" w:sz="4" w:space="0" w:color="auto"/>
              <w:right w:val="nil"/>
            </w:tcBorders>
            <w:shd w:val="clear" w:color="auto" w:fill="auto"/>
            <w:noWrap/>
            <w:vAlign w:val="center"/>
          </w:tcPr>
          <w:p w14:paraId="067218FC" w14:textId="77777777" w:rsidR="00472F30" w:rsidRPr="000D67C6" w:rsidRDefault="00472F30" w:rsidP="0016323B">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Non-Staff Expenditure</w:t>
            </w:r>
          </w:p>
        </w:tc>
        <w:tc>
          <w:tcPr>
            <w:tcW w:w="1255" w:type="dxa"/>
            <w:tcBorders>
              <w:top w:val="nil"/>
              <w:left w:val="nil"/>
              <w:bottom w:val="single" w:sz="4" w:space="0" w:color="auto"/>
              <w:right w:val="nil"/>
            </w:tcBorders>
            <w:vAlign w:val="center"/>
          </w:tcPr>
          <w:p w14:paraId="6235286D"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414" w:type="dxa"/>
            <w:tcBorders>
              <w:top w:val="nil"/>
              <w:left w:val="nil"/>
              <w:bottom w:val="single" w:sz="4" w:space="0" w:color="auto"/>
              <w:right w:val="nil"/>
            </w:tcBorders>
            <w:vAlign w:val="center"/>
          </w:tcPr>
          <w:p w14:paraId="2C5CD63C"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300" w:type="dxa"/>
            <w:tcBorders>
              <w:top w:val="nil"/>
              <w:left w:val="nil"/>
              <w:bottom w:val="single" w:sz="4" w:space="0" w:color="auto"/>
              <w:right w:val="nil"/>
            </w:tcBorders>
            <w:shd w:val="clear" w:color="auto" w:fill="auto"/>
            <w:noWrap/>
            <w:vAlign w:val="center"/>
          </w:tcPr>
          <w:p w14:paraId="00938036" w14:textId="77777777" w:rsidR="00472F30" w:rsidRPr="000D67C6" w:rsidRDefault="00472F30" w:rsidP="00362C3A">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14</w:t>
            </w:r>
          </w:p>
        </w:tc>
        <w:tc>
          <w:tcPr>
            <w:tcW w:w="1414" w:type="dxa"/>
            <w:tcBorders>
              <w:top w:val="nil"/>
              <w:left w:val="nil"/>
              <w:bottom w:val="single" w:sz="4" w:space="0" w:color="auto"/>
              <w:right w:val="nil"/>
            </w:tcBorders>
            <w:shd w:val="clear" w:color="auto" w:fill="auto"/>
            <w:noWrap/>
            <w:vAlign w:val="center"/>
          </w:tcPr>
          <w:p w14:paraId="35AA44E0" w14:textId="77777777" w:rsidR="00472F30" w:rsidRPr="000D67C6" w:rsidRDefault="00472F30" w:rsidP="00362C3A">
            <w:pPr>
              <w:jc w:val="right"/>
              <w:rPr>
                <w:rFonts w:ascii="Arial" w:eastAsia="Times New Roman" w:hAnsi="Arial" w:cs="Arial"/>
                <w:sz w:val="20"/>
                <w:szCs w:val="20"/>
                <w:lang w:val="en-GB" w:eastAsia="en-GB"/>
              </w:rPr>
            </w:pPr>
            <w:r w:rsidRPr="000D67C6">
              <w:rPr>
                <w:rFonts w:ascii="Arial" w:eastAsia="Times New Roman" w:hAnsi="Arial" w:cs="Arial"/>
                <w:sz w:val="20"/>
                <w:szCs w:val="20"/>
                <w:lang w:val="en-GB" w:eastAsia="en-GB"/>
              </w:rPr>
              <w:t>7</w:t>
            </w:r>
          </w:p>
        </w:tc>
      </w:tr>
      <w:tr w:rsidR="0016323B" w:rsidRPr="000D67C6" w14:paraId="27B64ADA" w14:textId="77777777" w:rsidTr="00631912">
        <w:trPr>
          <w:trHeight w:val="288"/>
        </w:trPr>
        <w:tc>
          <w:tcPr>
            <w:tcW w:w="3580" w:type="dxa"/>
            <w:tcBorders>
              <w:top w:val="single" w:sz="4" w:space="0" w:color="auto"/>
              <w:left w:val="nil"/>
              <w:right w:val="nil"/>
            </w:tcBorders>
            <w:shd w:val="clear" w:color="auto" w:fill="auto"/>
            <w:noWrap/>
            <w:vAlign w:val="center"/>
            <w:hideMark/>
          </w:tcPr>
          <w:p w14:paraId="700DF141" w14:textId="77777777" w:rsidR="0016323B" w:rsidRPr="000D67C6" w:rsidRDefault="00631912" w:rsidP="00631912">
            <w:pPr>
              <w:rPr>
                <w:rFonts w:ascii="Arial" w:eastAsia="Times New Roman" w:hAnsi="Arial" w:cs="Arial"/>
                <w:b/>
                <w:sz w:val="20"/>
                <w:szCs w:val="20"/>
                <w:lang w:val="en-GB" w:eastAsia="en-GB"/>
              </w:rPr>
            </w:pPr>
            <w:r w:rsidRPr="000D67C6">
              <w:rPr>
                <w:rFonts w:ascii="Arial" w:eastAsia="Times New Roman" w:hAnsi="Arial" w:cs="Arial"/>
                <w:b/>
                <w:sz w:val="22"/>
                <w:szCs w:val="20"/>
                <w:lang w:val="en-GB" w:eastAsia="en-GB"/>
              </w:rPr>
              <w:t>Total Expenditure</w:t>
            </w:r>
          </w:p>
        </w:tc>
        <w:tc>
          <w:tcPr>
            <w:tcW w:w="1255" w:type="dxa"/>
            <w:tcBorders>
              <w:top w:val="single" w:sz="4" w:space="0" w:color="auto"/>
              <w:left w:val="nil"/>
              <w:right w:val="nil"/>
            </w:tcBorders>
            <w:vAlign w:val="center"/>
          </w:tcPr>
          <w:p w14:paraId="61ED3E73" w14:textId="77777777" w:rsidR="00050238" w:rsidRPr="000D67C6" w:rsidRDefault="00631912" w:rsidP="00631912">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1,683</w:t>
            </w:r>
          </w:p>
        </w:tc>
        <w:tc>
          <w:tcPr>
            <w:tcW w:w="1414" w:type="dxa"/>
            <w:tcBorders>
              <w:top w:val="single" w:sz="4" w:space="0" w:color="auto"/>
              <w:left w:val="nil"/>
              <w:right w:val="nil"/>
            </w:tcBorders>
            <w:vAlign w:val="center"/>
          </w:tcPr>
          <w:p w14:paraId="6581BB16" w14:textId="77777777" w:rsidR="00050238" w:rsidRPr="000D67C6" w:rsidRDefault="00631912" w:rsidP="00631912">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841</w:t>
            </w:r>
          </w:p>
        </w:tc>
        <w:tc>
          <w:tcPr>
            <w:tcW w:w="1300" w:type="dxa"/>
            <w:tcBorders>
              <w:top w:val="single" w:sz="4" w:space="0" w:color="auto"/>
              <w:left w:val="nil"/>
              <w:right w:val="nil"/>
            </w:tcBorders>
            <w:shd w:val="clear" w:color="auto" w:fill="auto"/>
            <w:noWrap/>
            <w:vAlign w:val="center"/>
            <w:hideMark/>
          </w:tcPr>
          <w:p w14:paraId="3CF317C1" w14:textId="77777777" w:rsidR="0016323B" w:rsidRPr="000D67C6" w:rsidRDefault="00631912" w:rsidP="00631912">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2,800</w:t>
            </w:r>
          </w:p>
        </w:tc>
        <w:tc>
          <w:tcPr>
            <w:tcW w:w="1414" w:type="dxa"/>
            <w:tcBorders>
              <w:top w:val="single" w:sz="4" w:space="0" w:color="auto"/>
              <w:left w:val="nil"/>
              <w:right w:val="nil"/>
            </w:tcBorders>
            <w:shd w:val="clear" w:color="auto" w:fill="auto"/>
            <w:noWrap/>
            <w:vAlign w:val="center"/>
            <w:hideMark/>
          </w:tcPr>
          <w:p w14:paraId="54E31C02" w14:textId="77777777" w:rsidR="0016323B" w:rsidRPr="000D67C6" w:rsidRDefault="00631912" w:rsidP="00631912">
            <w:pPr>
              <w:jc w:val="right"/>
              <w:rPr>
                <w:rFonts w:ascii="Arial" w:eastAsia="Times New Roman" w:hAnsi="Arial" w:cs="Arial"/>
                <w:b/>
                <w:sz w:val="20"/>
                <w:szCs w:val="20"/>
                <w:lang w:val="en-GB" w:eastAsia="en-GB"/>
              </w:rPr>
            </w:pPr>
            <w:r w:rsidRPr="000D67C6">
              <w:rPr>
                <w:rFonts w:ascii="Arial" w:eastAsia="Times New Roman" w:hAnsi="Arial" w:cs="Arial"/>
                <w:b/>
                <w:sz w:val="20"/>
                <w:szCs w:val="20"/>
                <w:lang w:val="en-GB" w:eastAsia="en-GB"/>
              </w:rPr>
              <w:t>1,122</w:t>
            </w:r>
          </w:p>
        </w:tc>
      </w:tr>
      <w:tr w:rsidR="0016323B" w:rsidRPr="000D67C6" w14:paraId="2D93FF18" w14:textId="77777777" w:rsidTr="00631912">
        <w:trPr>
          <w:trHeight w:val="288"/>
        </w:trPr>
        <w:tc>
          <w:tcPr>
            <w:tcW w:w="3580" w:type="dxa"/>
            <w:tcBorders>
              <w:top w:val="single" w:sz="4" w:space="0" w:color="auto"/>
              <w:left w:val="nil"/>
              <w:bottom w:val="nil"/>
              <w:right w:val="nil"/>
            </w:tcBorders>
            <w:shd w:val="clear" w:color="auto" w:fill="auto"/>
            <w:noWrap/>
            <w:vAlign w:val="center"/>
            <w:hideMark/>
          </w:tcPr>
          <w:p w14:paraId="176243AC" w14:textId="77777777" w:rsidR="00631912" w:rsidRPr="000D67C6" w:rsidRDefault="00631912" w:rsidP="0016323B">
            <w:pPr>
              <w:rPr>
                <w:rFonts w:ascii="Arial" w:eastAsia="Times New Roman" w:hAnsi="Arial" w:cs="Arial"/>
                <w:b/>
                <w:color w:val="000000"/>
                <w:sz w:val="22"/>
                <w:szCs w:val="22"/>
                <w:lang w:val="en-GB" w:eastAsia="en-GB"/>
              </w:rPr>
            </w:pPr>
          </w:p>
          <w:p w14:paraId="2FCAD2FC" w14:textId="77777777" w:rsidR="0016323B" w:rsidRPr="000D67C6" w:rsidRDefault="003C22E3" w:rsidP="0016323B">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I</w:t>
            </w:r>
            <w:r w:rsidR="0016323B" w:rsidRPr="000D67C6">
              <w:rPr>
                <w:rFonts w:ascii="Arial" w:eastAsia="Times New Roman" w:hAnsi="Arial" w:cs="Arial"/>
                <w:b/>
                <w:color w:val="000000"/>
                <w:sz w:val="22"/>
                <w:szCs w:val="22"/>
                <w:lang w:val="en-GB" w:eastAsia="en-GB"/>
              </w:rPr>
              <w:t>ntangible Asset</w:t>
            </w:r>
          </w:p>
        </w:tc>
        <w:tc>
          <w:tcPr>
            <w:tcW w:w="1255" w:type="dxa"/>
            <w:tcBorders>
              <w:top w:val="single" w:sz="4" w:space="0" w:color="auto"/>
              <w:left w:val="nil"/>
              <w:bottom w:val="nil"/>
              <w:right w:val="nil"/>
            </w:tcBorders>
            <w:vAlign w:val="center"/>
          </w:tcPr>
          <w:p w14:paraId="130CDB8D" w14:textId="77777777" w:rsidR="00050238" w:rsidRPr="000D67C6" w:rsidRDefault="00050238" w:rsidP="00050238">
            <w:pPr>
              <w:rPr>
                <w:rFonts w:ascii="Arial" w:eastAsia="Times New Roman" w:hAnsi="Arial" w:cs="Arial"/>
                <w:b/>
                <w:bCs/>
                <w:color w:val="000000"/>
                <w:sz w:val="22"/>
                <w:szCs w:val="22"/>
                <w:lang w:val="en-GB" w:eastAsia="en-GB"/>
              </w:rPr>
            </w:pPr>
          </w:p>
        </w:tc>
        <w:tc>
          <w:tcPr>
            <w:tcW w:w="1414" w:type="dxa"/>
            <w:tcBorders>
              <w:top w:val="single" w:sz="4" w:space="0" w:color="auto"/>
              <w:left w:val="nil"/>
              <w:bottom w:val="nil"/>
              <w:right w:val="nil"/>
            </w:tcBorders>
            <w:vAlign w:val="center"/>
          </w:tcPr>
          <w:p w14:paraId="6F4F6711" w14:textId="77777777" w:rsidR="00050238" w:rsidRPr="000D67C6" w:rsidRDefault="00050238" w:rsidP="00050238">
            <w:pPr>
              <w:rPr>
                <w:rFonts w:ascii="Arial" w:eastAsia="Times New Roman" w:hAnsi="Arial" w:cs="Arial"/>
                <w:b/>
                <w:bCs/>
                <w:color w:val="000000"/>
                <w:sz w:val="22"/>
                <w:szCs w:val="22"/>
                <w:lang w:val="en-GB" w:eastAsia="en-GB"/>
              </w:rPr>
            </w:pPr>
          </w:p>
        </w:tc>
        <w:tc>
          <w:tcPr>
            <w:tcW w:w="1300" w:type="dxa"/>
            <w:tcBorders>
              <w:top w:val="single" w:sz="4" w:space="0" w:color="auto"/>
              <w:left w:val="nil"/>
              <w:bottom w:val="nil"/>
              <w:right w:val="nil"/>
            </w:tcBorders>
            <w:shd w:val="clear" w:color="auto" w:fill="auto"/>
            <w:noWrap/>
            <w:vAlign w:val="center"/>
            <w:hideMark/>
          </w:tcPr>
          <w:p w14:paraId="5431F5E1" w14:textId="77777777" w:rsidR="0016323B" w:rsidRPr="000D67C6" w:rsidRDefault="0016323B" w:rsidP="0016323B">
            <w:pPr>
              <w:rPr>
                <w:rFonts w:ascii="Arial" w:eastAsia="Times New Roman" w:hAnsi="Arial" w:cs="Arial"/>
                <w:b/>
                <w:color w:val="000000"/>
                <w:sz w:val="22"/>
                <w:szCs w:val="22"/>
                <w:lang w:val="en-GB" w:eastAsia="en-GB"/>
              </w:rPr>
            </w:pPr>
          </w:p>
        </w:tc>
        <w:tc>
          <w:tcPr>
            <w:tcW w:w="1414" w:type="dxa"/>
            <w:tcBorders>
              <w:top w:val="single" w:sz="4" w:space="0" w:color="auto"/>
              <w:left w:val="nil"/>
              <w:bottom w:val="nil"/>
              <w:right w:val="nil"/>
            </w:tcBorders>
            <w:shd w:val="clear" w:color="auto" w:fill="auto"/>
            <w:noWrap/>
            <w:vAlign w:val="center"/>
            <w:hideMark/>
          </w:tcPr>
          <w:p w14:paraId="1BB29893" w14:textId="77777777" w:rsidR="0016323B" w:rsidRPr="000D67C6" w:rsidRDefault="0016323B" w:rsidP="0016323B">
            <w:pPr>
              <w:rPr>
                <w:rFonts w:ascii="Arial" w:eastAsia="Times New Roman" w:hAnsi="Arial" w:cs="Arial"/>
                <w:sz w:val="20"/>
                <w:szCs w:val="20"/>
                <w:lang w:val="en-GB" w:eastAsia="en-GB"/>
              </w:rPr>
            </w:pPr>
          </w:p>
        </w:tc>
      </w:tr>
      <w:tr w:rsidR="0016323B" w:rsidRPr="000D67C6" w14:paraId="2DB7E979" w14:textId="77777777" w:rsidTr="00631912">
        <w:trPr>
          <w:trHeight w:val="288"/>
        </w:trPr>
        <w:tc>
          <w:tcPr>
            <w:tcW w:w="3580" w:type="dxa"/>
            <w:tcBorders>
              <w:top w:val="nil"/>
              <w:left w:val="nil"/>
              <w:bottom w:val="nil"/>
              <w:right w:val="nil"/>
            </w:tcBorders>
            <w:shd w:val="clear" w:color="auto" w:fill="auto"/>
            <w:noWrap/>
            <w:vAlign w:val="center"/>
            <w:hideMark/>
          </w:tcPr>
          <w:p w14:paraId="21ADFE55" w14:textId="77777777" w:rsidR="0016323B" w:rsidRPr="000D67C6" w:rsidRDefault="0016323B" w:rsidP="0016323B">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Command &amp; Control System</w:t>
            </w:r>
          </w:p>
        </w:tc>
        <w:tc>
          <w:tcPr>
            <w:tcW w:w="1255" w:type="dxa"/>
            <w:tcBorders>
              <w:top w:val="nil"/>
              <w:left w:val="nil"/>
              <w:bottom w:val="nil"/>
              <w:right w:val="nil"/>
            </w:tcBorders>
            <w:vAlign w:val="center"/>
          </w:tcPr>
          <w:p w14:paraId="2B02C8B7" w14:textId="77777777" w:rsidR="00050238" w:rsidRPr="000D67C6" w:rsidRDefault="00050238" w:rsidP="00050238">
            <w:pPr>
              <w:rPr>
                <w:rFonts w:ascii="Arial" w:eastAsia="Times New Roman" w:hAnsi="Arial" w:cs="Arial"/>
                <w:color w:val="000000"/>
                <w:sz w:val="22"/>
                <w:szCs w:val="22"/>
                <w:lang w:val="en-GB" w:eastAsia="en-GB"/>
              </w:rPr>
            </w:pPr>
          </w:p>
        </w:tc>
        <w:tc>
          <w:tcPr>
            <w:tcW w:w="1414" w:type="dxa"/>
            <w:tcBorders>
              <w:top w:val="nil"/>
              <w:left w:val="nil"/>
              <w:bottom w:val="nil"/>
              <w:right w:val="nil"/>
            </w:tcBorders>
            <w:vAlign w:val="center"/>
          </w:tcPr>
          <w:p w14:paraId="24DAD30C" w14:textId="77777777" w:rsidR="00050238" w:rsidRPr="000D67C6" w:rsidRDefault="00050238" w:rsidP="00050238">
            <w:pPr>
              <w:rPr>
                <w:rFonts w:ascii="Arial" w:eastAsia="Times New Roman" w:hAnsi="Arial" w:cs="Arial"/>
                <w:color w:val="000000"/>
                <w:sz w:val="22"/>
                <w:szCs w:val="22"/>
                <w:lang w:val="en-GB" w:eastAsia="en-GB"/>
              </w:rPr>
            </w:pPr>
          </w:p>
        </w:tc>
        <w:tc>
          <w:tcPr>
            <w:tcW w:w="1300" w:type="dxa"/>
            <w:tcBorders>
              <w:top w:val="nil"/>
              <w:left w:val="nil"/>
              <w:bottom w:val="nil"/>
              <w:right w:val="nil"/>
            </w:tcBorders>
            <w:shd w:val="clear" w:color="auto" w:fill="auto"/>
            <w:noWrap/>
            <w:vAlign w:val="center"/>
            <w:hideMark/>
          </w:tcPr>
          <w:p w14:paraId="79DF4088" w14:textId="77777777" w:rsidR="0016323B" w:rsidRPr="000D67C6" w:rsidRDefault="0016323B" w:rsidP="0016323B">
            <w:pPr>
              <w:rPr>
                <w:rFonts w:ascii="Arial" w:eastAsia="Times New Roman" w:hAnsi="Arial" w:cs="Arial"/>
                <w:color w:val="000000"/>
                <w:sz w:val="22"/>
                <w:szCs w:val="22"/>
                <w:lang w:val="en-GB" w:eastAsia="en-GB"/>
              </w:rPr>
            </w:pPr>
          </w:p>
        </w:tc>
        <w:tc>
          <w:tcPr>
            <w:tcW w:w="1414" w:type="dxa"/>
            <w:tcBorders>
              <w:top w:val="nil"/>
              <w:left w:val="nil"/>
              <w:bottom w:val="nil"/>
              <w:right w:val="nil"/>
            </w:tcBorders>
            <w:shd w:val="clear" w:color="auto" w:fill="auto"/>
            <w:noWrap/>
            <w:vAlign w:val="center"/>
            <w:hideMark/>
          </w:tcPr>
          <w:p w14:paraId="04BBA50F" w14:textId="77777777" w:rsidR="0016323B" w:rsidRPr="000D67C6" w:rsidRDefault="0016323B" w:rsidP="0016323B">
            <w:pPr>
              <w:rPr>
                <w:rFonts w:ascii="Arial" w:eastAsia="Times New Roman" w:hAnsi="Arial" w:cs="Arial"/>
                <w:sz w:val="20"/>
                <w:szCs w:val="20"/>
                <w:lang w:val="en-GB" w:eastAsia="en-GB"/>
              </w:rPr>
            </w:pPr>
          </w:p>
        </w:tc>
      </w:tr>
      <w:tr w:rsidR="0016323B" w:rsidRPr="000D67C6" w14:paraId="661965D1" w14:textId="77777777" w:rsidTr="00631912">
        <w:trPr>
          <w:trHeight w:val="288"/>
        </w:trPr>
        <w:tc>
          <w:tcPr>
            <w:tcW w:w="3580" w:type="dxa"/>
            <w:tcBorders>
              <w:top w:val="nil"/>
              <w:left w:val="nil"/>
              <w:right w:val="nil"/>
            </w:tcBorders>
            <w:shd w:val="clear" w:color="auto" w:fill="auto"/>
            <w:noWrap/>
            <w:vAlign w:val="center"/>
            <w:hideMark/>
          </w:tcPr>
          <w:p w14:paraId="03848334" w14:textId="77777777" w:rsidR="0016323B" w:rsidRPr="000D67C6" w:rsidRDefault="0016323B" w:rsidP="0016323B">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Gross Book Value</w:t>
            </w:r>
          </w:p>
        </w:tc>
        <w:tc>
          <w:tcPr>
            <w:tcW w:w="1255" w:type="dxa"/>
            <w:tcBorders>
              <w:top w:val="nil"/>
              <w:left w:val="nil"/>
              <w:right w:val="nil"/>
            </w:tcBorders>
            <w:vAlign w:val="center"/>
          </w:tcPr>
          <w:p w14:paraId="0DAA16DE"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680</w:t>
            </w:r>
          </w:p>
        </w:tc>
        <w:tc>
          <w:tcPr>
            <w:tcW w:w="1414" w:type="dxa"/>
            <w:tcBorders>
              <w:top w:val="nil"/>
              <w:left w:val="nil"/>
              <w:right w:val="nil"/>
            </w:tcBorders>
            <w:vAlign w:val="center"/>
          </w:tcPr>
          <w:p w14:paraId="513C063C"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340</w:t>
            </w:r>
          </w:p>
        </w:tc>
        <w:tc>
          <w:tcPr>
            <w:tcW w:w="1300" w:type="dxa"/>
            <w:tcBorders>
              <w:top w:val="nil"/>
              <w:left w:val="nil"/>
              <w:right w:val="nil"/>
            </w:tcBorders>
            <w:shd w:val="clear" w:color="auto" w:fill="auto"/>
            <w:noWrap/>
            <w:vAlign w:val="center"/>
            <w:hideMark/>
          </w:tcPr>
          <w:p w14:paraId="06C7FF7F" w14:textId="77777777" w:rsidR="0016323B" w:rsidRPr="000D67C6" w:rsidRDefault="0016323B" w:rsidP="0016323B">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680</w:t>
            </w:r>
          </w:p>
        </w:tc>
        <w:tc>
          <w:tcPr>
            <w:tcW w:w="1414" w:type="dxa"/>
            <w:tcBorders>
              <w:top w:val="nil"/>
              <w:left w:val="nil"/>
              <w:right w:val="nil"/>
            </w:tcBorders>
            <w:shd w:val="clear" w:color="auto" w:fill="auto"/>
            <w:noWrap/>
            <w:vAlign w:val="center"/>
            <w:hideMark/>
          </w:tcPr>
          <w:p w14:paraId="41A15A7E" w14:textId="77777777" w:rsidR="0016323B" w:rsidRPr="000D67C6" w:rsidRDefault="0016323B" w:rsidP="0016323B">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340</w:t>
            </w:r>
          </w:p>
        </w:tc>
      </w:tr>
      <w:tr w:rsidR="0016323B" w:rsidRPr="000D67C6" w14:paraId="5ECD8CB7" w14:textId="77777777" w:rsidTr="00631912">
        <w:trPr>
          <w:trHeight w:val="288"/>
        </w:trPr>
        <w:tc>
          <w:tcPr>
            <w:tcW w:w="3580" w:type="dxa"/>
            <w:tcBorders>
              <w:top w:val="nil"/>
              <w:left w:val="nil"/>
              <w:bottom w:val="single" w:sz="4" w:space="0" w:color="auto"/>
              <w:right w:val="nil"/>
            </w:tcBorders>
            <w:shd w:val="clear" w:color="auto" w:fill="auto"/>
            <w:noWrap/>
            <w:vAlign w:val="center"/>
            <w:hideMark/>
          </w:tcPr>
          <w:p w14:paraId="7763FF27" w14:textId="77777777" w:rsidR="0016323B" w:rsidRPr="000D67C6" w:rsidRDefault="0016323B" w:rsidP="0016323B">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Accumulated Amortisation</w:t>
            </w:r>
          </w:p>
        </w:tc>
        <w:tc>
          <w:tcPr>
            <w:tcW w:w="1255" w:type="dxa"/>
            <w:tcBorders>
              <w:top w:val="nil"/>
              <w:left w:val="nil"/>
              <w:bottom w:val="single" w:sz="4" w:space="0" w:color="auto"/>
              <w:right w:val="nil"/>
            </w:tcBorders>
            <w:vAlign w:val="center"/>
          </w:tcPr>
          <w:p w14:paraId="52408183"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(34)</w:t>
            </w:r>
          </w:p>
        </w:tc>
        <w:tc>
          <w:tcPr>
            <w:tcW w:w="1414" w:type="dxa"/>
            <w:tcBorders>
              <w:top w:val="nil"/>
              <w:left w:val="nil"/>
              <w:bottom w:val="single" w:sz="4" w:space="0" w:color="auto"/>
              <w:right w:val="nil"/>
            </w:tcBorders>
            <w:vAlign w:val="center"/>
          </w:tcPr>
          <w:p w14:paraId="0FB572A8" w14:textId="77777777" w:rsidR="00050238" w:rsidRPr="000D67C6" w:rsidRDefault="00050238" w:rsidP="00050238">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(17)</w:t>
            </w:r>
          </w:p>
        </w:tc>
        <w:tc>
          <w:tcPr>
            <w:tcW w:w="1300" w:type="dxa"/>
            <w:tcBorders>
              <w:top w:val="nil"/>
              <w:left w:val="nil"/>
              <w:bottom w:val="single" w:sz="4" w:space="0" w:color="auto"/>
              <w:right w:val="nil"/>
            </w:tcBorders>
            <w:shd w:val="clear" w:color="auto" w:fill="auto"/>
            <w:noWrap/>
            <w:vAlign w:val="center"/>
            <w:hideMark/>
          </w:tcPr>
          <w:p w14:paraId="3EFC585E" w14:textId="77777777" w:rsidR="0016323B" w:rsidRPr="000D67C6" w:rsidRDefault="00B9587B" w:rsidP="0016323B">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472F30" w:rsidRPr="000D67C6">
              <w:rPr>
                <w:rFonts w:ascii="Arial" w:eastAsia="Times New Roman" w:hAnsi="Arial" w:cs="Arial"/>
                <w:color w:val="000000"/>
                <w:sz w:val="22"/>
                <w:szCs w:val="22"/>
                <w:lang w:val="en-GB" w:eastAsia="en-GB"/>
              </w:rPr>
              <w:t>10</w:t>
            </w:r>
            <w:r w:rsidR="0016323B" w:rsidRPr="000D67C6">
              <w:rPr>
                <w:rFonts w:ascii="Arial" w:eastAsia="Times New Roman" w:hAnsi="Arial" w:cs="Arial"/>
                <w:color w:val="000000"/>
                <w:sz w:val="22"/>
                <w:szCs w:val="22"/>
                <w:lang w:val="en-GB" w:eastAsia="en-GB"/>
              </w:rPr>
              <w:t>4</w:t>
            </w:r>
            <w:r w:rsidRPr="000D67C6">
              <w:rPr>
                <w:rFonts w:ascii="Arial" w:eastAsia="Times New Roman" w:hAnsi="Arial" w:cs="Arial"/>
                <w:color w:val="000000"/>
                <w:sz w:val="22"/>
                <w:szCs w:val="22"/>
                <w:lang w:val="en-GB" w:eastAsia="en-GB"/>
              </w:rPr>
              <w:t>)</w:t>
            </w:r>
          </w:p>
        </w:tc>
        <w:tc>
          <w:tcPr>
            <w:tcW w:w="1414" w:type="dxa"/>
            <w:tcBorders>
              <w:top w:val="nil"/>
              <w:left w:val="nil"/>
              <w:bottom w:val="single" w:sz="4" w:space="0" w:color="auto"/>
              <w:right w:val="nil"/>
            </w:tcBorders>
            <w:shd w:val="clear" w:color="auto" w:fill="auto"/>
            <w:noWrap/>
            <w:vAlign w:val="center"/>
            <w:hideMark/>
          </w:tcPr>
          <w:p w14:paraId="71D6F6F8" w14:textId="77777777" w:rsidR="0016323B" w:rsidRPr="000D67C6" w:rsidRDefault="00B9587B" w:rsidP="0016323B">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w:t>
            </w:r>
            <w:r w:rsidR="00472F30" w:rsidRPr="000D67C6">
              <w:rPr>
                <w:rFonts w:ascii="Arial" w:eastAsia="Times New Roman" w:hAnsi="Arial" w:cs="Arial"/>
                <w:color w:val="000000"/>
                <w:sz w:val="22"/>
                <w:szCs w:val="22"/>
                <w:lang w:val="en-GB" w:eastAsia="en-GB"/>
              </w:rPr>
              <w:t>52</w:t>
            </w:r>
            <w:r w:rsidRPr="000D67C6">
              <w:rPr>
                <w:rFonts w:ascii="Arial" w:eastAsia="Times New Roman" w:hAnsi="Arial" w:cs="Arial"/>
                <w:color w:val="000000"/>
                <w:sz w:val="22"/>
                <w:szCs w:val="22"/>
                <w:lang w:val="en-GB" w:eastAsia="en-GB"/>
              </w:rPr>
              <w:t>)</w:t>
            </w:r>
          </w:p>
        </w:tc>
      </w:tr>
      <w:tr w:rsidR="0016323B" w:rsidRPr="000D67C6" w14:paraId="3AB3E698" w14:textId="77777777" w:rsidTr="00631912">
        <w:trPr>
          <w:trHeight w:val="288"/>
        </w:trPr>
        <w:tc>
          <w:tcPr>
            <w:tcW w:w="3580" w:type="dxa"/>
            <w:tcBorders>
              <w:top w:val="single" w:sz="4" w:space="0" w:color="auto"/>
              <w:left w:val="nil"/>
              <w:bottom w:val="single" w:sz="4" w:space="0" w:color="auto"/>
              <w:right w:val="nil"/>
            </w:tcBorders>
            <w:shd w:val="clear" w:color="auto" w:fill="auto"/>
            <w:noWrap/>
            <w:vAlign w:val="center"/>
            <w:hideMark/>
          </w:tcPr>
          <w:p w14:paraId="0E9C35CE" w14:textId="77777777" w:rsidR="0016323B" w:rsidRPr="000D67C6" w:rsidRDefault="0016323B" w:rsidP="0016323B">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Net Book Value</w:t>
            </w:r>
          </w:p>
        </w:tc>
        <w:tc>
          <w:tcPr>
            <w:tcW w:w="1255" w:type="dxa"/>
            <w:tcBorders>
              <w:top w:val="single" w:sz="4" w:space="0" w:color="auto"/>
              <w:left w:val="nil"/>
              <w:bottom w:val="single" w:sz="4" w:space="0" w:color="auto"/>
              <w:right w:val="nil"/>
            </w:tcBorders>
            <w:vAlign w:val="center"/>
          </w:tcPr>
          <w:p w14:paraId="19C8D3D7" w14:textId="77777777" w:rsidR="00050238" w:rsidRPr="000D67C6" w:rsidRDefault="00050238" w:rsidP="00050238">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646</w:t>
            </w:r>
          </w:p>
        </w:tc>
        <w:tc>
          <w:tcPr>
            <w:tcW w:w="1414" w:type="dxa"/>
            <w:tcBorders>
              <w:top w:val="single" w:sz="4" w:space="0" w:color="auto"/>
              <w:left w:val="nil"/>
              <w:bottom w:val="single" w:sz="4" w:space="0" w:color="auto"/>
              <w:right w:val="nil"/>
            </w:tcBorders>
            <w:vAlign w:val="center"/>
          </w:tcPr>
          <w:p w14:paraId="487394D4" w14:textId="77777777" w:rsidR="00050238" w:rsidRPr="000D67C6" w:rsidRDefault="00050238" w:rsidP="00050238">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323</w:t>
            </w:r>
          </w:p>
        </w:tc>
        <w:tc>
          <w:tcPr>
            <w:tcW w:w="1300" w:type="dxa"/>
            <w:tcBorders>
              <w:top w:val="single" w:sz="4" w:space="0" w:color="auto"/>
              <w:left w:val="nil"/>
              <w:bottom w:val="single" w:sz="4" w:space="0" w:color="auto"/>
              <w:right w:val="nil"/>
            </w:tcBorders>
            <w:shd w:val="clear" w:color="auto" w:fill="auto"/>
            <w:noWrap/>
            <w:vAlign w:val="center"/>
            <w:hideMark/>
          </w:tcPr>
          <w:p w14:paraId="15216BED" w14:textId="77777777" w:rsidR="0016323B" w:rsidRPr="000D67C6" w:rsidRDefault="00472F30"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576</w:t>
            </w:r>
          </w:p>
        </w:tc>
        <w:tc>
          <w:tcPr>
            <w:tcW w:w="1414" w:type="dxa"/>
            <w:tcBorders>
              <w:top w:val="single" w:sz="4" w:space="0" w:color="auto"/>
              <w:left w:val="nil"/>
              <w:bottom w:val="single" w:sz="4" w:space="0" w:color="auto"/>
              <w:right w:val="nil"/>
            </w:tcBorders>
            <w:shd w:val="clear" w:color="auto" w:fill="auto"/>
            <w:noWrap/>
            <w:vAlign w:val="center"/>
            <w:hideMark/>
          </w:tcPr>
          <w:p w14:paraId="3E360D95" w14:textId="77777777" w:rsidR="0016323B" w:rsidRPr="000D67C6" w:rsidRDefault="00472F30" w:rsidP="0016323B">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288</w:t>
            </w:r>
          </w:p>
        </w:tc>
      </w:tr>
    </w:tbl>
    <w:p w14:paraId="22A22A6A" w14:textId="77777777" w:rsidR="008F013B" w:rsidRPr="000D67C6" w:rsidRDefault="002F5FB5" w:rsidP="008F013B">
      <w:pPr>
        <w:pStyle w:val="Heading1"/>
        <w:spacing w:line="259" w:lineRule="auto"/>
        <w:rPr>
          <w:rFonts w:ascii="Arial" w:hAnsi="Arial" w:cs="Arial"/>
          <w:sz w:val="28"/>
          <w:lang w:val="pt-BR"/>
        </w:rPr>
      </w:pPr>
      <w:r w:rsidRPr="000D67C6">
        <w:rPr>
          <w:rFonts w:ascii="Arial" w:hAnsi="Arial" w:cs="Arial"/>
          <w:sz w:val="28"/>
          <w:lang w:val="pt-BR"/>
        </w:rPr>
        <w:t>Note 27</w:t>
      </w:r>
      <w:r w:rsidR="008F013B" w:rsidRPr="000D67C6">
        <w:rPr>
          <w:rFonts w:ascii="Arial" w:hAnsi="Arial" w:cs="Arial"/>
          <w:sz w:val="28"/>
          <w:lang w:val="pt-BR"/>
        </w:rPr>
        <w:t xml:space="preserve"> - Capital Expenditure and Capital Financing</w:t>
      </w:r>
    </w:p>
    <w:p w14:paraId="4241EC24" w14:textId="77777777" w:rsidR="00CA36B7" w:rsidRPr="00055140" w:rsidRDefault="00CA36B7" w:rsidP="00CA36B7">
      <w:pPr>
        <w:rPr>
          <w:rFonts w:ascii="Arial" w:hAnsi="Arial" w:cs="Arial"/>
          <w:lang w:val="pt-BR"/>
        </w:rPr>
      </w:pPr>
    </w:p>
    <w:p w14:paraId="760CED6D" w14:textId="77777777" w:rsidR="008F013B" w:rsidRPr="000D67C6" w:rsidRDefault="008F013B" w:rsidP="00CA36B7">
      <w:pPr>
        <w:pStyle w:val="Normal0"/>
        <w:spacing w:after="160" w:line="259" w:lineRule="auto"/>
        <w:jc w:val="both"/>
        <w:rPr>
          <w:rFonts w:ascii="Arial" w:eastAsia="Calibri" w:hAnsi="Arial" w:cs="Arial"/>
          <w:sz w:val="22"/>
          <w:szCs w:val="22"/>
          <w:lang w:val="pt-BR"/>
        </w:rPr>
      </w:pPr>
      <w:r w:rsidRPr="000D67C6">
        <w:rPr>
          <w:rFonts w:ascii="Arial" w:eastAsia="Calibri" w:hAnsi="Arial" w:cs="Arial"/>
          <w:sz w:val="22"/>
          <w:szCs w:val="22"/>
          <w:lang w:val="pt-BR"/>
        </w:rPr>
        <w:t>The total amount of capital expenditure incurred in the y</w:t>
      </w:r>
      <w:r w:rsidR="00C141B0" w:rsidRPr="000D67C6">
        <w:rPr>
          <w:rFonts w:ascii="Arial" w:eastAsia="Calibri" w:hAnsi="Arial" w:cs="Arial"/>
          <w:sz w:val="22"/>
          <w:szCs w:val="22"/>
          <w:lang w:val="pt-BR"/>
        </w:rPr>
        <w:t xml:space="preserve">ear is shown in the table below, </w:t>
      </w:r>
      <w:r w:rsidRPr="000D67C6">
        <w:rPr>
          <w:rFonts w:ascii="Arial" w:eastAsia="Calibri" w:hAnsi="Arial" w:cs="Arial"/>
          <w:sz w:val="22"/>
          <w:szCs w:val="22"/>
          <w:lang w:val="pt-BR"/>
        </w:rPr>
        <w:t xml:space="preserve">together with the resources that have been used to finance it. Where capital expenditure is to be financed in future years by charges to revenue as assets are used by the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the expenditure results in an increase in the Capital Financing Requirement (CFR), a measure of the capital expenditure incurred historically by the </w:t>
      </w:r>
      <w:r w:rsidR="00197018" w:rsidRPr="000D67C6">
        <w:rPr>
          <w:rFonts w:ascii="Arial" w:eastAsia="Calibri" w:hAnsi="Arial" w:cs="Arial"/>
          <w:sz w:val="22"/>
          <w:szCs w:val="22"/>
          <w:lang w:val="pt-BR"/>
        </w:rPr>
        <w:t>Authority</w:t>
      </w:r>
      <w:r w:rsidRPr="000D67C6">
        <w:rPr>
          <w:rFonts w:ascii="Arial" w:eastAsia="Calibri" w:hAnsi="Arial" w:cs="Arial"/>
          <w:sz w:val="22"/>
          <w:szCs w:val="22"/>
          <w:lang w:val="pt-BR"/>
        </w:rPr>
        <w:t xml:space="preserve"> that has yet to be financed. The CFR is analysed in the second part of this note. </w:t>
      </w:r>
    </w:p>
    <w:tbl>
      <w:tblPr>
        <w:tblW w:w="0" w:type="auto"/>
        <w:tblInd w:w="709" w:type="dxa"/>
        <w:tblLayout w:type="fixed"/>
        <w:tblLook w:val="04A0" w:firstRow="1" w:lastRow="0" w:firstColumn="1" w:lastColumn="0" w:noHBand="0" w:noVBand="1"/>
      </w:tblPr>
      <w:tblGrid>
        <w:gridCol w:w="1255"/>
        <w:gridCol w:w="241"/>
        <w:gridCol w:w="4200"/>
        <w:gridCol w:w="258"/>
        <w:gridCol w:w="1767"/>
      </w:tblGrid>
      <w:tr w:rsidR="00464E99" w:rsidRPr="000D67C6" w14:paraId="051069D0" w14:textId="77777777" w:rsidTr="00E5008A">
        <w:trPr>
          <w:trHeight w:val="300"/>
        </w:trPr>
        <w:tc>
          <w:tcPr>
            <w:tcW w:w="1255" w:type="dxa"/>
            <w:shd w:val="clear" w:color="auto" w:fill="auto"/>
            <w:tcMar>
              <w:top w:w="20" w:type="dxa"/>
              <w:left w:w="20" w:type="dxa"/>
              <w:bottom w:w="20" w:type="dxa"/>
              <w:right w:w="20" w:type="dxa"/>
            </w:tcMar>
            <w:vAlign w:val="bottom"/>
          </w:tcPr>
          <w:p w14:paraId="68FD7252" w14:textId="77777777" w:rsidR="00464E99" w:rsidRPr="000D67C6" w:rsidRDefault="00EB2CB4" w:rsidP="00ED39A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8</w:t>
            </w:r>
          </w:p>
        </w:tc>
        <w:tc>
          <w:tcPr>
            <w:tcW w:w="241" w:type="dxa"/>
            <w:shd w:val="clear" w:color="auto" w:fill="auto"/>
            <w:tcMar>
              <w:top w:w="20" w:type="dxa"/>
              <w:left w:w="20" w:type="dxa"/>
              <w:bottom w:w="20" w:type="dxa"/>
              <w:right w:w="20" w:type="dxa"/>
            </w:tcMar>
          </w:tcPr>
          <w:p w14:paraId="5E179A37" w14:textId="77777777" w:rsidR="00464E99" w:rsidRPr="000D67C6" w:rsidRDefault="00464E99" w:rsidP="00ED39AD">
            <w:pPr>
              <w:pStyle w:val="T1TableStyle"/>
              <w:rPr>
                <w:rFonts w:ascii="Arial" w:eastAsia="Verdana" w:hAnsi="Arial" w:cs="Arial"/>
                <w:b/>
                <w:sz w:val="22"/>
                <w:szCs w:val="22"/>
                <w:lang w:val="pt-BR"/>
              </w:rPr>
            </w:pPr>
          </w:p>
        </w:tc>
        <w:tc>
          <w:tcPr>
            <w:tcW w:w="4200" w:type="dxa"/>
            <w:shd w:val="clear" w:color="auto" w:fill="auto"/>
            <w:tcMar>
              <w:top w:w="20" w:type="dxa"/>
              <w:left w:w="20" w:type="dxa"/>
              <w:bottom w:w="20" w:type="dxa"/>
              <w:right w:w="20" w:type="dxa"/>
            </w:tcMar>
          </w:tcPr>
          <w:p w14:paraId="4A84156F" w14:textId="77777777" w:rsidR="00464E99" w:rsidRPr="000D67C6" w:rsidRDefault="00464E99" w:rsidP="00ED39AD">
            <w:pPr>
              <w:pStyle w:val="T1TableStyle"/>
              <w:jc w:val="right"/>
              <w:rPr>
                <w:rFonts w:ascii="Arial" w:eastAsia="Verdana" w:hAnsi="Arial" w:cs="Arial"/>
                <w:b/>
                <w:sz w:val="22"/>
                <w:szCs w:val="22"/>
                <w:lang w:val="pt-BR"/>
              </w:rPr>
            </w:pPr>
          </w:p>
        </w:tc>
        <w:tc>
          <w:tcPr>
            <w:tcW w:w="2025" w:type="dxa"/>
            <w:gridSpan w:val="2"/>
            <w:shd w:val="clear" w:color="auto" w:fill="auto"/>
            <w:tcMar>
              <w:top w:w="20" w:type="dxa"/>
              <w:left w:w="20" w:type="dxa"/>
              <w:bottom w:w="20" w:type="dxa"/>
              <w:right w:w="20" w:type="dxa"/>
            </w:tcMar>
            <w:vAlign w:val="bottom"/>
          </w:tcPr>
          <w:p w14:paraId="48371AEA" w14:textId="77777777" w:rsidR="00464E99" w:rsidRPr="000D67C6" w:rsidRDefault="00EB2CB4" w:rsidP="00ED39AD">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9</w:t>
            </w:r>
          </w:p>
        </w:tc>
      </w:tr>
      <w:tr w:rsidR="00464E99" w:rsidRPr="000D67C6" w14:paraId="334D5C96" w14:textId="77777777" w:rsidTr="00E5008A">
        <w:trPr>
          <w:trHeight w:val="300"/>
        </w:trPr>
        <w:tc>
          <w:tcPr>
            <w:tcW w:w="1255" w:type="dxa"/>
            <w:tcBorders>
              <w:bottom w:val="single" w:sz="2" w:space="0" w:color="000000"/>
            </w:tcBorders>
            <w:shd w:val="clear" w:color="auto" w:fill="auto"/>
            <w:tcMar>
              <w:top w:w="20" w:type="dxa"/>
              <w:left w:w="20" w:type="dxa"/>
              <w:bottom w:w="20" w:type="dxa"/>
              <w:right w:w="20" w:type="dxa"/>
            </w:tcMar>
          </w:tcPr>
          <w:p w14:paraId="61B80C21"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41" w:type="dxa"/>
            <w:tcBorders>
              <w:bottom w:val="single" w:sz="2" w:space="0" w:color="000000"/>
            </w:tcBorders>
            <w:shd w:val="clear" w:color="auto" w:fill="auto"/>
            <w:tcMar>
              <w:top w:w="20" w:type="dxa"/>
              <w:left w:w="20" w:type="dxa"/>
              <w:bottom w:w="20" w:type="dxa"/>
              <w:right w:w="20" w:type="dxa"/>
            </w:tcMar>
          </w:tcPr>
          <w:p w14:paraId="6CB63756"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tcBorders>
              <w:bottom w:val="single" w:sz="2" w:space="0" w:color="000000"/>
            </w:tcBorders>
            <w:shd w:val="clear" w:color="auto" w:fill="auto"/>
            <w:tcMar>
              <w:top w:w="20" w:type="dxa"/>
              <w:left w:w="20" w:type="dxa"/>
              <w:bottom w:w="20" w:type="dxa"/>
              <w:right w:w="20" w:type="dxa"/>
            </w:tcMar>
          </w:tcPr>
          <w:p w14:paraId="2575C6EB"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2025" w:type="dxa"/>
            <w:gridSpan w:val="2"/>
            <w:tcBorders>
              <w:bottom w:val="single" w:sz="2" w:space="0" w:color="000000"/>
            </w:tcBorders>
            <w:shd w:val="clear" w:color="auto" w:fill="auto"/>
            <w:tcMar>
              <w:top w:w="20" w:type="dxa"/>
              <w:left w:w="20" w:type="dxa"/>
              <w:bottom w:w="20" w:type="dxa"/>
              <w:right w:w="20" w:type="dxa"/>
            </w:tcMar>
          </w:tcPr>
          <w:p w14:paraId="325CF5C5" w14:textId="77777777" w:rsidR="00464E99" w:rsidRPr="000D67C6" w:rsidRDefault="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F20D20" w:rsidRPr="000D67C6" w14:paraId="311B410F" w14:textId="77777777" w:rsidTr="005A7362">
        <w:trPr>
          <w:trHeight w:val="301"/>
        </w:trPr>
        <w:tc>
          <w:tcPr>
            <w:tcW w:w="1255" w:type="dxa"/>
            <w:shd w:val="clear" w:color="auto" w:fill="auto"/>
            <w:tcMar>
              <w:top w:w="20" w:type="dxa"/>
              <w:left w:w="20" w:type="dxa"/>
              <w:bottom w:w="20" w:type="dxa"/>
              <w:right w:w="20" w:type="dxa"/>
            </w:tcMar>
            <w:vAlign w:val="center"/>
          </w:tcPr>
          <w:p w14:paraId="39E5AE0D"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24,096</w:t>
            </w:r>
          </w:p>
        </w:tc>
        <w:tc>
          <w:tcPr>
            <w:tcW w:w="241" w:type="dxa"/>
            <w:shd w:val="clear" w:color="auto" w:fill="auto"/>
            <w:tcMar>
              <w:top w:w="20" w:type="dxa"/>
              <w:left w:w="20" w:type="dxa"/>
              <w:bottom w:w="20" w:type="dxa"/>
              <w:right w:w="20" w:type="dxa"/>
            </w:tcMar>
            <w:vAlign w:val="center"/>
          </w:tcPr>
          <w:p w14:paraId="3B52EE1B"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458" w:type="dxa"/>
            <w:gridSpan w:val="2"/>
            <w:shd w:val="clear" w:color="auto" w:fill="auto"/>
            <w:tcMar>
              <w:top w:w="20" w:type="dxa"/>
              <w:left w:w="20" w:type="dxa"/>
              <w:bottom w:w="20" w:type="dxa"/>
              <w:right w:w="20" w:type="dxa"/>
            </w:tcMar>
            <w:vAlign w:val="center"/>
          </w:tcPr>
          <w:p w14:paraId="7785634A" w14:textId="77777777" w:rsidR="00F20D20" w:rsidRPr="000D67C6" w:rsidRDefault="00F20D20" w:rsidP="00F20D20">
            <w:pPr>
              <w:pStyle w:val="T1TableStyle"/>
              <w:rPr>
                <w:rFonts w:ascii="Arial" w:eastAsia="Verdana" w:hAnsi="Arial" w:cs="Arial"/>
                <w:b/>
                <w:sz w:val="22"/>
                <w:szCs w:val="22"/>
                <w:lang w:val="pt-BR"/>
              </w:rPr>
            </w:pPr>
            <w:r w:rsidRPr="000D67C6">
              <w:rPr>
                <w:rFonts w:ascii="Arial" w:eastAsia="Verdana" w:hAnsi="Arial" w:cs="Arial"/>
                <w:b/>
                <w:sz w:val="22"/>
                <w:szCs w:val="22"/>
                <w:lang w:val="pt-BR"/>
              </w:rPr>
              <w:t>Opening Capital Financing Requirement</w:t>
            </w:r>
          </w:p>
        </w:tc>
        <w:tc>
          <w:tcPr>
            <w:tcW w:w="1767" w:type="dxa"/>
            <w:shd w:val="clear" w:color="auto" w:fill="auto"/>
            <w:tcMar>
              <w:top w:w="20" w:type="dxa"/>
              <w:left w:w="20" w:type="dxa"/>
              <w:bottom w:w="20" w:type="dxa"/>
              <w:right w:w="20" w:type="dxa"/>
            </w:tcMar>
            <w:vAlign w:val="center"/>
          </w:tcPr>
          <w:p w14:paraId="533EF3C9" w14:textId="77777777" w:rsidR="00F20D20" w:rsidRPr="000D67C6" w:rsidRDefault="00F855CE"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25,955</w:t>
            </w:r>
          </w:p>
        </w:tc>
      </w:tr>
      <w:tr w:rsidR="00F20D20" w:rsidRPr="000D67C6" w14:paraId="0EAE3C13" w14:textId="77777777" w:rsidTr="005A7362">
        <w:trPr>
          <w:trHeight w:val="301"/>
        </w:trPr>
        <w:tc>
          <w:tcPr>
            <w:tcW w:w="1255" w:type="dxa"/>
            <w:shd w:val="clear" w:color="auto" w:fill="auto"/>
            <w:tcMar>
              <w:top w:w="20" w:type="dxa"/>
              <w:left w:w="20" w:type="dxa"/>
              <w:bottom w:w="20" w:type="dxa"/>
              <w:right w:w="20" w:type="dxa"/>
            </w:tcMar>
            <w:vAlign w:val="center"/>
          </w:tcPr>
          <w:p w14:paraId="7D9BAA85" w14:textId="77777777" w:rsidR="00F20D20" w:rsidRPr="000D67C6" w:rsidRDefault="00F20D20" w:rsidP="00F20D20">
            <w:pPr>
              <w:pStyle w:val="T1TableStyle"/>
              <w:jc w:val="center"/>
              <w:rPr>
                <w:rFonts w:ascii="Arial" w:eastAsia="Verdana" w:hAnsi="Arial" w:cs="Arial"/>
                <w:sz w:val="22"/>
                <w:szCs w:val="22"/>
                <w:lang w:val="pt-BR"/>
              </w:rPr>
            </w:pPr>
          </w:p>
        </w:tc>
        <w:tc>
          <w:tcPr>
            <w:tcW w:w="241" w:type="dxa"/>
            <w:shd w:val="clear" w:color="auto" w:fill="auto"/>
            <w:tcMar>
              <w:top w:w="20" w:type="dxa"/>
              <w:left w:w="20" w:type="dxa"/>
              <w:bottom w:w="20" w:type="dxa"/>
              <w:right w:w="20" w:type="dxa"/>
            </w:tcMar>
            <w:vAlign w:val="center"/>
          </w:tcPr>
          <w:p w14:paraId="57E9BADC"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3CB25E37"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Capital Investment:</w:t>
            </w:r>
          </w:p>
        </w:tc>
        <w:tc>
          <w:tcPr>
            <w:tcW w:w="2025" w:type="dxa"/>
            <w:gridSpan w:val="2"/>
            <w:shd w:val="clear" w:color="auto" w:fill="auto"/>
            <w:tcMar>
              <w:top w:w="20" w:type="dxa"/>
              <w:left w:w="20" w:type="dxa"/>
              <w:bottom w:w="20" w:type="dxa"/>
              <w:right w:w="20" w:type="dxa"/>
            </w:tcMar>
            <w:vAlign w:val="center"/>
          </w:tcPr>
          <w:p w14:paraId="21D54B15" w14:textId="77777777" w:rsidR="00F20D20" w:rsidRPr="000D67C6" w:rsidRDefault="00F20D20" w:rsidP="00F20D20">
            <w:pPr>
              <w:pStyle w:val="T1TableStyle"/>
              <w:jc w:val="center"/>
              <w:rPr>
                <w:rFonts w:ascii="Arial" w:eastAsia="Verdana" w:hAnsi="Arial" w:cs="Arial"/>
                <w:sz w:val="22"/>
                <w:szCs w:val="22"/>
                <w:lang w:val="pt-BR"/>
              </w:rPr>
            </w:pPr>
          </w:p>
        </w:tc>
      </w:tr>
      <w:tr w:rsidR="00F20D20" w:rsidRPr="000D67C6" w14:paraId="4B538D2B" w14:textId="77777777" w:rsidTr="005A7362">
        <w:trPr>
          <w:trHeight w:val="301"/>
        </w:trPr>
        <w:tc>
          <w:tcPr>
            <w:tcW w:w="1255" w:type="dxa"/>
            <w:shd w:val="clear" w:color="auto" w:fill="auto"/>
            <w:tcMar>
              <w:top w:w="20" w:type="dxa"/>
              <w:left w:w="20" w:type="dxa"/>
              <w:bottom w:w="20" w:type="dxa"/>
              <w:right w:w="20" w:type="dxa"/>
            </w:tcMar>
            <w:vAlign w:val="center"/>
          </w:tcPr>
          <w:p w14:paraId="4D435767"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5,572</w:t>
            </w:r>
          </w:p>
        </w:tc>
        <w:tc>
          <w:tcPr>
            <w:tcW w:w="241" w:type="dxa"/>
            <w:shd w:val="clear" w:color="auto" w:fill="auto"/>
            <w:tcMar>
              <w:top w:w="20" w:type="dxa"/>
              <w:left w:w="20" w:type="dxa"/>
              <w:bottom w:w="20" w:type="dxa"/>
              <w:right w:w="20" w:type="dxa"/>
            </w:tcMar>
            <w:vAlign w:val="center"/>
          </w:tcPr>
          <w:p w14:paraId="2B7CF498"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73C02D74"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Property Plant and Equipment</w:t>
            </w:r>
          </w:p>
        </w:tc>
        <w:tc>
          <w:tcPr>
            <w:tcW w:w="2025" w:type="dxa"/>
            <w:gridSpan w:val="2"/>
            <w:shd w:val="clear" w:color="auto" w:fill="auto"/>
            <w:tcMar>
              <w:top w:w="20" w:type="dxa"/>
              <w:left w:w="20" w:type="dxa"/>
              <w:bottom w:w="20" w:type="dxa"/>
              <w:right w:w="20" w:type="dxa"/>
            </w:tcMar>
            <w:vAlign w:val="center"/>
          </w:tcPr>
          <w:p w14:paraId="2E9CAADC" w14:textId="77777777" w:rsidR="00F20D20" w:rsidRPr="000D67C6" w:rsidRDefault="00DB36F2"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2,248</w:t>
            </w:r>
          </w:p>
        </w:tc>
      </w:tr>
      <w:tr w:rsidR="00F20D20" w:rsidRPr="000D67C6" w14:paraId="08A1F4C5" w14:textId="77777777" w:rsidTr="005A7362">
        <w:trPr>
          <w:trHeight w:val="301"/>
        </w:trPr>
        <w:tc>
          <w:tcPr>
            <w:tcW w:w="1255" w:type="dxa"/>
            <w:shd w:val="clear" w:color="auto" w:fill="auto"/>
            <w:tcMar>
              <w:top w:w="20" w:type="dxa"/>
              <w:left w:w="20" w:type="dxa"/>
              <w:bottom w:w="20" w:type="dxa"/>
              <w:right w:w="20" w:type="dxa"/>
            </w:tcMar>
            <w:vAlign w:val="center"/>
          </w:tcPr>
          <w:p w14:paraId="5F5B7CE4"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469</w:t>
            </w:r>
          </w:p>
        </w:tc>
        <w:tc>
          <w:tcPr>
            <w:tcW w:w="241" w:type="dxa"/>
            <w:shd w:val="clear" w:color="auto" w:fill="auto"/>
            <w:tcMar>
              <w:top w:w="20" w:type="dxa"/>
              <w:left w:w="20" w:type="dxa"/>
              <w:bottom w:w="20" w:type="dxa"/>
              <w:right w:w="20" w:type="dxa"/>
            </w:tcMar>
            <w:vAlign w:val="center"/>
          </w:tcPr>
          <w:p w14:paraId="53D3219A"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65BCE490"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Intangible Assets</w:t>
            </w:r>
          </w:p>
        </w:tc>
        <w:tc>
          <w:tcPr>
            <w:tcW w:w="2025" w:type="dxa"/>
            <w:gridSpan w:val="2"/>
            <w:shd w:val="clear" w:color="auto" w:fill="auto"/>
            <w:tcMar>
              <w:top w:w="20" w:type="dxa"/>
              <w:left w:w="20" w:type="dxa"/>
              <w:bottom w:w="20" w:type="dxa"/>
              <w:right w:w="20" w:type="dxa"/>
            </w:tcMar>
            <w:vAlign w:val="center"/>
          </w:tcPr>
          <w:p w14:paraId="1A995D6E" w14:textId="77777777" w:rsidR="00F20D20" w:rsidRPr="000D67C6" w:rsidRDefault="00DB36F2"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136</w:t>
            </w:r>
          </w:p>
        </w:tc>
      </w:tr>
      <w:tr w:rsidR="00F20D20" w:rsidRPr="000D67C6" w14:paraId="3E4E666D" w14:textId="77777777" w:rsidTr="005A7362">
        <w:trPr>
          <w:trHeight w:val="301"/>
        </w:trPr>
        <w:tc>
          <w:tcPr>
            <w:tcW w:w="1255" w:type="dxa"/>
            <w:tcBorders>
              <w:top w:val="single" w:sz="2" w:space="0" w:color="000000"/>
            </w:tcBorders>
            <w:shd w:val="clear" w:color="auto" w:fill="auto"/>
            <w:tcMar>
              <w:top w:w="20" w:type="dxa"/>
              <w:left w:w="20" w:type="dxa"/>
              <w:bottom w:w="20" w:type="dxa"/>
              <w:right w:w="20" w:type="dxa"/>
            </w:tcMar>
            <w:vAlign w:val="center"/>
          </w:tcPr>
          <w:p w14:paraId="4837D8B2"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6,041</w:t>
            </w:r>
          </w:p>
        </w:tc>
        <w:tc>
          <w:tcPr>
            <w:tcW w:w="241" w:type="dxa"/>
            <w:tcBorders>
              <w:top w:val="single" w:sz="2" w:space="0" w:color="000000"/>
            </w:tcBorders>
            <w:shd w:val="clear" w:color="auto" w:fill="auto"/>
            <w:tcMar>
              <w:top w:w="20" w:type="dxa"/>
              <w:left w:w="20" w:type="dxa"/>
              <w:bottom w:w="20" w:type="dxa"/>
              <w:right w:w="20" w:type="dxa"/>
            </w:tcMar>
            <w:vAlign w:val="center"/>
          </w:tcPr>
          <w:p w14:paraId="2181082C"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tcBorders>
              <w:top w:val="single" w:sz="2" w:space="0" w:color="000000"/>
            </w:tcBorders>
            <w:shd w:val="clear" w:color="auto" w:fill="auto"/>
            <w:tcMar>
              <w:top w:w="20" w:type="dxa"/>
              <w:left w:w="20" w:type="dxa"/>
              <w:bottom w:w="20" w:type="dxa"/>
              <w:right w:w="20" w:type="dxa"/>
            </w:tcMar>
            <w:vAlign w:val="center"/>
          </w:tcPr>
          <w:p w14:paraId="6E233BD9" w14:textId="77777777" w:rsidR="00F20D20" w:rsidRPr="000D67C6" w:rsidRDefault="00F20D20" w:rsidP="00F20D20">
            <w:pPr>
              <w:pStyle w:val="T1TableStyle"/>
              <w:rPr>
                <w:rFonts w:ascii="Arial" w:eastAsia="Verdana" w:hAnsi="Arial" w:cs="Arial"/>
                <w:b/>
                <w:sz w:val="22"/>
                <w:szCs w:val="22"/>
                <w:lang w:val="pt-BR"/>
              </w:rPr>
            </w:pPr>
            <w:r w:rsidRPr="000D67C6">
              <w:rPr>
                <w:rFonts w:ascii="Arial" w:eastAsia="Verdana" w:hAnsi="Arial" w:cs="Arial"/>
                <w:b/>
                <w:sz w:val="22"/>
                <w:szCs w:val="22"/>
                <w:lang w:val="pt-BR"/>
              </w:rPr>
              <w:t>Total Capital Spending</w:t>
            </w:r>
          </w:p>
        </w:tc>
        <w:tc>
          <w:tcPr>
            <w:tcW w:w="2025" w:type="dxa"/>
            <w:gridSpan w:val="2"/>
            <w:tcBorders>
              <w:top w:val="single" w:sz="2" w:space="0" w:color="000000"/>
            </w:tcBorders>
            <w:shd w:val="clear" w:color="auto" w:fill="auto"/>
            <w:tcMar>
              <w:top w:w="20" w:type="dxa"/>
              <w:left w:w="20" w:type="dxa"/>
              <w:bottom w:w="20" w:type="dxa"/>
              <w:right w:w="20" w:type="dxa"/>
            </w:tcMar>
            <w:vAlign w:val="center"/>
          </w:tcPr>
          <w:p w14:paraId="58BBF90E" w14:textId="77777777" w:rsidR="00F20D20" w:rsidRPr="000D67C6" w:rsidRDefault="00DB36F2"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2,384</w:t>
            </w:r>
          </w:p>
        </w:tc>
      </w:tr>
      <w:tr w:rsidR="00F20D20" w:rsidRPr="000D67C6" w14:paraId="485CFD49" w14:textId="77777777" w:rsidTr="004F61FC">
        <w:trPr>
          <w:trHeight w:val="258"/>
        </w:trPr>
        <w:tc>
          <w:tcPr>
            <w:tcW w:w="1255" w:type="dxa"/>
            <w:shd w:val="clear" w:color="auto" w:fill="auto"/>
            <w:tcMar>
              <w:top w:w="20" w:type="dxa"/>
              <w:left w:w="20" w:type="dxa"/>
              <w:bottom w:w="20" w:type="dxa"/>
              <w:right w:w="20" w:type="dxa"/>
            </w:tcMar>
            <w:vAlign w:val="center"/>
          </w:tcPr>
          <w:p w14:paraId="60BC435B" w14:textId="77777777" w:rsidR="00F20D20" w:rsidRPr="000D67C6" w:rsidRDefault="00F20D20" w:rsidP="00F20D20">
            <w:pPr>
              <w:pStyle w:val="T1TableStyle"/>
              <w:rPr>
                <w:rFonts w:ascii="Arial" w:eastAsia="Verdana" w:hAnsi="Arial" w:cs="Arial"/>
                <w:sz w:val="22"/>
                <w:szCs w:val="22"/>
                <w:lang w:val="pt-BR"/>
              </w:rPr>
            </w:pPr>
          </w:p>
        </w:tc>
        <w:tc>
          <w:tcPr>
            <w:tcW w:w="241" w:type="dxa"/>
            <w:shd w:val="clear" w:color="auto" w:fill="auto"/>
            <w:tcMar>
              <w:top w:w="20" w:type="dxa"/>
              <w:left w:w="20" w:type="dxa"/>
              <w:bottom w:w="20" w:type="dxa"/>
              <w:right w:w="20" w:type="dxa"/>
            </w:tcMar>
            <w:vAlign w:val="center"/>
          </w:tcPr>
          <w:p w14:paraId="3170D925"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5147272C"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Sources of Finance:</w:t>
            </w:r>
          </w:p>
        </w:tc>
        <w:tc>
          <w:tcPr>
            <w:tcW w:w="2025" w:type="dxa"/>
            <w:gridSpan w:val="2"/>
            <w:shd w:val="clear" w:color="auto" w:fill="auto"/>
            <w:tcMar>
              <w:top w:w="20" w:type="dxa"/>
              <w:left w:w="20" w:type="dxa"/>
              <w:bottom w:w="20" w:type="dxa"/>
              <w:right w:w="20" w:type="dxa"/>
            </w:tcMar>
            <w:vAlign w:val="center"/>
          </w:tcPr>
          <w:p w14:paraId="31B6AECF" w14:textId="77777777" w:rsidR="00F20D20" w:rsidRPr="000D67C6" w:rsidRDefault="00F20D20" w:rsidP="00F20D20">
            <w:pPr>
              <w:pStyle w:val="T1TableStyle"/>
              <w:jc w:val="center"/>
              <w:rPr>
                <w:rFonts w:ascii="Arial" w:eastAsia="Verdana" w:hAnsi="Arial" w:cs="Arial"/>
                <w:sz w:val="22"/>
                <w:szCs w:val="22"/>
                <w:lang w:val="pt-BR"/>
              </w:rPr>
            </w:pPr>
          </w:p>
        </w:tc>
      </w:tr>
      <w:tr w:rsidR="00F20D20" w:rsidRPr="000D67C6" w14:paraId="6726EDEB" w14:textId="77777777" w:rsidTr="004F61FC">
        <w:trPr>
          <w:trHeight w:val="375"/>
        </w:trPr>
        <w:tc>
          <w:tcPr>
            <w:tcW w:w="1255" w:type="dxa"/>
            <w:shd w:val="clear" w:color="auto" w:fill="auto"/>
            <w:tcMar>
              <w:top w:w="20" w:type="dxa"/>
              <w:left w:w="20" w:type="dxa"/>
              <w:bottom w:w="20" w:type="dxa"/>
              <w:right w:w="20" w:type="dxa"/>
            </w:tcMar>
            <w:vAlign w:val="center"/>
          </w:tcPr>
          <w:p w14:paraId="326DBB4D"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(21)</w:t>
            </w:r>
          </w:p>
        </w:tc>
        <w:tc>
          <w:tcPr>
            <w:tcW w:w="241" w:type="dxa"/>
            <w:shd w:val="clear" w:color="auto" w:fill="auto"/>
            <w:tcMar>
              <w:top w:w="20" w:type="dxa"/>
              <w:left w:w="20" w:type="dxa"/>
              <w:bottom w:w="20" w:type="dxa"/>
              <w:right w:w="20" w:type="dxa"/>
            </w:tcMar>
            <w:vAlign w:val="center"/>
          </w:tcPr>
          <w:p w14:paraId="36B75463"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322D2485"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Capital receipts</w:t>
            </w:r>
          </w:p>
        </w:tc>
        <w:tc>
          <w:tcPr>
            <w:tcW w:w="2025" w:type="dxa"/>
            <w:gridSpan w:val="2"/>
            <w:shd w:val="clear" w:color="auto" w:fill="auto"/>
            <w:tcMar>
              <w:top w:w="20" w:type="dxa"/>
              <w:left w:w="20" w:type="dxa"/>
              <w:bottom w:w="20" w:type="dxa"/>
              <w:right w:w="20" w:type="dxa"/>
            </w:tcMar>
            <w:vAlign w:val="center"/>
          </w:tcPr>
          <w:p w14:paraId="08DED1E5" w14:textId="77777777" w:rsidR="00F20D20" w:rsidRPr="000D67C6" w:rsidRDefault="00B8055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(118)</w:t>
            </w:r>
          </w:p>
        </w:tc>
      </w:tr>
      <w:tr w:rsidR="00F20D20" w:rsidRPr="000D67C6" w14:paraId="7F2432FD" w14:textId="77777777" w:rsidTr="005A7362">
        <w:trPr>
          <w:trHeight w:val="301"/>
        </w:trPr>
        <w:tc>
          <w:tcPr>
            <w:tcW w:w="1255" w:type="dxa"/>
            <w:shd w:val="clear" w:color="auto" w:fill="auto"/>
            <w:tcMar>
              <w:top w:w="20" w:type="dxa"/>
              <w:left w:w="20" w:type="dxa"/>
              <w:bottom w:w="20" w:type="dxa"/>
              <w:right w:w="20" w:type="dxa"/>
            </w:tcMar>
            <w:vAlign w:val="center"/>
          </w:tcPr>
          <w:p w14:paraId="5B824542"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(979)</w:t>
            </w:r>
          </w:p>
        </w:tc>
        <w:tc>
          <w:tcPr>
            <w:tcW w:w="241" w:type="dxa"/>
            <w:shd w:val="clear" w:color="auto" w:fill="auto"/>
            <w:tcMar>
              <w:top w:w="20" w:type="dxa"/>
              <w:left w:w="20" w:type="dxa"/>
              <w:bottom w:w="20" w:type="dxa"/>
              <w:right w:w="20" w:type="dxa"/>
            </w:tcMar>
            <w:vAlign w:val="center"/>
          </w:tcPr>
          <w:p w14:paraId="2FA7DC9B"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55C6E1CD"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Government Grants and other contributions/donations</w:t>
            </w:r>
          </w:p>
        </w:tc>
        <w:tc>
          <w:tcPr>
            <w:tcW w:w="2025" w:type="dxa"/>
            <w:gridSpan w:val="2"/>
            <w:shd w:val="clear" w:color="auto" w:fill="auto"/>
            <w:tcMar>
              <w:top w:w="20" w:type="dxa"/>
              <w:left w:w="20" w:type="dxa"/>
              <w:bottom w:w="20" w:type="dxa"/>
              <w:right w:w="20" w:type="dxa"/>
            </w:tcMar>
            <w:vAlign w:val="center"/>
          </w:tcPr>
          <w:p w14:paraId="49D157DA" w14:textId="77777777" w:rsidR="00F20D20" w:rsidRPr="000D67C6" w:rsidRDefault="00B80555"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(369)</w:t>
            </w:r>
          </w:p>
        </w:tc>
      </w:tr>
      <w:tr w:rsidR="00F20D20" w:rsidRPr="000D67C6" w14:paraId="38CEA8DF" w14:textId="77777777" w:rsidTr="005A7362">
        <w:trPr>
          <w:trHeight w:val="301"/>
        </w:trPr>
        <w:tc>
          <w:tcPr>
            <w:tcW w:w="1255" w:type="dxa"/>
            <w:shd w:val="clear" w:color="auto" w:fill="auto"/>
            <w:tcMar>
              <w:top w:w="20" w:type="dxa"/>
              <w:left w:w="20" w:type="dxa"/>
              <w:bottom w:w="20" w:type="dxa"/>
              <w:right w:w="20" w:type="dxa"/>
            </w:tcMar>
            <w:vAlign w:val="center"/>
          </w:tcPr>
          <w:p w14:paraId="2AC50A39" w14:textId="77777777" w:rsidR="00F20D20" w:rsidRPr="000D67C6" w:rsidRDefault="00F20D20" w:rsidP="00F20D20">
            <w:pPr>
              <w:pStyle w:val="T1TableStyle"/>
              <w:jc w:val="center"/>
              <w:rPr>
                <w:rFonts w:ascii="Arial" w:eastAsia="Verdana" w:hAnsi="Arial" w:cs="Arial"/>
                <w:sz w:val="22"/>
                <w:szCs w:val="22"/>
                <w:lang w:val="pt-BR"/>
              </w:rPr>
            </w:pPr>
          </w:p>
        </w:tc>
        <w:tc>
          <w:tcPr>
            <w:tcW w:w="241" w:type="dxa"/>
            <w:shd w:val="clear" w:color="auto" w:fill="auto"/>
            <w:tcMar>
              <w:top w:w="20" w:type="dxa"/>
              <w:left w:w="20" w:type="dxa"/>
              <w:bottom w:w="20" w:type="dxa"/>
              <w:right w:w="20" w:type="dxa"/>
            </w:tcMar>
            <w:vAlign w:val="center"/>
          </w:tcPr>
          <w:p w14:paraId="6425FF5A"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shd w:val="clear" w:color="auto" w:fill="auto"/>
            <w:tcMar>
              <w:top w:w="20" w:type="dxa"/>
              <w:left w:w="20" w:type="dxa"/>
              <w:bottom w:w="20" w:type="dxa"/>
              <w:right w:w="20" w:type="dxa"/>
            </w:tcMar>
            <w:vAlign w:val="center"/>
          </w:tcPr>
          <w:p w14:paraId="20C206F3"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Sums set aside from revenue:</w:t>
            </w:r>
          </w:p>
        </w:tc>
        <w:tc>
          <w:tcPr>
            <w:tcW w:w="2025" w:type="dxa"/>
            <w:gridSpan w:val="2"/>
            <w:shd w:val="clear" w:color="auto" w:fill="auto"/>
            <w:tcMar>
              <w:top w:w="20" w:type="dxa"/>
              <w:left w:w="20" w:type="dxa"/>
              <w:bottom w:w="20" w:type="dxa"/>
              <w:right w:w="20" w:type="dxa"/>
            </w:tcMar>
            <w:vAlign w:val="center"/>
          </w:tcPr>
          <w:p w14:paraId="4E91574B" w14:textId="77777777" w:rsidR="00F20D20" w:rsidRPr="000D67C6" w:rsidRDefault="00F20D20" w:rsidP="00F20D20">
            <w:pPr>
              <w:pStyle w:val="T1TableStyle"/>
              <w:jc w:val="center"/>
              <w:rPr>
                <w:rFonts w:ascii="Arial" w:eastAsia="Verdana" w:hAnsi="Arial" w:cs="Arial"/>
                <w:sz w:val="22"/>
                <w:szCs w:val="22"/>
                <w:lang w:val="pt-BR"/>
              </w:rPr>
            </w:pPr>
          </w:p>
        </w:tc>
      </w:tr>
      <w:tr w:rsidR="00F20D20" w:rsidRPr="000D67C6" w14:paraId="73DDA9A8" w14:textId="77777777" w:rsidTr="005A7362">
        <w:trPr>
          <w:trHeight w:val="301"/>
        </w:trPr>
        <w:tc>
          <w:tcPr>
            <w:tcW w:w="1255" w:type="dxa"/>
            <w:shd w:val="clear" w:color="auto" w:fill="auto"/>
            <w:tcMar>
              <w:top w:w="20" w:type="dxa"/>
              <w:left w:w="20" w:type="dxa"/>
              <w:bottom w:w="20" w:type="dxa"/>
              <w:right w:w="20" w:type="dxa"/>
            </w:tcMar>
            <w:vAlign w:val="center"/>
          </w:tcPr>
          <w:p w14:paraId="6B313792"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(1,320)</w:t>
            </w:r>
          </w:p>
        </w:tc>
        <w:tc>
          <w:tcPr>
            <w:tcW w:w="241" w:type="dxa"/>
            <w:shd w:val="clear" w:color="auto" w:fill="auto"/>
            <w:tcMar>
              <w:top w:w="20" w:type="dxa"/>
              <w:left w:w="20" w:type="dxa"/>
              <w:bottom w:w="20" w:type="dxa"/>
              <w:right w:w="20" w:type="dxa"/>
            </w:tcMar>
            <w:vAlign w:val="center"/>
          </w:tcPr>
          <w:p w14:paraId="5A2DBD98" w14:textId="77777777" w:rsidR="00F20D20" w:rsidRPr="000D67C6" w:rsidRDefault="00F20D20" w:rsidP="00F20D20">
            <w:pPr>
              <w:pStyle w:val="T1TableStyle"/>
              <w:jc w:val="right"/>
              <w:rPr>
                <w:rFonts w:ascii="Arial" w:eastAsia="Verdana" w:hAnsi="Arial" w:cs="Arial"/>
                <w:b/>
                <w:sz w:val="22"/>
                <w:szCs w:val="22"/>
                <w:lang w:val="pt-BR"/>
              </w:rPr>
            </w:pPr>
          </w:p>
        </w:tc>
        <w:tc>
          <w:tcPr>
            <w:tcW w:w="4200" w:type="dxa"/>
            <w:shd w:val="clear" w:color="auto" w:fill="auto"/>
            <w:tcMar>
              <w:top w:w="20" w:type="dxa"/>
              <w:left w:w="20" w:type="dxa"/>
              <w:bottom w:w="20" w:type="dxa"/>
              <w:right w:w="20" w:type="dxa"/>
            </w:tcMar>
            <w:vAlign w:val="center"/>
          </w:tcPr>
          <w:p w14:paraId="27CF5D3E"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Direct Revenue Contributions</w:t>
            </w:r>
          </w:p>
        </w:tc>
        <w:tc>
          <w:tcPr>
            <w:tcW w:w="2025" w:type="dxa"/>
            <w:gridSpan w:val="2"/>
            <w:shd w:val="clear" w:color="auto" w:fill="auto"/>
            <w:tcMar>
              <w:top w:w="20" w:type="dxa"/>
              <w:left w:w="20" w:type="dxa"/>
              <w:bottom w:w="20" w:type="dxa"/>
              <w:right w:w="20" w:type="dxa"/>
            </w:tcMar>
            <w:vAlign w:val="center"/>
          </w:tcPr>
          <w:p w14:paraId="5938D203" w14:textId="77777777" w:rsidR="00F20D20" w:rsidRPr="000D67C6" w:rsidRDefault="009535B9"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(332)</w:t>
            </w:r>
          </w:p>
        </w:tc>
      </w:tr>
      <w:tr w:rsidR="00F20D20" w:rsidRPr="000D67C6" w14:paraId="13F8CE07" w14:textId="77777777" w:rsidTr="005A7362">
        <w:trPr>
          <w:trHeight w:val="301"/>
        </w:trPr>
        <w:tc>
          <w:tcPr>
            <w:tcW w:w="1255" w:type="dxa"/>
            <w:shd w:val="clear" w:color="auto" w:fill="auto"/>
            <w:tcMar>
              <w:top w:w="20" w:type="dxa"/>
              <w:left w:w="20" w:type="dxa"/>
              <w:bottom w:w="20" w:type="dxa"/>
              <w:right w:w="20" w:type="dxa"/>
            </w:tcMar>
            <w:vAlign w:val="center"/>
          </w:tcPr>
          <w:p w14:paraId="19C299CE" w14:textId="77777777" w:rsidR="00F20D20" w:rsidRPr="000D67C6" w:rsidRDefault="00F20D20" w:rsidP="00F20D20">
            <w:pPr>
              <w:pStyle w:val="T1TableStyle"/>
              <w:jc w:val="right"/>
              <w:rPr>
                <w:rFonts w:ascii="Arial" w:eastAsia="Verdana" w:hAnsi="Arial" w:cs="Arial"/>
                <w:sz w:val="22"/>
                <w:szCs w:val="22"/>
                <w:lang w:val="pt-BR"/>
              </w:rPr>
            </w:pPr>
          </w:p>
        </w:tc>
        <w:tc>
          <w:tcPr>
            <w:tcW w:w="241" w:type="dxa"/>
            <w:shd w:val="clear" w:color="auto" w:fill="auto"/>
            <w:tcMar>
              <w:top w:w="20" w:type="dxa"/>
              <w:left w:w="20" w:type="dxa"/>
              <w:bottom w:w="20" w:type="dxa"/>
              <w:right w:w="20" w:type="dxa"/>
            </w:tcMar>
            <w:vAlign w:val="center"/>
          </w:tcPr>
          <w:p w14:paraId="59932C68" w14:textId="77777777" w:rsidR="00F20D20" w:rsidRPr="000D67C6" w:rsidRDefault="00F20D20" w:rsidP="00F20D20">
            <w:pPr>
              <w:pStyle w:val="T1TableStyle"/>
              <w:jc w:val="right"/>
              <w:rPr>
                <w:rFonts w:ascii="Arial" w:eastAsia="Verdana" w:hAnsi="Arial" w:cs="Arial"/>
                <w:b/>
                <w:sz w:val="22"/>
                <w:szCs w:val="22"/>
                <w:lang w:val="pt-BR"/>
              </w:rPr>
            </w:pPr>
          </w:p>
        </w:tc>
        <w:tc>
          <w:tcPr>
            <w:tcW w:w="4200" w:type="dxa"/>
            <w:shd w:val="clear" w:color="auto" w:fill="auto"/>
            <w:tcMar>
              <w:top w:w="20" w:type="dxa"/>
              <w:left w:w="20" w:type="dxa"/>
              <w:bottom w:w="20" w:type="dxa"/>
              <w:right w:w="20" w:type="dxa"/>
            </w:tcMar>
            <w:vAlign w:val="center"/>
          </w:tcPr>
          <w:p w14:paraId="7E1B70F0"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Minimum revenue provision:</w:t>
            </w:r>
          </w:p>
        </w:tc>
        <w:tc>
          <w:tcPr>
            <w:tcW w:w="2025" w:type="dxa"/>
            <w:gridSpan w:val="2"/>
            <w:shd w:val="clear" w:color="auto" w:fill="auto"/>
            <w:tcMar>
              <w:top w:w="20" w:type="dxa"/>
              <w:left w:w="20" w:type="dxa"/>
              <w:bottom w:w="20" w:type="dxa"/>
              <w:right w:w="20" w:type="dxa"/>
            </w:tcMar>
            <w:vAlign w:val="center"/>
          </w:tcPr>
          <w:p w14:paraId="7DC89B3F" w14:textId="77777777" w:rsidR="00F20D20" w:rsidRPr="000D67C6" w:rsidRDefault="00F20D20" w:rsidP="00F20D20">
            <w:pPr>
              <w:pStyle w:val="T1TableStyle"/>
              <w:jc w:val="right"/>
              <w:rPr>
                <w:rFonts w:ascii="Arial" w:eastAsia="Verdana" w:hAnsi="Arial" w:cs="Arial"/>
                <w:sz w:val="22"/>
                <w:szCs w:val="22"/>
                <w:lang w:val="pt-BR"/>
              </w:rPr>
            </w:pPr>
          </w:p>
        </w:tc>
      </w:tr>
      <w:tr w:rsidR="00F20D20" w:rsidRPr="000D67C6" w14:paraId="0F462245" w14:textId="77777777" w:rsidTr="005A7362">
        <w:trPr>
          <w:trHeight w:val="301"/>
        </w:trPr>
        <w:tc>
          <w:tcPr>
            <w:tcW w:w="1255" w:type="dxa"/>
            <w:shd w:val="clear" w:color="auto" w:fill="auto"/>
            <w:tcMar>
              <w:top w:w="20" w:type="dxa"/>
              <w:left w:w="20" w:type="dxa"/>
              <w:bottom w:w="20" w:type="dxa"/>
              <w:right w:w="20" w:type="dxa"/>
            </w:tcMar>
            <w:vAlign w:val="center"/>
          </w:tcPr>
          <w:p w14:paraId="4B04AC0C"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(238)</w:t>
            </w:r>
          </w:p>
        </w:tc>
        <w:tc>
          <w:tcPr>
            <w:tcW w:w="241" w:type="dxa"/>
            <w:shd w:val="clear" w:color="auto" w:fill="auto"/>
            <w:tcMar>
              <w:top w:w="20" w:type="dxa"/>
              <w:left w:w="20" w:type="dxa"/>
              <w:bottom w:w="20" w:type="dxa"/>
              <w:right w:w="20" w:type="dxa"/>
            </w:tcMar>
            <w:vAlign w:val="center"/>
          </w:tcPr>
          <w:p w14:paraId="0D492978" w14:textId="77777777" w:rsidR="00F20D20" w:rsidRPr="000D67C6" w:rsidRDefault="00F20D20" w:rsidP="00F20D20">
            <w:pPr>
              <w:pStyle w:val="T1TableStyle"/>
              <w:jc w:val="right"/>
              <w:rPr>
                <w:rFonts w:ascii="Arial" w:eastAsia="Verdana" w:hAnsi="Arial" w:cs="Arial"/>
                <w:b/>
                <w:sz w:val="22"/>
                <w:szCs w:val="22"/>
                <w:lang w:val="pt-BR"/>
              </w:rPr>
            </w:pPr>
          </w:p>
        </w:tc>
        <w:tc>
          <w:tcPr>
            <w:tcW w:w="4200" w:type="dxa"/>
            <w:shd w:val="clear" w:color="auto" w:fill="auto"/>
            <w:tcMar>
              <w:top w:w="20" w:type="dxa"/>
              <w:left w:w="20" w:type="dxa"/>
              <w:bottom w:w="20" w:type="dxa"/>
              <w:right w:w="20" w:type="dxa"/>
            </w:tcMar>
            <w:vAlign w:val="center"/>
          </w:tcPr>
          <w:p w14:paraId="4AC8A3A7"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 xml:space="preserve">Option 1 – expenditure pre 31 March 2009       </w:t>
            </w:r>
          </w:p>
        </w:tc>
        <w:tc>
          <w:tcPr>
            <w:tcW w:w="2025" w:type="dxa"/>
            <w:gridSpan w:val="2"/>
            <w:shd w:val="clear" w:color="auto" w:fill="auto"/>
            <w:tcMar>
              <w:top w:w="20" w:type="dxa"/>
              <w:left w:w="20" w:type="dxa"/>
              <w:bottom w:w="20" w:type="dxa"/>
              <w:right w:w="20" w:type="dxa"/>
            </w:tcMar>
            <w:vAlign w:val="center"/>
          </w:tcPr>
          <w:p w14:paraId="0E3B2D51" w14:textId="77777777" w:rsidR="00F20D20" w:rsidRPr="000D67C6" w:rsidRDefault="009535B9"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(229)</w:t>
            </w:r>
          </w:p>
        </w:tc>
      </w:tr>
      <w:tr w:rsidR="00F20D20" w:rsidRPr="000D67C6" w14:paraId="49D820B4" w14:textId="77777777" w:rsidTr="005A7362">
        <w:trPr>
          <w:trHeight w:val="301"/>
        </w:trPr>
        <w:tc>
          <w:tcPr>
            <w:tcW w:w="1255" w:type="dxa"/>
            <w:shd w:val="clear" w:color="auto" w:fill="auto"/>
            <w:tcMar>
              <w:top w:w="20" w:type="dxa"/>
              <w:left w:w="20" w:type="dxa"/>
              <w:bottom w:w="20" w:type="dxa"/>
              <w:right w:w="20" w:type="dxa"/>
            </w:tcMar>
            <w:vAlign w:val="center"/>
          </w:tcPr>
          <w:p w14:paraId="109D5A21"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(840)</w:t>
            </w:r>
          </w:p>
        </w:tc>
        <w:tc>
          <w:tcPr>
            <w:tcW w:w="241" w:type="dxa"/>
            <w:shd w:val="clear" w:color="auto" w:fill="auto"/>
            <w:tcMar>
              <w:top w:w="20" w:type="dxa"/>
              <w:left w:w="20" w:type="dxa"/>
              <w:bottom w:w="20" w:type="dxa"/>
              <w:right w:w="20" w:type="dxa"/>
            </w:tcMar>
            <w:vAlign w:val="center"/>
          </w:tcPr>
          <w:p w14:paraId="7F976C24" w14:textId="77777777" w:rsidR="00F20D20" w:rsidRPr="000D67C6" w:rsidRDefault="00F20D20" w:rsidP="00F20D20">
            <w:pPr>
              <w:pStyle w:val="T1TableStyle"/>
              <w:jc w:val="right"/>
              <w:rPr>
                <w:rFonts w:ascii="Arial" w:eastAsia="Verdana" w:hAnsi="Arial" w:cs="Arial"/>
                <w:b/>
                <w:sz w:val="22"/>
                <w:szCs w:val="22"/>
                <w:lang w:val="pt-BR"/>
              </w:rPr>
            </w:pPr>
          </w:p>
        </w:tc>
        <w:tc>
          <w:tcPr>
            <w:tcW w:w="4200" w:type="dxa"/>
            <w:shd w:val="clear" w:color="auto" w:fill="auto"/>
            <w:tcMar>
              <w:top w:w="20" w:type="dxa"/>
              <w:left w:w="20" w:type="dxa"/>
              <w:bottom w:w="20" w:type="dxa"/>
              <w:right w:w="20" w:type="dxa"/>
            </w:tcMar>
            <w:vAlign w:val="center"/>
          </w:tcPr>
          <w:p w14:paraId="6F1C9E35"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Option 3 – expenditure post 1 April 2009</w:t>
            </w:r>
          </w:p>
        </w:tc>
        <w:tc>
          <w:tcPr>
            <w:tcW w:w="2025" w:type="dxa"/>
            <w:gridSpan w:val="2"/>
            <w:shd w:val="clear" w:color="auto" w:fill="auto"/>
            <w:tcMar>
              <w:top w:w="20" w:type="dxa"/>
              <w:left w:w="20" w:type="dxa"/>
              <w:bottom w:w="20" w:type="dxa"/>
              <w:right w:w="20" w:type="dxa"/>
            </w:tcMar>
            <w:vAlign w:val="center"/>
          </w:tcPr>
          <w:p w14:paraId="37EE3E48" w14:textId="77777777" w:rsidR="00F20D20" w:rsidRPr="000D67C6" w:rsidRDefault="009535B9"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(983)</w:t>
            </w:r>
          </w:p>
        </w:tc>
      </w:tr>
      <w:tr w:rsidR="00F20D20" w:rsidRPr="000D67C6" w14:paraId="321BB1AE" w14:textId="77777777" w:rsidTr="00BE3179">
        <w:trPr>
          <w:trHeight w:val="234"/>
        </w:trPr>
        <w:tc>
          <w:tcPr>
            <w:tcW w:w="1255" w:type="dxa"/>
            <w:shd w:val="clear" w:color="auto" w:fill="auto"/>
            <w:tcMar>
              <w:top w:w="20" w:type="dxa"/>
              <w:left w:w="20" w:type="dxa"/>
              <w:bottom w:w="20" w:type="dxa"/>
              <w:right w:w="20" w:type="dxa"/>
            </w:tcMar>
            <w:vAlign w:val="center"/>
          </w:tcPr>
          <w:p w14:paraId="036B7D59" w14:textId="77777777" w:rsidR="00F20D20" w:rsidRPr="000D67C6" w:rsidRDefault="00F20D20"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(784)</w:t>
            </w:r>
          </w:p>
        </w:tc>
        <w:tc>
          <w:tcPr>
            <w:tcW w:w="241" w:type="dxa"/>
            <w:shd w:val="clear" w:color="auto" w:fill="auto"/>
            <w:tcMar>
              <w:top w:w="20" w:type="dxa"/>
              <w:left w:w="20" w:type="dxa"/>
              <w:bottom w:w="20" w:type="dxa"/>
              <w:right w:w="20" w:type="dxa"/>
            </w:tcMar>
            <w:vAlign w:val="center"/>
          </w:tcPr>
          <w:p w14:paraId="4DB47EA5" w14:textId="77777777" w:rsidR="00F20D20" w:rsidRPr="000D67C6" w:rsidRDefault="00F20D20" w:rsidP="00F20D20">
            <w:pPr>
              <w:pStyle w:val="T1TableStyle"/>
              <w:tabs>
                <w:tab w:val="right" w:pos="196"/>
              </w:tabs>
              <w:jc w:val="right"/>
              <w:rPr>
                <w:rFonts w:ascii="Arial" w:eastAsia="Verdana" w:hAnsi="Arial" w:cs="Arial"/>
                <w:b/>
                <w:sz w:val="22"/>
                <w:szCs w:val="22"/>
                <w:lang w:val="pt-BR"/>
              </w:rPr>
            </w:pPr>
            <w:r w:rsidRPr="000D67C6">
              <w:rPr>
                <w:rFonts w:ascii="Arial" w:eastAsia="Verdana" w:hAnsi="Arial" w:cs="Arial"/>
                <w:b/>
                <w:sz w:val="22"/>
                <w:szCs w:val="22"/>
                <w:lang w:val="pt-BR"/>
              </w:rPr>
              <w:tab/>
              <w:t xml:space="preserve"> </w:t>
            </w:r>
          </w:p>
        </w:tc>
        <w:tc>
          <w:tcPr>
            <w:tcW w:w="4200" w:type="dxa"/>
            <w:shd w:val="clear" w:color="auto" w:fill="auto"/>
            <w:tcMar>
              <w:top w:w="20" w:type="dxa"/>
              <w:left w:w="20" w:type="dxa"/>
              <w:bottom w:w="20" w:type="dxa"/>
              <w:right w:w="20" w:type="dxa"/>
            </w:tcMar>
            <w:vAlign w:val="center"/>
          </w:tcPr>
          <w:p w14:paraId="206B6C71" w14:textId="77777777" w:rsidR="00F20D20" w:rsidRPr="000D67C6" w:rsidRDefault="00F20D20" w:rsidP="00F20D20">
            <w:pPr>
              <w:pStyle w:val="T1TableStyle"/>
              <w:rPr>
                <w:rFonts w:ascii="Arial" w:eastAsia="Verdana" w:hAnsi="Arial" w:cs="Arial"/>
                <w:sz w:val="22"/>
                <w:szCs w:val="22"/>
                <w:lang w:val="pt-BR"/>
              </w:rPr>
            </w:pPr>
            <w:r w:rsidRPr="000D67C6">
              <w:rPr>
                <w:rFonts w:ascii="Arial" w:eastAsia="Verdana" w:hAnsi="Arial" w:cs="Arial"/>
                <w:sz w:val="22"/>
                <w:szCs w:val="22"/>
                <w:lang w:val="pt-BR"/>
              </w:rPr>
              <w:t>Finance Leases</w:t>
            </w:r>
          </w:p>
        </w:tc>
        <w:tc>
          <w:tcPr>
            <w:tcW w:w="2025" w:type="dxa"/>
            <w:gridSpan w:val="2"/>
            <w:shd w:val="clear" w:color="auto" w:fill="auto"/>
            <w:tcMar>
              <w:top w:w="20" w:type="dxa"/>
              <w:left w:w="20" w:type="dxa"/>
              <w:bottom w:w="20" w:type="dxa"/>
              <w:right w:w="20" w:type="dxa"/>
            </w:tcMar>
            <w:vAlign w:val="center"/>
          </w:tcPr>
          <w:p w14:paraId="542BDF20" w14:textId="77777777" w:rsidR="00F20D20" w:rsidRPr="000D67C6" w:rsidRDefault="009535B9" w:rsidP="00F20D20">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(729)</w:t>
            </w:r>
          </w:p>
        </w:tc>
      </w:tr>
      <w:tr w:rsidR="00F20D20" w:rsidRPr="000D67C6" w14:paraId="11B274D1" w14:textId="77777777" w:rsidTr="00BE3179">
        <w:trPr>
          <w:trHeight w:val="374"/>
        </w:trPr>
        <w:tc>
          <w:tcPr>
            <w:tcW w:w="1255" w:type="dxa"/>
            <w:tcBorders>
              <w:top w:val="single" w:sz="2" w:space="0" w:color="000000"/>
            </w:tcBorders>
            <w:shd w:val="clear" w:color="auto" w:fill="auto"/>
            <w:tcMar>
              <w:top w:w="20" w:type="dxa"/>
              <w:left w:w="20" w:type="dxa"/>
              <w:bottom w:w="20" w:type="dxa"/>
              <w:right w:w="20" w:type="dxa"/>
            </w:tcMar>
            <w:vAlign w:val="center"/>
          </w:tcPr>
          <w:p w14:paraId="6B7C3EFE"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(4,182)</w:t>
            </w:r>
          </w:p>
        </w:tc>
        <w:tc>
          <w:tcPr>
            <w:tcW w:w="241" w:type="dxa"/>
            <w:tcBorders>
              <w:top w:val="single" w:sz="2" w:space="0" w:color="000000"/>
            </w:tcBorders>
            <w:shd w:val="clear" w:color="auto" w:fill="auto"/>
            <w:tcMar>
              <w:top w:w="20" w:type="dxa"/>
              <w:left w:w="20" w:type="dxa"/>
              <w:bottom w:w="20" w:type="dxa"/>
              <w:right w:w="20" w:type="dxa"/>
            </w:tcMar>
            <w:vAlign w:val="center"/>
          </w:tcPr>
          <w:p w14:paraId="18898DDD"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tcBorders>
              <w:top w:val="single" w:sz="2" w:space="0" w:color="000000"/>
            </w:tcBorders>
            <w:shd w:val="clear" w:color="auto" w:fill="auto"/>
            <w:tcMar>
              <w:top w:w="20" w:type="dxa"/>
              <w:left w:w="20" w:type="dxa"/>
              <w:bottom w:w="20" w:type="dxa"/>
              <w:right w:w="20" w:type="dxa"/>
            </w:tcMar>
            <w:vAlign w:val="center"/>
          </w:tcPr>
          <w:p w14:paraId="701406DD" w14:textId="77777777" w:rsidR="00F20D20" w:rsidRPr="000D67C6" w:rsidRDefault="00F20D20" w:rsidP="00F20D20">
            <w:pPr>
              <w:pStyle w:val="T1TableStyle"/>
              <w:rPr>
                <w:rFonts w:ascii="Arial" w:eastAsia="Verdana" w:hAnsi="Arial" w:cs="Arial"/>
                <w:b/>
                <w:sz w:val="22"/>
                <w:szCs w:val="22"/>
                <w:lang w:val="pt-BR"/>
              </w:rPr>
            </w:pPr>
            <w:r w:rsidRPr="000D67C6">
              <w:rPr>
                <w:rFonts w:ascii="Arial" w:eastAsia="Verdana" w:hAnsi="Arial" w:cs="Arial"/>
                <w:b/>
                <w:sz w:val="22"/>
                <w:szCs w:val="22"/>
                <w:lang w:val="pt-BR"/>
              </w:rPr>
              <w:t>Total Sources of Finance</w:t>
            </w:r>
          </w:p>
        </w:tc>
        <w:tc>
          <w:tcPr>
            <w:tcW w:w="2025" w:type="dxa"/>
            <w:gridSpan w:val="2"/>
            <w:tcBorders>
              <w:top w:val="single" w:sz="2" w:space="0" w:color="000000"/>
            </w:tcBorders>
            <w:shd w:val="clear" w:color="auto" w:fill="auto"/>
            <w:tcMar>
              <w:top w:w="20" w:type="dxa"/>
              <w:left w:w="20" w:type="dxa"/>
              <w:bottom w:w="20" w:type="dxa"/>
              <w:right w:w="20" w:type="dxa"/>
            </w:tcMar>
            <w:vAlign w:val="center"/>
          </w:tcPr>
          <w:p w14:paraId="4B58333C" w14:textId="3A4F63A4" w:rsidR="00F20D20" w:rsidRPr="000D67C6" w:rsidRDefault="009535B9"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w:t>
            </w:r>
            <w:r w:rsidR="00F17D19" w:rsidRPr="000D67C6">
              <w:rPr>
                <w:rFonts w:ascii="Arial" w:eastAsia="Verdana" w:hAnsi="Arial" w:cs="Arial"/>
                <w:b/>
                <w:sz w:val="22"/>
                <w:szCs w:val="22"/>
                <w:lang w:val="pt-BR"/>
              </w:rPr>
              <w:t>760</w:t>
            </w:r>
            <w:r w:rsidRPr="000D67C6">
              <w:rPr>
                <w:rFonts w:ascii="Arial" w:eastAsia="Verdana" w:hAnsi="Arial" w:cs="Arial"/>
                <w:b/>
                <w:sz w:val="22"/>
                <w:szCs w:val="22"/>
                <w:lang w:val="pt-BR"/>
              </w:rPr>
              <w:t>)</w:t>
            </w:r>
          </w:p>
        </w:tc>
      </w:tr>
      <w:tr w:rsidR="00F20D20" w:rsidRPr="000D67C6" w14:paraId="2904A24A" w14:textId="77777777" w:rsidTr="005A7362">
        <w:trPr>
          <w:trHeight w:val="301"/>
        </w:trPr>
        <w:tc>
          <w:tcPr>
            <w:tcW w:w="12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6383E9C" w14:textId="77777777" w:rsidR="00F20D20" w:rsidRPr="000D67C6" w:rsidRDefault="00F20D20"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25,955</w:t>
            </w:r>
          </w:p>
        </w:tc>
        <w:tc>
          <w:tcPr>
            <w:tcW w:w="24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6C6A17E" w14:textId="77777777" w:rsidR="00F20D20" w:rsidRPr="000D67C6" w:rsidRDefault="00F20D20" w:rsidP="00F20D20">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2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D2E28CD" w14:textId="77777777" w:rsidR="00F20D20" w:rsidRPr="000D67C6" w:rsidRDefault="00F20D20" w:rsidP="00F20D20">
            <w:pPr>
              <w:pStyle w:val="T1TableStyle"/>
              <w:rPr>
                <w:rFonts w:ascii="Arial" w:eastAsia="Verdana" w:hAnsi="Arial" w:cs="Arial"/>
                <w:b/>
                <w:sz w:val="22"/>
                <w:szCs w:val="22"/>
                <w:lang w:val="pt-BR"/>
              </w:rPr>
            </w:pPr>
            <w:r w:rsidRPr="000D67C6">
              <w:rPr>
                <w:rFonts w:ascii="Arial" w:eastAsia="Verdana" w:hAnsi="Arial" w:cs="Arial"/>
                <w:b/>
                <w:sz w:val="22"/>
                <w:szCs w:val="22"/>
                <w:lang w:val="pt-BR"/>
              </w:rPr>
              <w:t>Closing Capital Financing Requirement</w:t>
            </w:r>
          </w:p>
        </w:tc>
        <w:tc>
          <w:tcPr>
            <w:tcW w:w="2025"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EE02BFE" w14:textId="77777777" w:rsidR="00F20D20" w:rsidRPr="000D67C6" w:rsidRDefault="009535B9" w:rsidP="00F20D20">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25,579</w:t>
            </w:r>
          </w:p>
        </w:tc>
      </w:tr>
    </w:tbl>
    <w:p w14:paraId="31D2C3D4" w14:textId="77777777" w:rsidR="008F013B" w:rsidRPr="000D67C6" w:rsidRDefault="008F013B">
      <w:pPr>
        <w:pStyle w:val="T1TableStyle"/>
        <w:rPr>
          <w:rFonts w:ascii="Arial" w:eastAsia="Calibri" w:hAnsi="Arial" w:cs="Arial"/>
          <w:sz w:val="22"/>
          <w:szCs w:val="22"/>
          <w:lang w:val="pt-BR"/>
        </w:rPr>
      </w:pPr>
    </w:p>
    <w:tbl>
      <w:tblPr>
        <w:tblW w:w="0" w:type="auto"/>
        <w:tblInd w:w="709" w:type="dxa"/>
        <w:tblLayout w:type="fixed"/>
        <w:tblLook w:val="04A0" w:firstRow="1" w:lastRow="0" w:firstColumn="1" w:lastColumn="0" w:noHBand="0" w:noVBand="1"/>
      </w:tblPr>
      <w:tblGrid>
        <w:gridCol w:w="1276"/>
        <w:gridCol w:w="283"/>
        <w:gridCol w:w="4962"/>
        <w:gridCol w:w="1200"/>
      </w:tblGrid>
      <w:tr w:rsidR="00464E99" w:rsidRPr="000D67C6" w14:paraId="4FB93F30" w14:textId="77777777" w:rsidTr="00C141B0">
        <w:trPr>
          <w:trHeight w:val="315"/>
        </w:trPr>
        <w:tc>
          <w:tcPr>
            <w:tcW w:w="7721" w:type="dxa"/>
            <w:gridSpan w:val="4"/>
            <w:shd w:val="clear" w:color="auto" w:fill="auto"/>
            <w:tcMar>
              <w:top w:w="20" w:type="dxa"/>
              <w:left w:w="20" w:type="dxa"/>
              <w:bottom w:w="20" w:type="dxa"/>
              <w:right w:w="20" w:type="dxa"/>
            </w:tcMar>
            <w:vAlign w:val="bottom"/>
          </w:tcPr>
          <w:p w14:paraId="7DAF78C6" w14:textId="77777777" w:rsidR="00464E99" w:rsidRPr="000D67C6" w:rsidRDefault="008F013B" w:rsidP="008F013B">
            <w:pPr>
              <w:pStyle w:val="T1TableStyle"/>
              <w:rPr>
                <w:rFonts w:ascii="Arial" w:eastAsia="Verdana" w:hAnsi="Arial" w:cs="Arial"/>
                <w:b/>
                <w:sz w:val="22"/>
                <w:szCs w:val="22"/>
                <w:lang w:val="pt-BR"/>
              </w:rPr>
            </w:pPr>
            <w:r w:rsidRPr="000D67C6">
              <w:rPr>
                <w:rFonts w:ascii="Arial" w:eastAsia="Verdana" w:hAnsi="Arial" w:cs="Arial"/>
                <w:b/>
                <w:sz w:val="22"/>
                <w:szCs w:val="22"/>
                <w:lang w:val="pt-BR"/>
              </w:rPr>
              <w:t>Explanation of movements in year</w:t>
            </w:r>
          </w:p>
        </w:tc>
      </w:tr>
      <w:tr w:rsidR="00464E99" w:rsidRPr="000D67C6" w14:paraId="0748982E" w14:textId="77777777" w:rsidTr="00C141B0">
        <w:trPr>
          <w:trHeight w:val="300"/>
        </w:trPr>
        <w:tc>
          <w:tcPr>
            <w:tcW w:w="1276" w:type="dxa"/>
            <w:shd w:val="clear" w:color="auto" w:fill="auto"/>
            <w:tcMar>
              <w:top w:w="20" w:type="dxa"/>
              <w:left w:w="20" w:type="dxa"/>
              <w:bottom w:w="20" w:type="dxa"/>
              <w:right w:w="20" w:type="dxa"/>
            </w:tcMar>
            <w:vAlign w:val="bottom"/>
          </w:tcPr>
          <w:p w14:paraId="10B9E6A3" w14:textId="77777777" w:rsidR="00464E99" w:rsidRPr="000D67C6" w:rsidRDefault="00EB2CB4" w:rsidP="00E0286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7</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8</w:t>
            </w:r>
          </w:p>
        </w:tc>
        <w:tc>
          <w:tcPr>
            <w:tcW w:w="283" w:type="dxa"/>
            <w:shd w:val="clear" w:color="auto" w:fill="auto"/>
            <w:tcMar>
              <w:top w:w="20" w:type="dxa"/>
              <w:left w:w="20" w:type="dxa"/>
              <w:bottom w:w="20" w:type="dxa"/>
              <w:right w:w="20" w:type="dxa"/>
            </w:tcMar>
            <w:vAlign w:val="bottom"/>
          </w:tcPr>
          <w:p w14:paraId="46D1B8A8" w14:textId="77777777" w:rsidR="00464E99" w:rsidRPr="000D67C6" w:rsidRDefault="008F013B" w:rsidP="00EB2CB4">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962" w:type="dxa"/>
            <w:shd w:val="clear" w:color="auto" w:fill="auto"/>
            <w:tcMar>
              <w:top w:w="20" w:type="dxa"/>
              <w:left w:w="20" w:type="dxa"/>
              <w:bottom w:w="20" w:type="dxa"/>
              <w:right w:w="20" w:type="dxa"/>
            </w:tcMar>
            <w:vAlign w:val="bottom"/>
          </w:tcPr>
          <w:p w14:paraId="76A5DCC5" w14:textId="77777777" w:rsidR="00464E99" w:rsidRPr="000D67C6" w:rsidRDefault="008F013B" w:rsidP="00E0286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00" w:type="dxa"/>
            <w:shd w:val="clear" w:color="auto" w:fill="auto"/>
            <w:tcMar>
              <w:top w:w="20" w:type="dxa"/>
              <w:left w:w="20" w:type="dxa"/>
              <w:bottom w:w="20" w:type="dxa"/>
              <w:right w:w="20" w:type="dxa"/>
            </w:tcMar>
            <w:vAlign w:val="bottom"/>
          </w:tcPr>
          <w:p w14:paraId="5413664E" w14:textId="77777777" w:rsidR="00464E99" w:rsidRPr="000D67C6" w:rsidRDefault="00EB2CB4" w:rsidP="00E0286C">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201</w:t>
            </w:r>
            <w:r w:rsidR="00F20D20" w:rsidRPr="000D67C6">
              <w:rPr>
                <w:rFonts w:ascii="Arial" w:eastAsia="Verdana" w:hAnsi="Arial" w:cs="Arial"/>
                <w:b/>
                <w:sz w:val="22"/>
                <w:szCs w:val="22"/>
                <w:lang w:val="pt-BR"/>
              </w:rPr>
              <w:t>8</w:t>
            </w: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9</w:t>
            </w:r>
          </w:p>
        </w:tc>
      </w:tr>
      <w:tr w:rsidR="00464E99" w:rsidRPr="000D67C6" w14:paraId="46E7E2AA" w14:textId="77777777" w:rsidTr="00C141B0">
        <w:trPr>
          <w:trHeight w:val="300"/>
        </w:trPr>
        <w:tc>
          <w:tcPr>
            <w:tcW w:w="1276" w:type="dxa"/>
            <w:tcBorders>
              <w:bottom w:val="single" w:sz="2" w:space="0" w:color="000000"/>
            </w:tcBorders>
            <w:shd w:val="clear" w:color="auto" w:fill="auto"/>
            <w:tcMar>
              <w:top w:w="20" w:type="dxa"/>
              <w:left w:w="20" w:type="dxa"/>
              <w:bottom w:w="20" w:type="dxa"/>
              <w:right w:w="20" w:type="dxa"/>
            </w:tcMar>
          </w:tcPr>
          <w:p w14:paraId="0702C806"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c>
          <w:tcPr>
            <w:tcW w:w="283" w:type="dxa"/>
            <w:tcBorders>
              <w:bottom w:val="single" w:sz="2" w:space="0" w:color="000000"/>
            </w:tcBorders>
            <w:shd w:val="clear" w:color="auto" w:fill="auto"/>
            <w:tcMar>
              <w:top w:w="20" w:type="dxa"/>
              <w:left w:w="20" w:type="dxa"/>
              <w:bottom w:w="20" w:type="dxa"/>
              <w:right w:w="20" w:type="dxa"/>
            </w:tcMar>
          </w:tcPr>
          <w:p w14:paraId="10C04136"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962" w:type="dxa"/>
            <w:tcBorders>
              <w:bottom w:val="single" w:sz="2" w:space="0" w:color="000000"/>
            </w:tcBorders>
            <w:shd w:val="clear" w:color="auto" w:fill="auto"/>
            <w:tcMar>
              <w:top w:w="20" w:type="dxa"/>
              <w:left w:w="20" w:type="dxa"/>
              <w:bottom w:w="20" w:type="dxa"/>
              <w:right w:w="20" w:type="dxa"/>
            </w:tcMar>
          </w:tcPr>
          <w:p w14:paraId="3A925C7B"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1200" w:type="dxa"/>
            <w:tcBorders>
              <w:bottom w:val="single" w:sz="2" w:space="0" w:color="000000"/>
            </w:tcBorders>
            <w:shd w:val="clear" w:color="auto" w:fill="auto"/>
            <w:tcMar>
              <w:top w:w="20" w:type="dxa"/>
              <w:left w:w="20" w:type="dxa"/>
              <w:bottom w:w="20" w:type="dxa"/>
              <w:right w:w="20" w:type="dxa"/>
            </w:tcMar>
          </w:tcPr>
          <w:p w14:paraId="1BF2A670" w14:textId="77777777" w:rsidR="00464E99" w:rsidRPr="000D67C6" w:rsidRDefault="008F013B" w:rsidP="008F013B">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£000</w:t>
            </w:r>
          </w:p>
        </w:tc>
      </w:tr>
      <w:tr w:rsidR="00EB2CB4" w:rsidRPr="000D67C6" w14:paraId="47946C4B" w14:textId="77777777" w:rsidTr="005A7362">
        <w:trPr>
          <w:trHeight w:val="373"/>
        </w:trPr>
        <w:tc>
          <w:tcPr>
            <w:tcW w:w="1276" w:type="dxa"/>
            <w:shd w:val="clear" w:color="auto" w:fill="auto"/>
            <w:tcMar>
              <w:top w:w="20" w:type="dxa"/>
              <w:left w:w="20" w:type="dxa"/>
              <w:bottom w:w="20" w:type="dxa"/>
              <w:right w:w="20" w:type="dxa"/>
            </w:tcMar>
            <w:vAlign w:val="center"/>
          </w:tcPr>
          <w:p w14:paraId="48EF74A4" w14:textId="77777777" w:rsidR="00EB2CB4" w:rsidRPr="000D67C6" w:rsidRDefault="00EB2CB4" w:rsidP="00EB2CB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1,</w:t>
            </w:r>
            <w:r w:rsidR="00F20D20" w:rsidRPr="000D67C6">
              <w:rPr>
                <w:rFonts w:ascii="Arial" w:eastAsia="Verdana" w:hAnsi="Arial" w:cs="Arial"/>
                <w:sz w:val="22"/>
                <w:szCs w:val="22"/>
                <w:lang w:val="pt-BR"/>
              </w:rPr>
              <w:t>85</w:t>
            </w:r>
            <w:r w:rsidRPr="000D67C6">
              <w:rPr>
                <w:rFonts w:ascii="Arial" w:eastAsia="Verdana" w:hAnsi="Arial" w:cs="Arial"/>
                <w:sz w:val="22"/>
                <w:szCs w:val="22"/>
                <w:lang w:val="pt-BR"/>
              </w:rPr>
              <w:t>9</w:t>
            </w:r>
          </w:p>
        </w:tc>
        <w:tc>
          <w:tcPr>
            <w:tcW w:w="283" w:type="dxa"/>
            <w:shd w:val="clear" w:color="auto" w:fill="auto"/>
            <w:tcMar>
              <w:top w:w="20" w:type="dxa"/>
              <w:left w:w="20" w:type="dxa"/>
              <w:bottom w:w="20" w:type="dxa"/>
              <w:right w:w="20" w:type="dxa"/>
            </w:tcMar>
            <w:vAlign w:val="center"/>
          </w:tcPr>
          <w:p w14:paraId="255A8C19" w14:textId="77777777" w:rsidR="00EB2CB4" w:rsidRPr="000D67C6" w:rsidRDefault="00EB2CB4" w:rsidP="00EB2CB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962" w:type="dxa"/>
            <w:shd w:val="clear" w:color="auto" w:fill="auto"/>
            <w:tcMar>
              <w:top w:w="20" w:type="dxa"/>
              <w:left w:w="20" w:type="dxa"/>
              <w:bottom w:w="20" w:type="dxa"/>
              <w:right w:w="20" w:type="dxa"/>
            </w:tcMar>
            <w:vAlign w:val="center"/>
          </w:tcPr>
          <w:p w14:paraId="1DBD70BA" w14:textId="77777777" w:rsidR="00EB2CB4" w:rsidRPr="000D67C6" w:rsidRDefault="00EB2CB4" w:rsidP="00EB2CB4">
            <w:pPr>
              <w:pStyle w:val="T1TableStyle"/>
              <w:rPr>
                <w:rFonts w:ascii="Arial" w:eastAsia="Verdana" w:hAnsi="Arial" w:cs="Arial"/>
                <w:sz w:val="22"/>
                <w:szCs w:val="22"/>
                <w:lang w:val="pt-BR"/>
              </w:rPr>
            </w:pPr>
            <w:r w:rsidRPr="000D67C6">
              <w:rPr>
                <w:rFonts w:ascii="Arial" w:eastAsia="Verdana" w:hAnsi="Arial" w:cs="Arial"/>
                <w:sz w:val="22"/>
                <w:szCs w:val="22"/>
                <w:lang w:val="pt-BR"/>
              </w:rPr>
              <w:t>Increase in underlying need to borrow (unsupported by government financial assistance)</w:t>
            </w:r>
          </w:p>
        </w:tc>
        <w:tc>
          <w:tcPr>
            <w:tcW w:w="1200" w:type="dxa"/>
            <w:shd w:val="clear" w:color="auto" w:fill="auto"/>
            <w:tcMar>
              <w:top w:w="20" w:type="dxa"/>
              <w:left w:w="20" w:type="dxa"/>
              <w:bottom w:w="20" w:type="dxa"/>
              <w:right w:w="20" w:type="dxa"/>
            </w:tcMar>
            <w:vAlign w:val="center"/>
          </w:tcPr>
          <w:p w14:paraId="079A5AA7" w14:textId="77777777" w:rsidR="00EB2CB4" w:rsidRPr="000D67C6" w:rsidRDefault="009535B9" w:rsidP="00EB2CB4">
            <w:pPr>
              <w:pStyle w:val="T1TableStyle"/>
              <w:jc w:val="right"/>
              <w:rPr>
                <w:rFonts w:ascii="Arial" w:eastAsia="Verdana" w:hAnsi="Arial" w:cs="Arial"/>
                <w:sz w:val="22"/>
                <w:szCs w:val="22"/>
                <w:lang w:val="pt-BR"/>
              </w:rPr>
            </w:pPr>
            <w:r w:rsidRPr="000D67C6">
              <w:rPr>
                <w:rFonts w:ascii="Arial" w:eastAsia="Verdana" w:hAnsi="Arial" w:cs="Arial"/>
                <w:sz w:val="22"/>
                <w:szCs w:val="22"/>
                <w:lang w:val="pt-BR"/>
              </w:rPr>
              <w:t>(376)</w:t>
            </w:r>
          </w:p>
        </w:tc>
      </w:tr>
      <w:tr w:rsidR="00EB2CB4" w:rsidRPr="000D67C6" w14:paraId="1821C513" w14:textId="77777777" w:rsidTr="005A7362">
        <w:trPr>
          <w:trHeight w:val="373"/>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40B58DB" w14:textId="77777777" w:rsidR="00EB2CB4" w:rsidRPr="000D67C6" w:rsidRDefault="00EB2CB4" w:rsidP="00EB2CB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1,</w:t>
            </w:r>
            <w:r w:rsidR="00F20D20" w:rsidRPr="000D67C6">
              <w:rPr>
                <w:rFonts w:ascii="Arial" w:eastAsia="Verdana" w:hAnsi="Arial" w:cs="Arial"/>
                <w:b/>
                <w:sz w:val="22"/>
                <w:szCs w:val="22"/>
                <w:lang w:val="pt-BR"/>
              </w:rPr>
              <w:t>85</w:t>
            </w:r>
            <w:r w:rsidRPr="000D67C6">
              <w:rPr>
                <w:rFonts w:ascii="Arial" w:eastAsia="Verdana" w:hAnsi="Arial" w:cs="Arial"/>
                <w:b/>
                <w:sz w:val="22"/>
                <w:szCs w:val="22"/>
                <w:lang w:val="pt-BR"/>
              </w:rPr>
              <w:t>9</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25C9AB4" w14:textId="77777777" w:rsidR="00EB2CB4" w:rsidRPr="000D67C6" w:rsidRDefault="00EB2CB4" w:rsidP="00EB2CB4">
            <w:pPr>
              <w:pStyle w:val="T1TableStyle"/>
              <w:jc w:val="center"/>
              <w:rPr>
                <w:rFonts w:ascii="Arial" w:eastAsia="Verdana" w:hAnsi="Arial" w:cs="Arial"/>
                <w:b/>
                <w:sz w:val="22"/>
                <w:szCs w:val="22"/>
                <w:lang w:val="pt-BR"/>
              </w:rPr>
            </w:pPr>
            <w:r w:rsidRPr="000D67C6">
              <w:rPr>
                <w:rFonts w:ascii="Arial" w:eastAsia="Verdana" w:hAnsi="Arial" w:cs="Arial"/>
                <w:b/>
                <w:sz w:val="22"/>
                <w:szCs w:val="22"/>
                <w:lang w:val="pt-BR"/>
              </w:rPr>
              <w:t xml:space="preserve"> </w:t>
            </w:r>
          </w:p>
        </w:tc>
        <w:tc>
          <w:tcPr>
            <w:tcW w:w="496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5A7E0BB" w14:textId="77777777" w:rsidR="00EB2CB4" w:rsidRPr="000D67C6" w:rsidRDefault="00EB2CB4" w:rsidP="00EB2CB4">
            <w:pPr>
              <w:pStyle w:val="T1TableStyle"/>
              <w:rPr>
                <w:rFonts w:ascii="Arial" w:eastAsia="Verdana" w:hAnsi="Arial" w:cs="Arial"/>
                <w:b/>
                <w:sz w:val="22"/>
                <w:szCs w:val="22"/>
                <w:lang w:val="pt-BR"/>
              </w:rPr>
            </w:pPr>
            <w:r w:rsidRPr="000D67C6">
              <w:rPr>
                <w:rFonts w:ascii="Arial" w:eastAsia="Verdana" w:hAnsi="Arial" w:cs="Arial"/>
                <w:b/>
                <w:sz w:val="22"/>
                <w:szCs w:val="22"/>
                <w:lang w:val="pt-BR"/>
              </w:rPr>
              <w:t>Increase</w:t>
            </w:r>
            <w:r w:rsidR="00F66E44" w:rsidRPr="000D67C6">
              <w:rPr>
                <w:rFonts w:ascii="Arial" w:eastAsia="Verdana" w:hAnsi="Arial" w:cs="Arial"/>
                <w:b/>
                <w:sz w:val="22"/>
                <w:szCs w:val="22"/>
                <w:lang w:val="pt-BR"/>
              </w:rPr>
              <w:t xml:space="preserve"> </w:t>
            </w:r>
            <w:r w:rsidRPr="000D67C6">
              <w:rPr>
                <w:rFonts w:ascii="Arial" w:eastAsia="Verdana" w:hAnsi="Arial" w:cs="Arial"/>
                <w:b/>
                <w:sz w:val="22"/>
                <w:szCs w:val="22"/>
                <w:lang w:val="pt-BR"/>
              </w:rPr>
              <w:t>/</w:t>
            </w:r>
            <w:r w:rsidR="00F66E44" w:rsidRPr="000D67C6">
              <w:rPr>
                <w:rFonts w:ascii="Arial" w:eastAsia="Verdana" w:hAnsi="Arial" w:cs="Arial"/>
                <w:b/>
                <w:sz w:val="22"/>
                <w:szCs w:val="22"/>
                <w:lang w:val="pt-BR"/>
              </w:rPr>
              <w:t xml:space="preserve"> </w:t>
            </w:r>
            <w:r w:rsidRPr="000D67C6">
              <w:rPr>
                <w:rFonts w:ascii="Arial" w:eastAsia="Verdana" w:hAnsi="Arial" w:cs="Arial"/>
                <w:b/>
                <w:sz w:val="22"/>
                <w:szCs w:val="22"/>
                <w:lang w:val="pt-BR"/>
              </w:rPr>
              <w:t>(decrease) in Capital Financing Requirement</w:t>
            </w:r>
          </w:p>
        </w:tc>
        <w:tc>
          <w:tcPr>
            <w:tcW w:w="12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4652AA4" w14:textId="77777777" w:rsidR="00EB2CB4" w:rsidRPr="000D67C6" w:rsidRDefault="009535B9" w:rsidP="00EB2CB4">
            <w:pPr>
              <w:pStyle w:val="T1TableStyle"/>
              <w:jc w:val="right"/>
              <w:rPr>
                <w:rFonts w:ascii="Arial" w:eastAsia="Verdana" w:hAnsi="Arial" w:cs="Arial"/>
                <w:b/>
                <w:sz w:val="22"/>
                <w:szCs w:val="22"/>
                <w:lang w:val="pt-BR"/>
              </w:rPr>
            </w:pPr>
            <w:r w:rsidRPr="000D67C6">
              <w:rPr>
                <w:rFonts w:ascii="Arial" w:eastAsia="Verdana" w:hAnsi="Arial" w:cs="Arial"/>
                <w:b/>
                <w:sz w:val="22"/>
                <w:szCs w:val="22"/>
                <w:lang w:val="pt-BR"/>
              </w:rPr>
              <w:t>(376)</w:t>
            </w:r>
          </w:p>
        </w:tc>
      </w:tr>
    </w:tbl>
    <w:p w14:paraId="6292282A" w14:textId="77777777" w:rsidR="008F013B" w:rsidRPr="000D67C6" w:rsidRDefault="008F013B" w:rsidP="008F013B">
      <w:pPr>
        <w:pStyle w:val="T1TableStyle"/>
        <w:rPr>
          <w:rFonts w:ascii="Arial" w:eastAsia="Calibri" w:hAnsi="Arial" w:cs="Arial"/>
          <w:szCs w:val="22"/>
          <w:lang w:val="pt-BR"/>
        </w:rPr>
      </w:pPr>
    </w:p>
    <w:p w14:paraId="1C1BD14A" w14:textId="77777777" w:rsidR="008F013B" w:rsidRPr="000D67C6" w:rsidRDefault="008F013B" w:rsidP="008F013B">
      <w:pPr>
        <w:pStyle w:val="Normal0"/>
        <w:spacing w:after="160" w:line="259" w:lineRule="auto"/>
        <w:rPr>
          <w:rFonts w:ascii="Arial" w:eastAsia="Calibri" w:hAnsi="Arial" w:cs="Arial"/>
          <w:szCs w:val="22"/>
          <w:lang w:val="en-GB"/>
        </w:rPr>
      </w:pPr>
    </w:p>
    <w:p w14:paraId="7238CB49" w14:textId="77777777" w:rsidR="008332E1" w:rsidRPr="000D67C6" w:rsidRDefault="008332E1" w:rsidP="00CA36B7">
      <w:pPr>
        <w:pStyle w:val="Heading1"/>
        <w:spacing w:before="0" w:line="259" w:lineRule="auto"/>
        <w:rPr>
          <w:rFonts w:ascii="Arial" w:hAnsi="Arial" w:cs="Arial"/>
          <w:sz w:val="28"/>
          <w:lang w:val="pt-BR"/>
        </w:rPr>
      </w:pPr>
      <w:r w:rsidRPr="000D67C6">
        <w:rPr>
          <w:rFonts w:ascii="Arial" w:hAnsi="Arial" w:cs="Arial"/>
          <w:sz w:val="28"/>
          <w:lang w:val="pt-BR"/>
        </w:rPr>
        <w:br w:type="page"/>
      </w:r>
    </w:p>
    <w:p w14:paraId="07DBB3B2" w14:textId="77777777" w:rsidR="008F013B" w:rsidRPr="000D67C6" w:rsidRDefault="002F5FB5" w:rsidP="00CA36B7">
      <w:pPr>
        <w:pStyle w:val="Heading1"/>
        <w:spacing w:before="0" w:line="259" w:lineRule="auto"/>
        <w:rPr>
          <w:rFonts w:ascii="Arial" w:hAnsi="Arial" w:cs="Arial"/>
          <w:sz w:val="28"/>
          <w:lang w:val="pt-BR"/>
        </w:rPr>
      </w:pPr>
      <w:r w:rsidRPr="000D67C6">
        <w:rPr>
          <w:rFonts w:ascii="Arial" w:hAnsi="Arial" w:cs="Arial"/>
          <w:sz w:val="28"/>
          <w:lang w:val="pt-BR"/>
        </w:rPr>
        <w:t>Note 28</w:t>
      </w:r>
      <w:r w:rsidR="008F013B" w:rsidRPr="000D67C6">
        <w:rPr>
          <w:rFonts w:ascii="Arial" w:hAnsi="Arial" w:cs="Arial"/>
          <w:sz w:val="28"/>
          <w:lang w:val="pt-BR"/>
        </w:rPr>
        <w:t xml:space="preserve"> </w:t>
      </w:r>
      <w:r w:rsidR="009A2875" w:rsidRPr="000D67C6">
        <w:rPr>
          <w:rFonts w:ascii="Arial" w:hAnsi="Arial" w:cs="Arial"/>
          <w:sz w:val="28"/>
          <w:lang w:val="pt-BR"/>
        </w:rPr>
        <w:t>–</w:t>
      </w:r>
      <w:r w:rsidR="008F013B" w:rsidRPr="000D67C6">
        <w:rPr>
          <w:rFonts w:ascii="Arial" w:hAnsi="Arial" w:cs="Arial"/>
          <w:sz w:val="28"/>
          <w:lang w:val="pt-BR"/>
        </w:rPr>
        <w:t xml:space="preserve"> Leases</w:t>
      </w:r>
    </w:p>
    <w:p w14:paraId="12897707" w14:textId="77777777" w:rsidR="009A2875" w:rsidRPr="00055140" w:rsidRDefault="009A2875" w:rsidP="009A2875">
      <w:pPr>
        <w:rPr>
          <w:rFonts w:ascii="Arial" w:hAnsi="Arial" w:cs="Arial"/>
          <w:sz w:val="22"/>
          <w:lang w:val="pt-BR"/>
        </w:rPr>
      </w:pPr>
    </w:p>
    <w:tbl>
      <w:tblPr>
        <w:tblW w:w="0" w:type="auto"/>
        <w:tblLayout w:type="fixed"/>
        <w:tblLook w:val="04A0" w:firstRow="1" w:lastRow="0" w:firstColumn="1" w:lastColumn="0" w:noHBand="0" w:noVBand="1"/>
      </w:tblPr>
      <w:tblGrid>
        <w:gridCol w:w="1418"/>
        <w:gridCol w:w="283"/>
        <w:gridCol w:w="5529"/>
        <w:gridCol w:w="141"/>
        <w:gridCol w:w="1418"/>
      </w:tblGrid>
      <w:tr w:rsidR="00464E99" w:rsidRPr="000D67C6" w14:paraId="5EB35950" w14:textId="77777777" w:rsidTr="00CA36B7">
        <w:trPr>
          <w:trHeight w:val="360"/>
        </w:trPr>
        <w:tc>
          <w:tcPr>
            <w:tcW w:w="8789" w:type="dxa"/>
            <w:gridSpan w:val="5"/>
            <w:shd w:val="clear" w:color="auto" w:fill="auto"/>
            <w:tcMar>
              <w:top w:w="20" w:type="dxa"/>
              <w:left w:w="20" w:type="dxa"/>
              <w:bottom w:w="20" w:type="dxa"/>
              <w:right w:w="20" w:type="dxa"/>
            </w:tcMar>
            <w:vAlign w:val="bottom"/>
          </w:tcPr>
          <w:p w14:paraId="3EA80655" w14:textId="77777777" w:rsidR="00464E99" w:rsidRPr="000D67C6" w:rsidRDefault="008F013B" w:rsidP="00CA36B7">
            <w:pPr>
              <w:pStyle w:val="T1TableStyle"/>
              <w:rPr>
                <w:rFonts w:ascii="Arial" w:eastAsia="Verdana" w:hAnsi="Arial" w:cs="Arial"/>
                <w:b/>
                <w:sz w:val="22"/>
                <w:szCs w:val="22"/>
                <w:lang w:val="en-GB"/>
              </w:rPr>
            </w:pPr>
            <w:r w:rsidRPr="000D67C6">
              <w:rPr>
                <w:rFonts w:ascii="Arial" w:eastAsia="Verdana" w:hAnsi="Arial" w:cs="Arial"/>
                <w:b/>
                <w:sz w:val="22"/>
                <w:szCs w:val="22"/>
                <w:lang w:val="en-GB"/>
              </w:rPr>
              <w:t>Authority as Lessee - Finance Leases</w:t>
            </w:r>
          </w:p>
          <w:p w14:paraId="4F07CCF6" w14:textId="77777777" w:rsidR="00B1097D" w:rsidRPr="000D67C6" w:rsidRDefault="00B1097D" w:rsidP="00CA36B7">
            <w:pPr>
              <w:pStyle w:val="T1TableStyle"/>
              <w:rPr>
                <w:rFonts w:ascii="Arial" w:eastAsia="Verdana" w:hAnsi="Arial" w:cs="Arial"/>
                <w:b/>
                <w:sz w:val="22"/>
                <w:szCs w:val="22"/>
                <w:lang w:val="en-GB"/>
              </w:rPr>
            </w:pPr>
          </w:p>
          <w:p w14:paraId="794ECA49" w14:textId="77777777" w:rsidR="00B1097D" w:rsidRPr="000D67C6" w:rsidRDefault="00B1097D" w:rsidP="00CA36B7">
            <w:pPr>
              <w:pStyle w:val="T1TableStyle"/>
              <w:rPr>
                <w:rFonts w:ascii="Arial" w:eastAsia="Verdana" w:hAnsi="Arial" w:cs="Arial"/>
                <w:sz w:val="22"/>
                <w:szCs w:val="22"/>
                <w:lang w:val="en-GB"/>
              </w:rPr>
            </w:pPr>
            <w:r w:rsidRPr="000D67C6">
              <w:rPr>
                <w:rFonts w:ascii="Arial" w:eastAsia="Verdana" w:hAnsi="Arial" w:cs="Arial"/>
                <w:sz w:val="22"/>
                <w:szCs w:val="22"/>
                <w:lang w:val="en-GB"/>
              </w:rPr>
              <w:t>The Authority has acquired a number of vehicles under finance leases.</w:t>
            </w:r>
          </w:p>
        </w:tc>
      </w:tr>
      <w:tr w:rsidR="00464E99" w:rsidRPr="000D67C6" w14:paraId="51F15B60" w14:textId="77777777" w:rsidTr="00CA36B7">
        <w:trPr>
          <w:trHeight w:val="945"/>
        </w:trPr>
        <w:tc>
          <w:tcPr>
            <w:tcW w:w="8789" w:type="dxa"/>
            <w:gridSpan w:val="5"/>
            <w:shd w:val="clear" w:color="auto" w:fill="auto"/>
            <w:tcMar>
              <w:top w:w="20" w:type="dxa"/>
              <w:left w:w="20" w:type="dxa"/>
              <w:bottom w:w="20" w:type="dxa"/>
              <w:right w:w="20" w:type="dxa"/>
            </w:tcMar>
            <w:vAlign w:val="center"/>
          </w:tcPr>
          <w:p w14:paraId="21764993" w14:textId="77777777" w:rsidR="00464E99" w:rsidRPr="000D67C6" w:rsidRDefault="008F013B" w:rsidP="008F013B">
            <w:pPr>
              <w:pStyle w:val="T1TableStyle"/>
              <w:rPr>
                <w:rFonts w:ascii="Arial" w:eastAsia="Verdana" w:hAnsi="Arial" w:cs="Arial"/>
                <w:sz w:val="22"/>
                <w:szCs w:val="22"/>
                <w:lang w:val="en-GB"/>
              </w:rPr>
            </w:pPr>
            <w:r w:rsidRPr="000D67C6">
              <w:rPr>
                <w:rFonts w:ascii="Arial" w:eastAsia="Verdana" w:hAnsi="Arial" w:cs="Arial"/>
                <w:sz w:val="22"/>
                <w:szCs w:val="22"/>
                <w:lang w:val="en-GB"/>
              </w:rPr>
              <w:t>The assets acquired under these leases are carried as Property, Plant and Equipment in the Balance Sheet at the following net amounts:</w:t>
            </w:r>
          </w:p>
        </w:tc>
      </w:tr>
      <w:tr w:rsidR="00464E99" w:rsidRPr="000D67C6" w14:paraId="3B281ED7" w14:textId="77777777" w:rsidTr="00237A89">
        <w:trPr>
          <w:trHeight w:val="300"/>
        </w:trPr>
        <w:tc>
          <w:tcPr>
            <w:tcW w:w="1418" w:type="dxa"/>
            <w:shd w:val="clear" w:color="auto" w:fill="auto"/>
            <w:tcMar>
              <w:top w:w="20" w:type="dxa"/>
              <w:left w:w="20" w:type="dxa"/>
              <w:bottom w:w="20" w:type="dxa"/>
              <w:right w:w="20" w:type="dxa"/>
            </w:tcMar>
            <w:vAlign w:val="bottom"/>
          </w:tcPr>
          <w:p w14:paraId="334B5CF3"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F20D20" w:rsidRPr="000D67C6">
              <w:rPr>
                <w:rFonts w:ascii="Arial" w:eastAsia="Verdana" w:hAnsi="Arial" w:cs="Arial"/>
                <w:b/>
                <w:sz w:val="22"/>
                <w:szCs w:val="22"/>
                <w:lang w:val="en-GB"/>
              </w:rPr>
              <w:t>8</w:t>
            </w:r>
          </w:p>
        </w:tc>
        <w:tc>
          <w:tcPr>
            <w:tcW w:w="283" w:type="dxa"/>
            <w:shd w:val="clear" w:color="auto" w:fill="auto"/>
            <w:tcMar>
              <w:top w:w="20" w:type="dxa"/>
              <w:left w:w="20" w:type="dxa"/>
              <w:bottom w:w="20" w:type="dxa"/>
              <w:right w:w="20" w:type="dxa"/>
            </w:tcMar>
            <w:vAlign w:val="bottom"/>
          </w:tcPr>
          <w:p w14:paraId="6D399F68"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670" w:type="dxa"/>
            <w:gridSpan w:val="2"/>
            <w:shd w:val="clear" w:color="auto" w:fill="auto"/>
            <w:tcMar>
              <w:top w:w="20" w:type="dxa"/>
              <w:left w:w="20" w:type="dxa"/>
              <w:bottom w:w="20" w:type="dxa"/>
              <w:right w:w="20" w:type="dxa"/>
            </w:tcMar>
            <w:vAlign w:val="bottom"/>
          </w:tcPr>
          <w:p w14:paraId="56A53D69"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8" w:type="dxa"/>
            <w:shd w:val="clear" w:color="auto" w:fill="auto"/>
            <w:tcMar>
              <w:top w:w="20" w:type="dxa"/>
              <w:left w:w="20" w:type="dxa"/>
              <w:bottom w:w="20" w:type="dxa"/>
              <w:right w:w="20" w:type="dxa"/>
            </w:tcMar>
            <w:vAlign w:val="bottom"/>
          </w:tcPr>
          <w:p w14:paraId="1C31BCE3"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F20D20" w:rsidRPr="000D67C6">
              <w:rPr>
                <w:rFonts w:ascii="Arial" w:eastAsia="Verdana" w:hAnsi="Arial" w:cs="Arial"/>
                <w:b/>
                <w:sz w:val="22"/>
                <w:szCs w:val="22"/>
                <w:lang w:val="en-GB"/>
              </w:rPr>
              <w:t>9</w:t>
            </w:r>
          </w:p>
        </w:tc>
      </w:tr>
      <w:tr w:rsidR="00464E99" w:rsidRPr="000D67C6" w14:paraId="6A826AAD" w14:textId="77777777" w:rsidTr="00237A89">
        <w:trPr>
          <w:trHeight w:val="300"/>
        </w:trPr>
        <w:tc>
          <w:tcPr>
            <w:tcW w:w="1418" w:type="dxa"/>
            <w:tcBorders>
              <w:bottom w:val="single" w:sz="2" w:space="0" w:color="000000"/>
            </w:tcBorders>
            <w:shd w:val="clear" w:color="auto" w:fill="auto"/>
            <w:tcMar>
              <w:top w:w="20" w:type="dxa"/>
              <w:left w:w="20" w:type="dxa"/>
              <w:bottom w:w="20" w:type="dxa"/>
              <w:right w:w="20" w:type="dxa"/>
            </w:tcMar>
          </w:tcPr>
          <w:p w14:paraId="0D33F7CC"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83" w:type="dxa"/>
            <w:tcBorders>
              <w:bottom w:val="single" w:sz="2" w:space="0" w:color="000000"/>
            </w:tcBorders>
            <w:shd w:val="clear" w:color="auto" w:fill="auto"/>
            <w:tcMar>
              <w:top w:w="20" w:type="dxa"/>
              <w:left w:w="20" w:type="dxa"/>
              <w:bottom w:w="20" w:type="dxa"/>
              <w:right w:w="20" w:type="dxa"/>
            </w:tcMar>
          </w:tcPr>
          <w:p w14:paraId="1DB610D9"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529" w:type="dxa"/>
            <w:tcBorders>
              <w:bottom w:val="single" w:sz="2" w:space="0" w:color="000000"/>
            </w:tcBorders>
            <w:shd w:val="clear" w:color="auto" w:fill="auto"/>
            <w:tcMar>
              <w:top w:w="20" w:type="dxa"/>
              <w:left w:w="20" w:type="dxa"/>
              <w:bottom w:w="20" w:type="dxa"/>
              <w:right w:w="20" w:type="dxa"/>
            </w:tcMar>
          </w:tcPr>
          <w:p w14:paraId="6CB11019"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559" w:type="dxa"/>
            <w:gridSpan w:val="2"/>
            <w:tcBorders>
              <w:bottom w:val="single" w:sz="2" w:space="0" w:color="000000"/>
            </w:tcBorders>
            <w:shd w:val="clear" w:color="auto" w:fill="auto"/>
            <w:tcMar>
              <w:top w:w="20" w:type="dxa"/>
              <w:left w:w="20" w:type="dxa"/>
              <w:bottom w:w="20" w:type="dxa"/>
              <w:right w:w="20" w:type="dxa"/>
            </w:tcMar>
          </w:tcPr>
          <w:p w14:paraId="5FC382EB" w14:textId="77777777" w:rsidR="00464E99" w:rsidRPr="000D67C6" w:rsidRDefault="00C141B0"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8F013B" w:rsidRPr="000D67C6">
              <w:rPr>
                <w:rFonts w:ascii="Arial" w:eastAsia="Verdana" w:hAnsi="Arial" w:cs="Arial"/>
                <w:b/>
                <w:sz w:val="22"/>
                <w:szCs w:val="22"/>
                <w:lang w:val="en-GB"/>
              </w:rPr>
              <w:t>000</w:t>
            </w:r>
          </w:p>
        </w:tc>
      </w:tr>
      <w:tr w:rsidR="00464E99" w:rsidRPr="000D67C6" w14:paraId="43B102B4" w14:textId="77777777" w:rsidTr="005A7362">
        <w:trPr>
          <w:trHeight w:val="315"/>
        </w:trPr>
        <w:tc>
          <w:tcPr>
            <w:tcW w:w="1418" w:type="dxa"/>
            <w:shd w:val="clear" w:color="auto" w:fill="auto"/>
            <w:tcMar>
              <w:top w:w="20" w:type="dxa"/>
              <w:left w:w="20" w:type="dxa"/>
              <w:bottom w:w="20" w:type="dxa"/>
              <w:right w:w="20" w:type="dxa"/>
            </w:tcMar>
            <w:vAlign w:val="center"/>
          </w:tcPr>
          <w:p w14:paraId="284371F9" w14:textId="77777777" w:rsidR="00464E99" w:rsidRPr="000D67C6" w:rsidRDefault="008F013B" w:rsidP="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3" w:type="dxa"/>
            <w:shd w:val="clear" w:color="auto" w:fill="auto"/>
            <w:tcMar>
              <w:top w:w="20" w:type="dxa"/>
              <w:left w:w="20" w:type="dxa"/>
              <w:bottom w:w="20" w:type="dxa"/>
              <w:right w:w="20" w:type="dxa"/>
            </w:tcMar>
            <w:vAlign w:val="center"/>
          </w:tcPr>
          <w:p w14:paraId="3E78325A" w14:textId="77777777" w:rsidR="00464E99" w:rsidRPr="000D67C6" w:rsidRDefault="008F013B" w:rsidP="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529" w:type="dxa"/>
            <w:shd w:val="clear" w:color="auto" w:fill="auto"/>
            <w:tcMar>
              <w:top w:w="20" w:type="dxa"/>
              <w:left w:w="20" w:type="dxa"/>
              <w:bottom w:w="20" w:type="dxa"/>
              <w:right w:w="20" w:type="dxa"/>
            </w:tcMar>
            <w:vAlign w:val="center"/>
          </w:tcPr>
          <w:p w14:paraId="243078D2" w14:textId="77777777" w:rsidR="00464E99" w:rsidRPr="000D67C6" w:rsidRDefault="008F013B" w:rsidP="008F013B">
            <w:pPr>
              <w:pStyle w:val="T1TableStyle"/>
              <w:rPr>
                <w:rFonts w:ascii="Arial" w:eastAsia="Verdana" w:hAnsi="Arial" w:cs="Arial"/>
                <w:sz w:val="22"/>
                <w:szCs w:val="22"/>
                <w:lang w:val="en-GB"/>
              </w:rPr>
            </w:pPr>
            <w:r w:rsidRPr="000D67C6">
              <w:rPr>
                <w:rFonts w:ascii="Arial" w:eastAsia="Verdana" w:hAnsi="Arial" w:cs="Arial"/>
                <w:sz w:val="22"/>
                <w:szCs w:val="22"/>
                <w:lang w:val="en-GB"/>
              </w:rPr>
              <w:t>Other Land and Buildings</w:t>
            </w:r>
          </w:p>
        </w:tc>
        <w:tc>
          <w:tcPr>
            <w:tcW w:w="1559" w:type="dxa"/>
            <w:gridSpan w:val="2"/>
            <w:shd w:val="clear" w:color="auto" w:fill="auto"/>
            <w:tcMar>
              <w:top w:w="20" w:type="dxa"/>
              <w:left w:w="20" w:type="dxa"/>
              <w:bottom w:w="20" w:type="dxa"/>
              <w:right w:w="20" w:type="dxa"/>
            </w:tcMar>
            <w:vAlign w:val="center"/>
          </w:tcPr>
          <w:p w14:paraId="7297C6C2" w14:textId="77777777" w:rsidR="00464E99" w:rsidRPr="000D67C6" w:rsidRDefault="00546AC7" w:rsidP="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F20D20" w:rsidRPr="000D67C6" w14:paraId="3594EF16" w14:textId="77777777" w:rsidTr="005A7362">
        <w:trPr>
          <w:trHeight w:val="315"/>
        </w:trPr>
        <w:tc>
          <w:tcPr>
            <w:tcW w:w="1418" w:type="dxa"/>
            <w:shd w:val="clear" w:color="auto" w:fill="auto"/>
            <w:tcMar>
              <w:top w:w="20" w:type="dxa"/>
              <w:left w:w="20" w:type="dxa"/>
              <w:bottom w:w="20" w:type="dxa"/>
              <w:right w:w="20" w:type="dxa"/>
            </w:tcMar>
            <w:vAlign w:val="center"/>
          </w:tcPr>
          <w:p w14:paraId="78C1818A"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4,399</w:t>
            </w:r>
          </w:p>
        </w:tc>
        <w:tc>
          <w:tcPr>
            <w:tcW w:w="283" w:type="dxa"/>
            <w:shd w:val="clear" w:color="auto" w:fill="auto"/>
            <w:tcMar>
              <w:top w:w="20" w:type="dxa"/>
              <w:left w:w="20" w:type="dxa"/>
              <w:bottom w:w="20" w:type="dxa"/>
              <w:right w:w="20" w:type="dxa"/>
            </w:tcMar>
            <w:vAlign w:val="center"/>
          </w:tcPr>
          <w:p w14:paraId="32937648"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529" w:type="dxa"/>
            <w:shd w:val="clear" w:color="auto" w:fill="auto"/>
            <w:tcMar>
              <w:top w:w="20" w:type="dxa"/>
              <w:left w:w="20" w:type="dxa"/>
              <w:bottom w:w="20" w:type="dxa"/>
              <w:right w:w="20" w:type="dxa"/>
            </w:tcMar>
            <w:vAlign w:val="center"/>
          </w:tcPr>
          <w:p w14:paraId="5E2D7867"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Vehicles, Plant, Furniture, Equipment and Other</w:t>
            </w:r>
          </w:p>
        </w:tc>
        <w:tc>
          <w:tcPr>
            <w:tcW w:w="1559" w:type="dxa"/>
            <w:gridSpan w:val="2"/>
            <w:shd w:val="clear" w:color="auto" w:fill="auto"/>
            <w:tcMar>
              <w:top w:w="20" w:type="dxa"/>
              <w:left w:w="20" w:type="dxa"/>
              <w:bottom w:w="20" w:type="dxa"/>
              <w:right w:w="20" w:type="dxa"/>
            </w:tcMar>
            <w:vAlign w:val="center"/>
          </w:tcPr>
          <w:p w14:paraId="1170F5DE" w14:textId="77777777" w:rsidR="00F20D20" w:rsidRPr="000D67C6" w:rsidRDefault="00FA205D"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3,660</w:t>
            </w:r>
          </w:p>
        </w:tc>
      </w:tr>
      <w:tr w:rsidR="00F20D20" w:rsidRPr="000D67C6" w14:paraId="6D73122A" w14:textId="77777777" w:rsidTr="005A7362">
        <w:trPr>
          <w:trHeight w:val="315"/>
        </w:trPr>
        <w:tc>
          <w:tcPr>
            <w:tcW w:w="141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DA4E3A1" w14:textId="77777777" w:rsidR="00F20D20" w:rsidRPr="000D67C6" w:rsidRDefault="00F20D20"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4,399</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9BD59A7" w14:textId="77777777" w:rsidR="00F20D20" w:rsidRPr="000D67C6" w:rsidRDefault="00F20D20" w:rsidP="00F20D2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52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0251E0E"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559"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AFED662" w14:textId="77777777" w:rsidR="00F20D20" w:rsidRPr="000D67C6" w:rsidRDefault="00FA205D"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3,660</w:t>
            </w:r>
          </w:p>
        </w:tc>
      </w:tr>
      <w:tr w:rsidR="00464E99" w:rsidRPr="000D67C6" w14:paraId="21633B5C" w14:textId="77777777" w:rsidTr="00CA36B7">
        <w:trPr>
          <w:trHeight w:val="645"/>
        </w:trPr>
        <w:tc>
          <w:tcPr>
            <w:tcW w:w="8789" w:type="dxa"/>
            <w:gridSpan w:val="5"/>
            <w:shd w:val="clear" w:color="auto" w:fill="auto"/>
            <w:tcMar>
              <w:top w:w="20" w:type="dxa"/>
              <w:left w:w="20" w:type="dxa"/>
              <w:bottom w:w="20" w:type="dxa"/>
              <w:right w:w="20" w:type="dxa"/>
            </w:tcMar>
            <w:vAlign w:val="bottom"/>
          </w:tcPr>
          <w:p w14:paraId="728CC7AC" w14:textId="77777777" w:rsidR="00B1097D" w:rsidRPr="000D67C6" w:rsidRDefault="00B1097D" w:rsidP="00B1097D">
            <w:pPr>
              <w:pStyle w:val="T1TableStyle"/>
              <w:jc w:val="both"/>
              <w:rPr>
                <w:rFonts w:ascii="Arial" w:eastAsia="Verdana" w:hAnsi="Arial" w:cs="Arial"/>
                <w:sz w:val="22"/>
                <w:szCs w:val="22"/>
                <w:lang w:val="en-GB"/>
              </w:rPr>
            </w:pPr>
          </w:p>
          <w:p w14:paraId="1DD4F96A" w14:textId="77777777" w:rsidR="00464E99" w:rsidRPr="000D67C6" w:rsidRDefault="00B1097D" w:rsidP="00B1097D">
            <w:pPr>
              <w:pStyle w:val="T1TableStyle"/>
              <w:jc w:val="both"/>
              <w:rPr>
                <w:rFonts w:ascii="Arial" w:eastAsia="Verdana" w:hAnsi="Arial" w:cs="Arial"/>
                <w:sz w:val="22"/>
                <w:szCs w:val="22"/>
                <w:lang w:val="en-GB"/>
              </w:rPr>
            </w:pPr>
            <w:r w:rsidRPr="000D67C6">
              <w:rPr>
                <w:rFonts w:ascii="Arial" w:eastAsia="Verdana" w:hAnsi="Arial" w:cs="Arial"/>
                <w:sz w:val="22"/>
                <w:szCs w:val="22"/>
                <w:lang w:val="en-GB"/>
              </w:rPr>
              <w:t xml:space="preserve">The Authority is committed to making minimum payments under these leases comprising settlement of the long-term liability for the interest in the vehicle acquired by the Authority and finance costs that will be payable by the Authority in future years while the liability remains outstanding. </w:t>
            </w:r>
            <w:r w:rsidR="008F013B" w:rsidRPr="000D67C6">
              <w:rPr>
                <w:rFonts w:ascii="Arial" w:eastAsia="Verdana" w:hAnsi="Arial" w:cs="Arial"/>
                <w:sz w:val="22"/>
                <w:szCs w:val="22"/>
                <w:lang w:val="en-GB"/>
              </w:rPr>
              <w:t>The minimum lease payments are made up of the following amounts:</w:t>
            </w:r>
          </w:p>
          <w:p w14:paraId="0E710897" w14:textId="77777777" w:rsidR="00237A89" w:rsidRPr="000D67C6" w:rsidRDefault="00237A89" w:rsidP="00B1097D">
            <w:pPr>
              <w:pStyle w:val="T1TableStyle"/>
              <w:jc w:val="both"/>
              <w:rPr>
                <w:rFonts w:ascii="Arial" w:eastAsia="Verdana" w:hAnsi="Arial" w:cs="Arial"/>
                <w:sz w:val="22"/>
                <w:szCs w:val="22"/>
                <w:lang w:val="en-GB"/>
              </w:rPr>
            </w:pPr>
          </w:p>
        </w:tc>
      </w:tr>
      <w:tr w:rsidR="00B1097D" w:rsidRPr="000D67C6" w14:paraId="101DD5EA" w14:textId="77777777" w:rsidTr="00237A89">
        <w:trPr>
          <w:trHeight w:val="300"/>
        </w:trPr>
        <w:tc>
          <w:tcPr>
            <w:tcW w:w="1418" w:type="dxa"/>
            <w:shd w:val="clear" w:color="auto" w:fill="auto"/>
            <w:tcMar>
              <w:top w:w="20" w:type="dxa"/>
              <w:left w:w="20" w:type="dxa"/>
              <w:bottom w:w="20" w:type="dxa"/>
              <w:right w:w="20" w:type="dxa"/>
            </w:tcMar>
            <w:vAlign w:val="bottom"/>
          </w:tcPr>
          <w:p w14:paraId="76E8FC3B" w14:textId="77777777" w:rsidR="00B1097D" w:rsidRPr="000D67C6" w:rsidRDefault="00EB2CB4"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F20D20" w:rsidRPr="000D67C6">
              <w:rPr>
                <w:rFonts w:ascii="Arial" w:eastAsia="Verdana" w:hAnsi="Arial" w:cs="Arial"/>
                <w:b/>
                <w:sz w:val="22"/>
                <w:szCs w:val="22"/>
                <w:lang w:val="en-GB"/>
              </w:rPr>
              <w:t>8</w:t>
            </w:r>
          </w:p>
        </w:tc>
        <w:tc>
          <w:tcPr>
            <w:tcW w:w="283" w:type="dxa"/>
            <w:shd w:val="clear" w:color="auto" w:fill="auto"/>
            <w:tcMar>
              <w:top w:w="20" w:type="dxa"/>
              <w:left w:w="20" w:type="dxa"/>
              <w:bottom w:w="20" w:type="dxa"/>
              <w:right w:w="20" w:type="dxa"/>
            </w:tcMar>
            <w:vAlign w:val="bottom"/>
          </w:tcPr>
          <w:p w14:paraId="63214C08" w14:textId="77777777" w:rsidR="00B1097D" w:rsidRPr="000D67C6" w:rsidRDefault="00B1097D"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529" w:type="dxa"/>
            <w:vMerge w:val="restart"/>
            <w:shd w:val="clear" w:color="auto" w:fill="auto"/>
            <w:tcMar>
              <w:top w:w="20" w:type="dxa"/>
              <w:left w:w="20" w:type="dxa"/>
              <w:bottom w:w="20" w:type="dxa"/>
              <w:right w:w="20" w:type="dxa"/>
            </w:tcMar>
            <w:vAlign w:val="bottom"/>
          </w:tcPr>
          <w:p w14:paraId="0F6EBEA1" w14:textId="77777777" w:rsidR="00B1097D" w:rsidRPr="000D67C6" w:rsidRDefault="00B1097D" w:rsidP="00B1097D">
            <w:pPr>
              <w:pStyle w:val="T1TableStyle"/>
              <w:rPr>
                <w:rFonts w:ascii="Arial" w:eastAsia="Verdana" w:hAnsi="Arial" w:cs="Arial"/>
                <w:b/>
                <w:sz w:val="22"/>
                <w:szCs w:val="22"/>
                <w:lang w:val="en-GB"/>
              </w:rPr>
            </w:pPr>
            <w:r w:rsidRPr="000D67C6">
              <w:rPr>
                <w:rFonts w:ascii="Arial" w:eastAsia="Verdana" w:hAnsi="Arial" w:cs="Arial"/>
                <w:b/>
                <w:sz w:val="22"/>
                <w:szCs w:val="22"/>
                <w:lang w:val="en-GB"/>
              </w:rPr>
              <w:t>Finance lease liabilities (net present value of minimum lease payments):</w:t>
            </w:r>
          </w:p>
        </w:tc>
        <w:tc>
          <w:tcPr>
            <w:tcW w:w="1559" w:type="dxa"/>
            <w:gridSpan w:val="2"/>
            <w:shd w:val="clear" w:color="auto" w:fill="auto"/>
            <w:tcMar>
              <w:top w:w="20" w:type="dxa"/>
              <w:left w:w="20" w:type="dxa"/>
              <w:bottom w:w="20" w:type="dxa"/>
              <w:right w:w="20" w:type="dxa"/>
            </w:tcMar>
            <w:vAlign w:val="bottom"/>
          </w:tcPr>
          <w:p w14:paraId="2693D34C" w14:textId="77777777" w:rsidR="00B1097D" w:rsidRPr="000D67C6" w:rsidRDefault="00B1097D" w:rsidP="00237A89">
            <w:pPr>
              <w:pStyle w:val="T1TableStyle"/>
              <w:ind w:left="268"/>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F20D20" w:rsidRPr="000D67C6">
              <w:rPr>
                <w:rFonts w:ascii="Arial" w:eastAsia="Verdana" w:hAnsi="Arial" w:cs="Arial"/>
                <w:b/>
                <w:sz w:val="22"/>
                <w:szCs w:val="22"/>
                <w:lang w:val="en-GB"/>
              </w:rPr>
              <w:t>9</w:t>
            </w:r>
          </w:p>
        </w:tc>
      </w:tr>
      <w:tr w:rsidR="00B1097D" w:rsidRPr="000D67C6" w14:paraId="5878339E" w14:textId="77777777" w:rsidTr="00237A89">
        <w:trPr>
          <w:trHeight w:val="300"/>
        </w:trPr>
        <w:tc>
          <w:tcPr>
            <w:tcW w:w="1418" w:type="dxa"/>
            <w:tcBorders>
              <w:bottom w:val="single" w:sz="2" w:space="0" w:color="000000"/>
            </w:tcBorders>
            <w:shd w:val="clear" w:color="auto" w:fill="auto"/>
            <w:tcMar>
              <w:top w:w="20" w:type="dxa"/>
              <w:left w:w="20" w:type="dxa"/>
              <w:bottom w:w="20" w:type="dxa"/>
              <w:right w:w="20" w:type="dxa"/>
            </w:tcMar>
          </w:tcPr>
          <w:p w14:paraId="63A43A89" w14:textId="77777777" w:rsidR="00B1097D" w:rsidRPr="000D67C6" w:rsidRDefault="00B1097D"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83" w:type="dxa"/>
            <w:tcBorders>
              <w:bottom w:val="single" w:sz="2" w:space="0" w:color="000000"/>
            </w:tcBorders>
            <w:shd w:val="clear" w:color="auto" w:fill="auto"/>
            <w:tcMar>
              <w:top w:w="20" w:type="dxa"/>
              <w:left w:w="20" w:type="dxa"/>
              <w:bottom w:w="20" w:type="dxa"/>
              <w:right w:w="20" w:type="dxa"/>
            </w:tcMar>
          </w:tcPr>
          <w:p w14:paraId="2E669361" w14:textId="77777777" w:rsidR="00B1097D" w:rsidRPr="000D67C6" w:rsidRDefault="00B1097D"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529" w:type="dxa"/>
            <w:vMerge/>
            <w:tcBorders>
              <w:bottom w:val="single" w:sz="2" w:space="0" w:color="000000"/>
            </w:tcBorders>
            <w:shd w:val="clear" w:color="auto" w:fill="auto"/>
            <w:tcMar>
              <w:top w:w="20" w:type="dxa"/>
              <w:left w:w="20" w:type="dxa"/>
              <w:bottom w:w="20" w:type="dxa"/>
              <w:right w:w="20" w:type="dxa"/>
            </w:tcMar>
            <w:vAlign w:val="bottom"/>
          </w:tcPr>
          <w:p w14:paraId="3030C283" w14:textId="77777777" w:rsidR="00B1097D" w:rsidRPr="000D67C6" w:rsidRDefault="00B1097D" w:rsidP="00B1097D">
            <w:pPr>
              <w:pStyle w:val="T1TableStyle"/>
              <w:rPr>
                <w:rFonts w:ascii="Arial" w:eastAsia="Verdana" w:hAnsi="Arial" w:cs="Arial"/>
                <w:b/>
                <w:sz w:val="22"/>
                <w:szCs w:val="22"/>
                <w:lang w:val="en-GB"/>
              </w:rPr>
            </w:pPr>
          </w:p>
        </w:tc>
        <w:tc>
          <w:tcPr>
            <w:tcW w:w="1559" w:type="dxa"/>
            <w:gridSpan w:val="2"/>
            <w:tcBorders>
              <w:bottom w:val="single" w:sz="2" w:space="0" w:color="000000"/>
            </w:tcBorders>
            <w:shd w:val="clear" w:color="auto" w:fill="auto"/>
            <w:tcMar>
              <w:top w:w="20" w:type="dxa"/>
              <w:left w:w="20" w:type="dxa"/>
              <w:bottom w:w="20" w:type="dxa"/>
              <w:right w:w="20" w:type="dxa"/>
            </w:tcMar>
          </w:tcPr>
          <w:p w14:paraId="59A2E000" w14:textId="77777777" w:rsidR="00B1097D" w:rsidRPr="000D67C6" w:rsidRDefault="00B1097D"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F20D20" w:rsidRPr="000D67C6" w14:paraId="7D1DB3CF" w14:textId="77777777" w:rsidTr="005A7362">
        <w:trPr>
          <w:trHeight w:val="368"/>
        </w:trPr>
        <w:tc>
          <w:tcPr>
            <w:tcW w:w="1418" w:type="dxa"/>
            <w:shd w:val="clear" w:color="auto" w:fill="auto"/>
            <w:tcMar>
              <w:top w:w="20" w:type="dxa"/>
              <w:left w:w="20" w:type="dxa"/>
              <w:bottom w:w="20" w:type="dxa"/>
              <w:right w:w="20" w:type="dxa"/>
            </w:tcMar>
            <w:vAlign w:val="center"/>
          </w:tcPr>
          <w:p w14:paraId="16612984"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729</w:t>
            </w:r>
          </w:p>
        </w:tc>
        <w:tc>
          <w:tcPr>
            <w:tcW w:w="283" w:type="dxa"/>
            <w:shd w:val="clear" w:color="auto" w:fill="auto"/>
            <w:tcMar>
              <w:top w:w="20" w:type="dxa"/>
              <w:left w:w="20" w:type="dxa"/>
              <w:bottom w:w="20" w:type="dxa"/>
              <w:right w:w="20" w:type="dxa"/>
            </w:tcMar>
            <w:vAlign w:val="center"/>
          </w:tcPr>
          <w:p w14:paraId="28825CC2"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529" w:type="dxa"/>
            <w:shd w:val="clear" w:color="auto" w:fill="auto"/>
            <w:tcMar>
              <w:top w:w="20" w:type="dxa"/>
              <w:left w:w="20" w:type="dxa"/>
              <w:bottom w:w="20" w:type="dxa"/>
              <w:right w:w="20" w:type="dxa"/>
            </w:tcMar>
            <w:vAlign w:val="center"/>
          </w:tcPr>
          <w:p w14:paraId="2C2D53F9"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 Current</w:t>
            </w:r>
          </w:p>
        </w:tc>
        <w:tc>
          <w:tcPr>
            <w:tcW w:w="1559" w:type="dxa"/>
            <w:gridSpan w:val="2"/>
            <w:shd w:val="clear" w:color="auto" w:fill="auto"/>
            <w:tcMar>
              <w:top w:w="20" w:type="dxa"/>
              <w:left w:w="20" w:type="dxa"/>
              <w:bottom w:w="20" w:type="dxa"/>
              <w:right w:w="20" w:type="dxa"/>
            </w:tcMar>
            <w:vAlign w:val="center"/>
          </w:tcPr>
          <w:p w14:paraId="61FB3499" w14:textId="77777777" w:rsidR="00F20D20" w:rsidRPr="000D67C6" w:rsidRDefault="00940077"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638</w:t>
            </w:r>
          </w:p>
        </w:tc>
      </w:tr>
      <w:tr w:rsidR="00F20D20" w:rsidRPr="000D67C6" w14:paraId="0CBB47CF" w14:textId="77777777" w:rsidTr="005A7362">
        <w:trPr>
          <w:trHeight w:val="368"/>
        </w:trPr>
        <w:tc>
          <w:tcPr>
            <w:tcW w:w="1418" w:type="dxa"/>
            <w:shd w:val="clear" w:color="auto" w:fill="auto"/>
            <w:tcMar>
              <w:top w:w="20" w:type="dxa"/>
              <w:left w:w="20" w:type="dxa"/>
              <w:bottom w:w="20" w:type="dxa"/>
              <w:right w:w="20" w:type="dxa"/>
            </w:tcMar>
            <w:vAlign w:val="center"/>
          </w:tcPr>
          <w:p w14:paraId="7788116B"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4,090</w:t>
            </w:r>
          </w:p>
        </w:tc>
        <w:tc>
          <w:tcPr>
            <w:tcW w:w="283" w:type="dxa"/>
            <w:shd w:val="clear" w:color="auto" w:fill="auto"/>
            <w:tcMar>
              <w:top w:w="20" w:type="dxa"/>
              <w:left w:w="20" w:type="dxa"/>
              <w:bottom w:w="20" w:type="dxa"/>
              <w:right w:w="20" w:type="dxa"/>
            </w:tcMar>
            <w:vAlign w:val="center"/>
          </w:tcPr>
          <w:p w14:paraId="3A113493"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529" w:type="dxa"/>
            <w:shd w:val="clear" w:color="auto" w:fill="auto"/>
            <w:tcMar>
              <w:top w:w="20" w:type="dxa"/>
              <w:left w:w="20" w:type="dxa"/>
              <w:bottom w:w="20" w:type="dxa"/>
              <w:right w:w="20" w:type="dxa"/>
            </w:tcMar>
            <w:vAlign w:val="center"/>
          </w:tcPr>
          <w:p w14:paraId="411ACB3C"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 Non-current</w:t>
            </w:r>
          </w:p>
        </w:tc>
        <w:tc>
          <w:tcPr>
            <w:tcW w:w="1559" w:type="dxa"/>
            <w:gridSpan w:val="2"/>
            <w:shd w:val="clear" w:color="auto" w:fill="auto"/>
            <w:tcMar>
              <w:top w:w="20" w:type="dxa"/>
              <w:left w:w="20" w:type="dxa"/>
              <w:bottom w:w="20" w:type="dxa"/>
              <w:right w:w="20" w:type="dxa"/>
            </w:tcMar>
            <w:vAlign w:val="center"/>
          </w:tcPr>
          <w:p w14:paraId="3BF3A2DA" w14:textId="77777777" w:rsidR="00F20D20" w:rsidRPr="000D67C6" w:rsidRDefault="00940077"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3,452</w:t>
            </w:r>
          </w:p>
        </w:tc>
      </w:tr>
      <w:tr w:rsidR="00F20D20" w:rsidRPr="000D67C6" w14:paraId="75E68756" w14:textId="77777777" w:rsidTr="005A7362">
        <w:trPr>
          <w:trHeight w:val="368"/>
        </w:trPr>
        <w:tc>
          <w:tcPr>
            <w:tcW w:w="1418" w:type="dxa"/>
            <w:shd w:val="clear" w:color="auto" w:fill="auto"/>
            <w:tcMar>
              <w:top w:w="20" w:type="dxa"/>
              <w:left w:w="20" w:type="dxa"/>
              <w:bottom w:w="20" w:type="dxa"/>
              <w:right w:w="20" w:type="dxa"/>
            </w:tcMar>
            <w:vAlign w:val="center"/>
          </w:tcPr>
          <w:p w14:paraId="07BE9609" w14:textId="77777777" w:rsidR="00F20D20" w:rsidRPr="000D67C6" w:rsidRDefault="00F20D20"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773</w:t>
            </w:r>
          </w:p>
        </w:tc>
        <w:tc>
          <w:tcPr>
            <w:tcW w:w="283" w:type="dxa"/>
            <w:shd w:val="clear" w:color="auto" w:fill="auto"/>
            <w:tcMar>
              <w:top w:w="20" w:type="dxa"/>
              <w:left w:w="20" w:type="dxa"/>
              <w:bottom w:w="20" w:type="dxa"/>
              <w:right w:w="20" w:type="dxa"/>
            </w:tcMar>
            <w:vAlign w:val="center"/>
          </w:tcPr>
          <w:p w14:paraId="358E95D6" w14:textId="77777777" w:rsidR="00F20D20" w:rsidRPr="000D67C6" w:rsidRDefault="00F20D20" w:rsidP="00F20D20">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529" w:type="dxa"/>
            <w:shd w:val="clear" w:color="auto" w:fill="auto"/>
            <w:tcMar>
              <w:top w:w="20" w:type="dxa"/>
              <w:left w:w="20" w:type="dxa"/>
              <w:bottom w:w="20" w:type="dxa"/>
              <w:right w:w="20" w:type="dxa"/>
            </w:tcMar>
            <w:vAlign w:val="center"/>
          </w:tcPr>
          <w:p w14:paraId="3A16FFEB" w14:textId="77777777" w:rsidR="00F20D20" w:rsidRPr="000D67C6" w:rsidRDefault="00F20D20" w:rsidP="00F20D20">
            <w:pPr>
              <w:pStyle w:val="T1TableStyle"/>
              <w:rPr>
                <w:rFonts w:ascii="Arial" w:eastAsia="Verdana" w:hAnsi="Arial" w:cs="Arial"/>
                <w:sz w:val="22"/>
                <w:szCs w:val="22"/>
                <w:lang w:val="en-GB"/>
              </w:rPr>
            </w:pPr>
            <w:r w:rsidRPr="000D67C6">
              <w:rPr>
                <w:rFonts w:ascii="Arial" w:eastAsia="Verdana" w:hAnsi="Arial" w:cs="Arial"/>
                <w:sz w:val="22"/>
                <w:szCs w:val="22"/>
                <w:lang w:val="en-GB"/>
              </w:rPr>
              <w:t>Finance costs payable in future years</w:t>
            </w:r>
          </w:p>
        </w:tc>
        <w:tc>
          <w:tcPr>
            <w:tcW w:w="1559" w:type="dxa"/>
            <w:gridSpan w:val="2"/>
            <w:shd w:val="clear" w:color="auto" w:fill="auto"/>
            <w:tcMar>
              <w:top w:w="20" w:type="dxa"/>
              <w:left w:w="20" w:type="dxa"/>
              <w:bottom w:w="20" w:type="dxa"/>
              <w:right w:w="20" w:type="dxa"/>
            </w:tcMar>
            <w:vAlign w:val="center"/>
          </w:tcPr>
          <w:p w14:paraId="1F64B7A9" w14:textId="77777777" w:rsidR="00F20D20" w:rsidRPr="000D67C6" w:rsidRDefault="00940077" w:rsidP="00F20D20">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612</w:t>
            </w:r>
          </w:p>
        </w:tc>
      </w:tr>
      <w:tr w:rsidR="00F20D20" w:rsidRPr="000D67C6" w14:paraId="582958D3" w14:textId="77777777" w:rsidTr="005A7362">
        <w:trPr>
          <w:trHeight w:val="368"/>
        </w:trPr>
        <w:tc>
          <w:tcPr>
            <w:tcW w:w="141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7E2F03F" w14:textId="77777777" w:rsidR="00F20D20" w:rsidRPr="000D67C6" w:rsidRDefault="00F20D20"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5,592</w:t>
            </w:r>
          </w:p>
        </w:tc>
        <w:tc>
          <w:tcPr>
            <w:tcW w:w="28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275A0F" w14:textId="77777777" w:rsidR="00F20D20" w:rsidRPr="000D67C6" w:rsidRDefault="00F20D20" w:rsidP="00F20D2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52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8B6BBA1" w14:textId="77777777" w:rsidR="00F20D20" w:rsidRPr="000D67C6" w:rsidRDefault="00F20D20" w:rsidP="00F20D20">
            <w:pPr>
              <w:pStyle w:val="T1TableStyle"/>
              <w:rPr>
                <w:rFonts w:ascii="Arial" w:eastAsia="Verdana" w:hAnsi="Arial" w:cs="Arial"/>
                <w:b/>
                <w:sz w:val="22"/>
                <w:szCs w:val="22"/>
                <w:lang w:val="en-GB"/>
              </w:rPr>
            </w:pPr>
            <w:r w:rsidRPr="000D67C6">
              <w:rPr>
                <w:rFonts w:ascii="Arial" w:eastAsia="Verdana" w:hAnsi="Arial" w:cs="Arial"/>
                <w:b/>
                <w:sz w:val="22"/>
                <w:szCs w:val="22"/>
                <w:lang w:val="en-GB"/>
              </w:rPr>
              <w:t>Minimum lease payments</w:t>
            </w:r>
          </w:p>
        </w:tc>
        <w:tc>
          <w:tcPr>
            <w:tcW w:w="1559"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548E296" w14:textId="77777777" w:rsidR="00F20D20" w:rsidRPr="000D67C6" w:rsidRDefault="00940077" w:rsidP="00F20D2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4,702</w:t>
            </w:r>
          </w:p>
        </w:tc>
      </w:tr>
    </w:tbl>
    <w:p w14:paraId="454189AB" w14:textId="77777777" w:rsidR="008F013B" w:rsidRPr="000D67C6" w:rsidRDefault="008F013B" w:rsidP="008F013B">
      <w:pPr>
        <w:pStyle w:val="T1TableStyle"/>
        <w:rPr>
          <w:rFonts w:ascii="Arial" w:eastAsia="Calibri" w:hAnsi="Arial" w:cs="Arial"/>
          <w:sz w:val="22"/>
          <w:szCs w:val="22"/>
          <w:lang w:val="en-GB"/>
        </w:rPr>
      </w:pPr>
    </w:p>
    <w:tbl>
      <w:tblPr>
        <w:tblW w:w="0" w:type="auto"/>
        <w:tblLayout w:type="fixed"/>
        <w:tblLook w:val="04A0" w:firstRow="1" w:lastRow="0" w:firstColumn="1" w:lastColumn="0" w:noHBand="0" w:noVBand="1"/>
      </w:tblPr>
      <w:tblGrid>
        <w:gridCol w:w="1276"/>
        <w:gridCol w:w="1276"/>
        <w:gridCol w:w="343"/>
        <w:gridCol w:w="3059"/>
        <w:gridCol w:w="1417"/>
        <w:gridCol w:w="1418"/>
      </w:tblGrid>
      <w:tr w:rsidR="00464E99" w:rsidRPr="000D67C6" w14:paraId="445A2244" w14:textId="77777777" w:rsidTr="00CA36B7">
        <w:trPr>
          <w:trHeight w:val="375"/>
        </w:trPr>
        <w:tc>
          <w:tcPr>
            <w:tcW w:w="8789" w:type="dxa"/>
            <w:gridSpan w:val="6"/>
            <w:shd w:val="clear" w:color="auto" w:fill="auto"/>
            <w:tcMar>
              <w:top w:w="20" w:type="dxa"/>
              <w:left w:w="20" w:type="dxa"/>
              <w:bottom w:w="20" w:type="dxa"/>
              <w:right w:w="20" w:type="dxa"/>
            </w:tcMar>
            <w:vAlign w:val="bottom"/>
          </w:tcPr>
          <w:p w14:paraId="7E4B37FD" w14:textId="77777777" w:rsidR="00464E99" w:rsidRPr="000D67C6" w:rsidRDefault="008F013B" w:rsidP="008F013B">
            <w:pPr>
              <w:pStyle w:val="T1TableStyle"/>
              <w:rPr>
                <w:rFonts w:ascii="Arial" w:eastAsia="Verdana" w:hAnsi="Arial" w:cs="Arial"/>
                <w:b/>
                <w:sz w:val="22"/>
                <w:szCs w:val="22"/>
                <w:lang w:val="en-GB"/>
              </w:rPr>
            </w:pPr>
            <w:r w:rsidRPr="000D67C6">
              <w:rPr>
                <w:rFonts w:ascii="Arial" w:eastAsia="Verdana" w:hAnsi="Arial" w:cs="Arial"/>
                <w:b/>
                <w:sz w:val="22"/>
                <w:szCs w:val="22"/>
                <w:lang w:val="en-GB"/>
              </w:rPr>
              <w:t>The minimum lease payments will be payable over the following periods:</w:t>
            </w:r>
          </w:p>
          <w:p w14:paraId="26AFE111" w14:textId="77777777" w:rsidR="00237A89" w:rsidRPr="000D67C6" w:rsidRDefault="00237A89" w:rsidP="008F013B">
            <w:pPr>
              <w:pStyle w:val="T1TableStyle"/>
              <w:rPr>
                <w:rFonts w:ascii="Arial" w:eastAsia="Verdana" w:hAnsi="Arial" w:cs="Arial"/>
                <w:b/>
                <w:sz w:val="22"/>
                <w:szCs w:val="22"/>
                <w:lang w:val="en-GB"/>
              </w:rPr>
            </w:pPr>
          </w:p>
        </w:tc>
      </w:tr>
      <w:tr w:rsidR="00B1097D" w:rsidRPr="000D67C6" w14:paraId="3239176D" w14:textId="77777777" w:rsidTr="00DA160D">
        <w:trPr>
          <w:trHeight w:val="300"/>
        </w:trPr>
        <w:tc>
          <w:tcPr>
            <w:tcW w:w="2895" w:type="dxa"/>
            <w:gridSpan w:val="3"/>
            <w:tcBorders>
              <w:bottom w:val="single" w:sz="2" w:space="0" w:color="000000"/>
            </w:tcBorders>
            <w:shd w:val="clear" w:color="auto" w:fill="auto"/>
            <w:tcMar>
              <w:top w:w="20" w:type="dxa"/>
              <w:left w:w="20" w:type="dxa"/>
              <w:bottom w:w="20" w:type="dxa"/>
              <w:right w:w="20" w:type="dxa"/>
            </w:tcMar>
            <w:vAlign w:val="bottom"/>
          </w:tcPr>
          <w:p w14:paraId="50E1636B" w14:textId="77777777" w:rsidR="00B1097D" w:rsidRPr="000D67C6" w:rsidRDefault="00B1097D" w:rsidP="00B1097D">
            <w:pPr>
              <w:pStyle w:val="T1TableStyle"/>
              <w:rPr>
                <w:rFonts w:ascii="Arial" w:eastAsia="Verdana" w:hAnsi="Arial" w:cs="Arial"/>
                <w:b/>
                <w:sz w:val="22"/>
                <w:szCs w:val="22"/>
                <w:lang w:val="en-GB"/>
              </w:rPr>
            </w:pPr>
            <w:r w:rsidRPr="000D67C6">
              <w:rPr>
                <w:rFonts w:ascii="Arial" w:eastAsia="Verdana" w:hAnsi="Arial" w:cs="Arial"/>
                <w:b/>
                <w:sz w:val="22"/>
                <w:szCs w:val="22"/>
                <w:lang w:val="en-GB"/>
              </w:rPr>
              <w:t>Minimum Lease Payments</w:t>
            </w:r>
          </w:p>
        </w:tc>
        <w:tc>
          <w:tcPr>
            <w:tcW w:w="3059" w:type="dxa"/>
            <w:tcBorders>
              <w:bottom w:val="single" w:sz="2" w:space="0" w:color="000000"/>
            </w:tcBorders>
            <w:shd w:val="clear" w:color="auto" w:fill="auto"/>
            <w:tcMar>
              <w:top w:w="20" w:type="dxa"/>
              <w:left w:w="20" w:type="dxa"/>
              <w:bottom w:w="20" w:type="dxa"/>
              <w:right w:w="20" w:type="dxa"/>
            </w:tcMar>
            <w:vAlign w:val="bottom"/>
          </w:tcPr>
          <w:p w14:paraId="71AFDC1B" w14:textId="77777777" w:rsidR="00B1097D" w:rsidRPr="000D67C6" w:rsidRDefault="00B1097D" w:rsidP="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gridSpan w:val="2"/>
            <w:tcBorders>
              <w:bottom w:val="single" w:sz="2" w:space="0" w:color="000000"/>
            </w:tcBorders>
            <w:shd w:val="clear" w:color="auto" w:fill="auto"/>
            <w:tcMar>
              <w:top w:w="20" w:type="dxa"/>
              <w:left w:w="20" w:type="dxa"/>
              <w:bottom w:w="20" w:type="dxa"/>
              <w:right w:w="20" w:type="dxa"/>
            </w:tcMar>
            <w:vAlign w:val="bottom"/>
          </w:tcPr>
          <w:p w14:paraId="029BE8A8" w14:textId="77777777" w:rsidR="00B1097D" w:rsidRPr="000D67C6" w:rsidRDefault="00B1097D" w:rsidP="008F013B">
            <w:pPr>
              <w:pStyle w:val="T1TableStyle"/>
              <w:rPr>
                <w:rFonts w:ascii="Arial" w:eastAsia="Verdana" w:hAnsi="Arial" w:cs="Arial"/>
                <w:b/>
                <w:sz w:val="22"/>
                <w:szCs w:val="22"/>
                <w:lang w:val="en-GB"/>
              </w:rPr>
            </w:pPr>
            <w:r w:rsidRPr="000D67C6">
              <w:rPr>
                <w:rFonts w:ascii="Arial" w:eastAsia="Verdana" w:hAnsi="Arial" w:cs="Arial"/>
                <w:b/>
                <w:sz w:val="22"/>
                <w:szCs w:val="22"/>
                <w:lang w:val="en-GB"/>
              </w:rPr>
              <w:t>Finance Lease Liabilities</w:t>
            </w:r>
          </w:p>
        </w:tc>
      </w:tr>
      <w:tr w:rsidR="00464E99" w:rsidRPr="000D67C6" w14:paraId="27CFB7C1" w14:textId="77777777" w:rsidTr="00631912">
        <w:trPr>
          <w:trHeight w:val="300"/>
        </w:trPr>
        <w:tc>
          <w:tcPr>
            <w:tcW w:w="1276" w:type="dxa"/>
            <w:shd w:val="clear" w:color="auto" w:fill="auto"/>
            <w:tcMar>
              <w:top w:w="20" w:type="dxa"/>
              <w:left w:w="20" w:type="dxa"/>
              <w:bottom w:w="20" w:type="dxa"/>
              <w:right w:w="20" w:type="dxa"/>
            </w:tcMar>
            <w:vAlign w:val="center"/>
          </w:tcPr>
          <w:p w14:paraId="53447263" w14:textId="77777777" w:rsidR="00464E99" w:rsidRPr="000D67C6" w:rsidRDefault="00EB2CB4"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8</w:t>
            </w:r>
          </w:p>
        </w:tc>
        <w:tc>
          <w:tcPr>
            <w:tcW w:w="1276" w:type="dxa"/>
            <w:shd w:val="clear" w:color="auto" w:fill="auto"/>
            <w:tcMar>
              <w:top w:w="20" w:type="dxa"/>
              <w:left w:w="20" w:type="dxa"/>
              <w:bottom w:w="20" w:type="dxa"/>
              <w:right w:w="20" w:type="dxa"/>
            </w:tcMar>
            <w:vAlign w:val="center"/>
          </w:tcPr>
          <w:p w14:paraId="03E51CE1" w14:textId="77777777" w:rsidR="00464E99" w:rsidRPr="000D67C6" w:rsidRDefault="00EB2CB4"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9</w:t>
            </w:r>
          </w:p>
        </w:tc>
        <w:tc>
          <w:tcPr>
            <w:tcW w:w="343" w:type="dxa"/>
            <w:shd w:val="clear" w:color="auto" w:fill="auto"/>
            <w:tcMar>
              <w:top w:w="20" w:type="dxa"/>
              <w:left w:w="20" w:type="dxa"/>
              <w:bottom w:w="20" w:type="dxa"/>
              <w:right w:w="20" w:type="dxa"/>
            </w:tcMar>
            <w:vAlign w:val="center"/>
          </w:tcPr>
          <w:p w14:paraId="0791A036"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3059" w:type="dxa"/>
            <w:shd w:val="clear" w:color="auto" w:fill="auto"/>
            <w:tcMar>
              <w:top w:w="20" w:type="dxa"/>
              <w:left w:w="20" w:type="dxa"/>
              <w:bottom w:w="20" w:type="dxa"/>
              <w:right w:w="20" w:type="dxa"/>
            </w:tcMar>
            <w:vAlign w:val="center"/>
          </w:tcPr>
          <w:p w14:paraId="78BBDB21"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7" w:type="dxa"/>
            <w:shd w:val="clear" w:color="auto" w:fill="auto"/>
            <w:tcMar>
              <w:top w:w="20" w:type="dxa"/>
              <w:left w:w="20" w:type="dxa"/>
              <w:bottom w:w="20" w:type="dxa"/>
              <w:right w:w="20" w:type="dxa"/>
            </w:tcMar>
            <w:vAlign w:val="center"/>
          </w:tcPr>
          <w:p w14:paraId="59D284F0"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8</w:t>
            </w:r>
          </w:p>
        </w:tc>
        <w:tc>
          <w:tcPr>
            <w:tcW w:w="1418" w:type="dxa"/>
            <w:shd w:val="clear" w:color="auto" w:fill="auto"/>
            <w:tcMar>
              <w:top w:w="20" w:type="dxa"/>
              <w:left w:w="20" w:type="dxa"/>
              <w:bottom w:w="20" w:type="dxa"/>
              <w:right w:w="20" w:type="dxa"/>
            </w:tcMar>
            <w:vAlign w:val="center"/>
          </w:tcPr>
          <w:p w14:paraId="7C42C014" w14:textId="77777777" w:rsidR="00464E99" w:rsidRPr="000D67C6" w:rsidRDefault="008F013B" w:rsidP="00237A8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9</w:t>
            </w:r>
          </w:p>
        </w:tc>
      </w:tr>
      <w:tr w:rsidR="00464E99" w:rsidRPr="000D67C6" w14:paraId="7AC5370A" w14:textId="77777777" w:rsidTr="00631912">
        <w:trPr>
          <w:trHeight w:val="300"/>
        </w:trPr>
        <w:tc>
          <w:tcPr>
            <w:tcW w:w="1276" w:type="dxa"/>
            <w:tcBorders>
              <w:bottom w:val="single" w:sz="2" w:space="0" w:color="000000"/>
            </w:tcBorders>
            <w:shd w:val="clear" w:color="auto" w:fill="auto"/>
            <w:tcMar>
              <w:top w:w="20" w:type="dxa"/>
              <w:left w:w="20" w:type="dxa"/>
              <w:bottom w:w="20" w:type="dxa"/>
              <w:right w:w="20" w:type="dxa"/>
            </w:tcMar>
            <w:vAlign w:val="center"/>
          </w:tcPr>
          <w:p w14:paraId="66C91D96"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vAlign w:val="center"/>
          </w:tcPr>
          <w:p w14:paraId="4C80DF5B"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343" w:type="dxa"/>
            <w:tcBorders>
              <w:bottom w:val="single" w:sz="2" w:space="0" w:color="000000"/>
            </w:tcBorders>
            <w:shd w:val="clear" w:color="auto" w:fill="auto"/>
            <w:tcMar>
              <w:top w:w="20" w:type="dxa"/>
              <w:left w:w="20" w:type="dxa"/>
              <w:bottom w:w="20" w:type="dxa"/>
              <w:right w:w="20" w:type="dxa"/>
            </w:tcMar>
            <w:vAlign w:val="center"/>
          </w:tcPr>
          <w:p w14:paraId="0705741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3059" w:type="dxa"/>
            <w:tcBorders>
              <w:bottom w:val="single" w:sz="2" w:space="0" w:color="000000"/>
            </w:tcBorders>
            <w:shd w:val="clear" w:color="auto" w:fill="auto"/>
            <w:tcMar>
              <w:top w:w="20" w:type="dxa"/>
              <w:left w:w="20" w:type="dxa"/>
              <w:bottom w:w="20" w:type="dxa"/>
              <w:right w:w="20" w:type="dxa"/>
            </w:tcMar>
            <w:vAlign w:val="center"/>
          </w:tcPr>
          <w:p w14:paraId="774240A8" w14:textId="77777777" w:rsidR="00464E99" w:rsidRPr="000D67C6" w:rsidRDefault="008F013B" w:rsidP="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7" w:type="dxa"/>
            <w:tcBorders>
              <w:bottom w:val="single" w:sz="2" w:space="0" w:color="000000"/>
            </w:tcBorders>
            <w:shd w:val="clear" w:color="auto" w:fill="auto"/>
            <w:tcMar>
              <w:top w:w="20" w:type="dxa"/>
              <w:left w:w="20" w:type="dxa"/>
              <w:bottom w:w="20" w:type="dxa"/>
              <w:right w:w="20" w:type="dxa"/>
            </w:tcMar>
            <w:vAlign w:val="center"/>
          </w:tcPr>
          <w:p w14:paraId="43B76BBC"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tcBorders>
              <w:bottom w:val="single" w:sz="2" w:space="0" w:color="000000"/>
            </w:tcBorders>
            <w:shd w:val="clear" w:color="auto" w:fill="auto"/>
            <w:tcMar>
              <w:top w:w="20" w:type="dxa"/>
              <w:left w:w="20" w:type="dxa"/>
              <w:bottom w:w="20" w:type="dxa"/>
              <w:right w:w="20" w:type="dxa"/>
            </w:tcMar>
            <w:vAlign w:val="center"/>
          </w:tcPr>
          <w:p w14:paraId="6EACEB21"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464E99" w:rsidRPr="000D67C6" w14:paraId="0F0CB118" w14:textId="77777777" w:rsidTr="00237A89">
        <w:trPr>
          <w:trHeight w:hRule="exact" w:val="88"/>
        </w:trPr>
        <w:tc>
          <w:tcPr>
            <w:tcW w:w="1276" w:type="dxa"/>
            <w:shd w:val="clear" w:color="auto" w:fill="auto"/>
            <w:tcMar>
              <w:top w:w="20" w:type="dxa"/>
              <w:left w:w="20" w:type="dxa"/>
              <w:bottom w:w="20" w:type="dxa"/>
              <w:right w:w="20" w:type="dxa"/>
            </w:tcMar>
          </w:tcPr>
          <w:p w14:paraId="7ADD63C1"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shd w:val="clear" w:color="auto" w:fill="auto"/>
            <w:tcMar>
              <w:top w:w="20" w:type="dxa"/>
              <w:left w:w="20" w:type="dxa"/>
              <w:bottom w:w="20" w:type="dxa"/>
              <w:right w:w="20" w:type="dxa"/>
            </w:tcMar>
          </w:tcPr>
          <w:p w14:paraId="1A48DD53"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343" w:type="dxa"/>
            <w:shd w:val="clear" w:color="auto" w:fill="auto"/>
            <w:tcMar>
              <w:top w:w="20" w:type="dxa"/>
              <w:left w:w="20" w:type="dxa"/>
              <w:bottom w:w="20" w:type="dxa"/>
              <w:right w:w="20" w:type="dxa"/>
            </w:tcMar>
          </w:tcPr>
          <w:p w14:paraId="785F7684"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3059" w:type="dxa"/>
            <w:shd w:val="clear" w:color="auto" w:fill="auto"/>
            <w:tcMar>
              <w:top w:w="20" w:type="dxa"/>
              <w:left w:w="20" w:type="dxa"/>
              <w:bottom w:w="20" w:type="dxa"/>
              <w:right w:w="20" w:type="dxa"/>
            </w:tcMar>
            <w:vAlign w:val="bottom"/>
          </w:tcPr>
          <w:p w14:paraId="01529D18" w14:textId="77777777" w:rsidR="00464E99" w:rsidRPr="000D67C6" w:rsidRDefault="008F013B" w:rsidP="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7" w:type="dxa"/>
            <w:shd w:val="clear" w:color="auto" w:fill="auto"/>
            <w:tcMar>
              <w:top w:w="20" w:type="dxa"/>
              <w:left w:w="20" w:type="dxa"/>
              <w:bottom w:w="20" w:type="dxa"/>
              <w:right w:w="20" w:type="dxa"/>
            </w:tcMar>
          </w:tcPr>
          <w:p w14:paraId="59614E0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418" w:type="dxa"/>
            <w:shd w:val="clear" w:color="auto" w:fill="auto"/>
            <w:tcMar>
              <w:top w:w="20" w:type="dxa"/>
              <w:left w:w="20" w:type="dxa"/>
              <w:bottom w:w="20" w:type="dxa"/>
              <w:right w:w="20" w:type="dxa"/>
            </w:tcMar>
          </w:tcPr>
          <w:p w14:paraId="04FA3D42"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r>
      <w:tr w:rsidR="000F4679" w:rsidRPr="000D67C6" w14:paraId="3B44C20F" w14:textId="77777777" w:rsidTr="005A7362">
        <w:trPr>
          <w:trHeight w:val="300"/>
        </w:trPr>
        <w:tc>
          <w:tcPr>
            <w:tcW w:w="1276" w:type="dxa"/>
            <w:shd w:val="clear" w:color="auto" w:fill="auto"/>
            <w:tcMar>
              <w:top w:w="20" w:type="dxa"/>
              <w:left w:w="20" w:type="dxa"/>
              <w:bottom w:w="20" w:type="dxa"/>
              <w:right w:w="20" w:type="dxa"/>
            </w:tcMar>
            <w:vAlign w:val="center"/>
          </w:tcPr>
          <w:p w14:paraId="74F2AE52"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889</w:t>
            </w:r>
          </w:p>
        </w:tc>
        <w:tc>
          <w:tcPr>
            <w:tcW w:w="1276" w:type="dxa"/>
            <w:shd w:val="clear" w:color="auto" w:fill="auto"/>
            <w:tcMar>
              <w:top w:w="20" w:type="dxa"/>
              <w:left w:w="20" w:type="dxa"/>
              <w:bottom w:w="20" w:type="dxa"/>
              <w:right w:w="20" w:type="dxa"/>
            </w:tcMar>
            <w:vAlign w:val="center"/>
          </w:tcPr>
          <w:p w14:paraId="1D16805E"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770</w:t>
            </w:r>
          </w:p>
        </w:tc>
        <w:tc>
          <w:tcPr>
            <w:tcW w:w="343" w:type="dxa"/>
            <w:shd w:val="clear" w:color="auto" w:fill="auto"/>
            <w:tcMar>
              <w:top w:w="20" w:type="dxa"/>
              <w:left w:w="20" w:type="dxa"/>
              <w:bottom w:w="20" w:type="dxa"/>
              <w:right w:w="20" w:type="dxa"/>
            </w:tcMar>
            <w:vAlign w:val="center"/>
          </w:tcPr>
          <w:p w14:paraId="0347644D"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3059" w:type="dxa"/>
            <w:shd w:val="clear" w:color="auto" w:fill="auto"/>
            <w:tcMar>
              <w:top w:w="20" w:type="dxa"/>
              <w:left w:w="20" w:type="dxa"/>
              <w:bottom w:w="20" w:type="dxa"/>
              <w:right w:w="20" w:type="dxa"/>
            </w:tcMar>
            <w:vAlign w:val="center"/>
          </w:tcPr>
          <w:p w14:paraId="64DFA2C1"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Not later than one year</w:t>
            </w:r>
          </w:p>
        </w:tc>
        <w:tc>
          <w:tcPr>
            <w:tcW w:w="1417" w:type="dxa"/>
            <w:shd w:val="clear" w:color="auto" w:fill="auto"/>
            <w:tcMar>
              <w:top w:w="20" w:type="dxa"/>
              <w:left w:w="20" w:type="dxa"/>
              <w:bottom w:w="20" w:type="dxa"/>
              <w:right w:w="20" w:type="dxa"/>
            </w:tcMar>
            <w:vAlign w:val="center"/>
          </w:tcPr>
          <w:p w14:paraId="7273BC93"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729</w:t>
            </w:r>
          </w:p>
        </w:tc>
        <w:tc>
          <w:tcPr>
            <w:tcW w:w="1418" w:type="dxa"/>
            <w:shd w:val="clear" w:color="auto" w:fill="auto"/>
            <w:tcMar>
              <w:top w:w="20" w:type="dxa"/>
              <w:left w:w="20" w:type="dxa"/>
              <w:bottom w:w="20" w:type="dxa"/>
              <w:right w:w="20" w:type="dxa"/>
            </w:tcMar>
            <w:vAlign w:val="center"/>
          </w:tcPr>
          <w:p w14:paraId="5D164AE9"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638</w:t>
            </w:r>
          </w:p>
        </w:tc>
      </w:tr>
      <w:tr w:rsidR="000F4679" w:rsidRPr="000D67C6" w14:paraId="667AAD47" w14:textId="77777777" w:rsidTr="005A7362">
        <w:trPr>
          <w:trHeight w:val="466"/>
        </w:trPr>
        <w:tc>
          <w:tcPr>
            <w:tcW w:w="1276" w:type="dxa"/>
            <w:shd w:val="clear" w:color="auto" w:fill="auto"/>
            <w:tcMar>
              <w:top w:w="20" w:type="dxa"/>
              <w:left w:w="20" w:type="dxa"/>
              <w:bottom w:w="20" w:type="dxa"/>
              <w:right w:w="20" w:type="dxa"/>
            </w:tcMar>
            <w:vAlign w:val="center"/>
          </w:tcPr>
          <w:p w14:paraId="57D58520"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2,405</w:t>
            </w:r>
          </w:p>
        </w:tc>
        <w:tc>
          <w:tcPr>
            <w:tcW w:w="1276" w:type="dxa"/>
            <w:shd w:val="clear" w:color="auto" w:fill="auto"/>
            <w:tcMar>
              <w:top w:w="20" w:type="dxa"/>
              <w:left w:w="20" w:type="dxa"/>
              <w:bottom w:w="20" w:type="dxa"/>
              <w:right w:w="20" w:type="dxa"/>
            </w:tcMar>
            <w:vAlign w:val="center"/>
          </w:tcPr>
          <w:p w14:paraId="35610800"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1,998</w:t>
            </w:r>
          </w:p>
        </w:tc>
        <w:tc>
          <w:tcPr>
            <w:tcW w:w="343" w:type="dxa"/>
            <w:shd w:val="clear" w:color="auto" w:fill="auto"/>
            <w:tcMar>
              <w:top w:w="20" w:type="dxa"/>
              <w:left w:w="20" w:type="dxa"/>
              <w:bottom w:w="20" w:type="dxa"/>
              <w:right w:w="20" w:type="dxa"/>
            </w:tcMar>
            <w:vAlign w:val="center"/>
          </w:tcPr>
          <w:p w14:paraId="667CA6A3"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3059" w:type="dxa"/>
            <w:shd w:val="clear" w:color="auto" w:fill="auto"/>
            <w:tcMar>
              <w:top w:w="20" w:type="dxa"/>
              <w:left w:w="20" w:type="dxa"/>
              <w:bottom w:w="20" w:type="dxa"/>
              <w:right w:w="20" w:type="dxa"/>
            </w:tcMar>
            <w:vAlign w:val="center"/>
          </w:tcPr>
          <w:p w14:paraId="5711B5B9"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Later than one year and not later than five years</w:t>
            </w:r>
          </w:p>
        </w:tc>
        <w:tc>
          <w:tcPr>
            <w:tcW w:w="1417" w:type="dxa"/>
            <w:shd w:val="clear" w:color="auto" w:fill="auto"/>
            <w:tcMar>
              <w:top w:w="20" w:type="dxa"/>
              <w:left w:w="20" w:type="dxa"/>
              <w:bottom w:w="20" w:type="dxa"/>
              <w:right w:w="20" w:type="dxa"/>
            </w:tcMar>
            <w:vAlign w:val="center"/>
          </w:tcPr>
          <w:p w14:paraId="5D75535F"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1,995</w:t>
            </w:r>
          </w:p>
        </w:tc>
        <w:tc>
          <w:tcPr>
            <w:tcW w:w="1418" w:type="dxa"/>
            <w:shd w:val="clear" w:color="auto" w:fill="auto"/>
            <w:tcMar>
              <w:top w:w="20" w:type="dxa"/>
              <w:left w:w="20" w:type="dxa"/>
              <w:bottom w:w="20" w:type="dxa"/>
              <w:right w:w="20" w:type="dxa"/>
            </w:tcMar>
            <w:vAlign w:val="center"/>
          </w:tcPr>
          <w:p w14:paraId="790C4331"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1,656</w:t>
            </w:r>
          </w:p>
        </w:tc>
      </w:tr>
      <w:tr w:rsidR="000F4679" w:rsidRPr="000D67C6" w14:paraId="09194E43" w14:textId="77777777" w:rsidTr="005A7362">
        <w:trPr>
          <w:trHeight w:val="300"/>
        </w:trPr>
        <w:tc>
          <w:tcPr>
            <w:tcW w:w="1276" w:type="dxa"/>
            <w:shd w:val="clear" w:color="auto" w:fill="auto"/>
            <w:tcMar>
              <w:top w:w="20" w:type="dxa"/>
              <w:left w:w="20" w:type="dxa"/>
              <w:bottom w:w="20" w:type="dxa"/>
              <w:right w:w="20" w:type="dxa"/>
            </w:tcMar>
            <w:vAlign w:val="center"/>
          </w:tcPr>
          <w:p w14:paraId="0B566E03"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2,298</w:t>
            </w:r>
          </w:p>
        </w:tc>
        <w:tc>
          <w:tcPr>
            <w:tcW w:w="1276" w:type="dxa"/>
            <w:shd w:val="clear" w:color="auto" w:fill="auto"/>
            <w:tcMar>
              <w:top w:w="20" w:type="dxa"/>
              <w:left w:w="20" w:type="dxa"/>
              <w:bottom w:w="20" w:type="dxa"/>
              <w:right w:w="20" w:type="dxa"/>
            </w:tcMar>
            <w:vAlign w:val="center"/>
          </w:tcPr>
          <w:p w14:paraId="0DC72E2D"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1,934</w:t>
            </w:r>
          </w:p>
        </w:tc>
        <w:tc>
          <w:tcPr>
            <w:tcW w:w="343" w:type="dxa"/>
            <w:shd w:val="clear" w:color="auto" w:fill="auto"/>
            <w:tcMar>
              <w:top w:w="20" w:type="dxa"/>
              <w:left w:w="20" w:type="dxa"/>
              <w:bottom w:w="20" w:type="dxa"/>
              <w:right w:w="20" w:type="dxa"/>
            </w:tcMar>
            <w:vAlign w:val="center"/>
          </w:tcPr>
          <w:p w14:paraId="2D4339F5"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3059" w:type="dxa"/>
            <w:shd w:val="clear" w:color="auto" w:fill="auto"/>
            <w:tcMar>
              <w:top w:w="20" w:type="dxa"/>
              <w:left w:w="20" w:type="dxa"/>
              <w:bottom w:w="20" w:type="dxa"/>
              <w:right w:w="20" w:type="dxa"/>
            </w:tcMar>
            <w:vAlign w:val="center"/>
          </w:tcPr>
          <w:p w14:paraId="07133C08"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Later than five years</w:t>
            </w:r>
          </w:p>
        </w:tc>
        <w:tc>
          <w:tcPr>
            <w:tcW w:w="1417" w:type="dxa"/>
            <w:shd w:val="clear" w:color="auto" w:fill="auto"/>
            <w:tcMar>
              <w:top w:w="20" w:type="dxa"/>
              <w:left w:w="20" w:type="dxa"/>
              <w:bottom w:w="20" w:type="dxa"/>
              <w:right w:w="20" w:type="dxa"/>
            </w:tcMar>
            <w:vAlign w:val="center"/>
          </w:tcPr>
          <w:p w14:paraId="07F2B216"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2,095</w:t>
            </w:r>
          </w:p>
        </w:tc>
        <w:tc>
          <w:tcPr>
            <w:tcW w:w="1418" w:type="dxa"/>
            <w:shd w:val="clear" w:color="auto" w:fill="auto"/>
            <w:tcMar>
              <w:top w:w="20" w:type="dxa"/>
              <w:left w:w="20" w:type="dxa"/>
              <w:bottom w:w="20" w:type="dxa"/>
              <w:right w:w="20" w:type="dxa"/>
            </w:tcMar>
            <w:vAlign w:val="center"/>
          </w:tcPr>
          <w:p w14:paraId="04A6ABCB" w14:textId="77777777" w:rsidR="000F4679" w:rsidRPr="000D67C6" w:rsidRDefault="00940077"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1,796</w:t>
            </w:r>
          </w:p>
        </w:tc>
      </w:tr>
      <w:tr w:rsidR="000F4679" w:rsidRPr="000D67C6" w14:paraId="4E19B663" w14:textId="77777777" w:rsidTr="005A7362">
        <w:trPr>
          <w:trHeight w:val="315"/>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ADC06B4" w14:textId="77777777" w:rsidR="000F4679" w:rsidRPr="000D67C6" w:rsidRDefault="000F4679" w:rsidP="000F46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5,592</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5FA013B" w14:textId="77777777" w:rsidR="000F4679" w:rsidRPr="000D67C6" w:rsidRDefault="00940077" w:rsidP="000F46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4,702</w:t>
            </w:r>
          </w:p>
        </w:tc>
        <w:tc>
          <w:tcPr>
            <w:tcW w:w="34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30E061A" w14:textId="77777777" w:rsidR="000F4679" w:rsidRPr="000D67C6" w:rsidRDefault="000F4679" w:rsidP="000F4679">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305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C0D1332" w14:textId="77777777" w:rsidR="000F4679" w:rsidRPr="000D67C6" w:rsidRDefault="000F4679" w:rsidP="000F4679">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CA659D4" w14:textId="77777777" w:rsidR="000F4679" w:rsidRPr="000D67C6" w:rsidRDefault="000F4679" w:rsidP="000F46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4,819</w:t>
            </w:r>
          </w:p>
        </w:tc>
        <w:tc>
          <w:tcPr>
            <w:tcW w:w="141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4D0ECD0" w14:textId="77777777" w:rsidR="000F4679" w:rsidRPr="000D67C6" w:rsidRDefault="00940077" w:rsidP="000F46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4,090</w:t>
            </w:r>
          </w:p>
        </w:tc>
      </w:tr>
    </w:tbl>
    <w:p w14:paraId="4B76D11A" w14:textId="77777777" w:rsidR="009C4A40" w:rsidRPr="000D67C6" w:rsidRDefault="009C4A40" w:rsidP="008F013B">
      <w:pPr>
        <w:pStyle w:val="T1TableStyle"/>
        <w:rPr>
          <w:rFonts w:ascii="Arial" w:eastAsia="Calibri" w:hAnsi="Arial" w:cs="Arial"/>
          <w:sz w:val="22"/>
          <w:szCs w:val="22"/>
          <w:lang w:val="en-GB"/>
        </w:rPr>
      </w:pPr>
    </w:p>
    <w:p w14:paraId="2840A3D2" w14:textId="77777777" w:rsidR="009C4A40" w:rsidRPr="000D67C6" w:rsidRDefault="009C4A40">
      <w:pPr>
        <w:rPr>
          <w:rFonts w:ascii="Arial" w:eastAsia="Calibri" w:hAnsi="Arial" w:cs="Arial"/>
          <w:sz w:val="22"/>
          <w:szCs w:val="22"/>
          <w:lang w:val="en-GB"/>
        </w:rPr>
      </w:pPr>
      <w:r w:rsidRPr="000D67C6">
        <w:rPr>
          <w:rFonts w:ascii="Arial" w:eastAsia="Calibri" w:hAnsi="Arial" w:cs="Arial"/>
          <w:sz w:val="22"/>
          <w:szCs w:val="22"/>
          <w:lang w:val="en-GB"/>
        </w:rPr>
        <w:br w:type="page"/>
      </w:r>
    </w:p>
    <w:tbl>
      <w:tblPr>
        <w:tblW w:w="0" w:type="auto"/>
        <w:tblLayout w:type="fixed"/>
        <w:tblLook w:val="04A0" w:firstRow="1" w:lastRow="0" w:firstColumn="1" w:lastColumn="0" w:noHBand="0" w:noVBand="1"/>
      </w:tblPr>
      <w:tblGrid>
        <w:gridCol w:w="1324"/>
        <w:gridCol w:w="236"/>
        <w:gridCol w:w="5953"/>
        <w:gridCol w:w="1276"/>
      </w:tblGrid>
      <w:tr w:rsidR="00464E99" w:rsidRPr="000D67C6" w14:paraId="4D3E6807" w14:textId="77777777" w:rsidTr="0076798E">
        <w:trPr>
          <w:trHeight w:val="300"/>
        </w:trPr>
        <w:tc>
          <w:tcPr>
            <w:tcW w:w="8789" w:type="dxa"/>
            <w:gridSpan w:val="4"/>
            <w:shd w:val="clear" w:color="auto" w:fill="auto"/>
            <w:tcMar>
              <w:top w:w="20" w:type="dxa"/>
              <w:left w:w="20" w:type="dxa"/>
              <w:bottom w:w="20" w:type="dxa"/>
              <w:right w:w="20" w:type="dxa"/>
            </w:tcMar>
            <w:vAlign w:val="bottom"/>
          </w:tcPr>
          <w:p w14:paraId="52D96CCE" w14:textId="77777777" w:rsidR="0076798E" w:rsidRPr="000D67C6" w:rsidRDefault="008F013B" w:rsidP="0076798E">
            <w:pPr>
              <w:pStyle w:val="T1TableStyle"/>
              <w:rPr>
                <w:rFonts w:ascii="Arial" w:eastAsia="Verdana" w:hAnsi="Arial" w:cs="Arial"/>
                <w:b/>
                <w:sz w:val="22"/>
                <w:szCs w:val="22"/>
                <w:lang w:val="en-GB"/>
              </w:rPr>
            </w:pPr>
            <w:r w:rsidRPr="000D67C6">
              <w:rPr>
                <w:rFonts w:ascii="Arial" w:eastAsia="Verdana" w:hAnsi="Arial" w:cs="Arial"/>
                <w:b/>
                <w:sz w:val="22"/>
                <w:szCs w:val="22"/>
                <w:lang w:val="en-GB"/>
              </w:rPr>
              <w:t>Authority as Lessee - Operating Leases</w:t>
            </w:r>
          </w:p>
          <w:p w14:paraId="7A2FF98B" w14:textId="77777777" w:rsidR="00B1097D" w:rsidRPr="000D67C6" w:rsidRDefault="00B1097D" w:rsidP="0076798E">
            <w:pPr>
              <w:pStyle w:val="T1TableStyle"/>
              <w:rPr>
                <w:rFonts w:ascii="Arial" w:eastAsia="Verdana" w:hAnsi="Arial" w:cs="Arial"/>
                <w:b/>
                <w:sz w:val="22"/>
                <w:szCs w:val="22"/>
                <w:lang w:val="en-GB"/>
              </w:rPr>
            </w:pPr>
          </w:p>
          <w:p w14:paraId="1D853A1E" w14:textId="77777777" w:rsidR="00B1097D" w:rsidRPr="000D67C6" w:rsidRDefault="00B1097D" w:rsidP="00B1097D">
            <w:pPr>
              <w:pStyle w:val="T1TableStyle"/>
              <w:jc w:val="both"/>
              <w:rPr>
                <w:rFonts w:ascii="Arial" w:eastAsia="Verdana" w:hAnsi="Arial" w:cs="Arial"/>
                <w:sz w:val="22"/>
                <w:szCs w:val="22"/>
                <w:lang w:val="en-GB"/>
              </w:rPr>
            </w:pPr>
            <w:r w:rsidRPr="000D67C6">
              <w:rPr>
                <w:rFonts w:ascii="Arial" w:eastAsia="Verdana" w:hAnsi="Arial" w:cs="Arial"/>
                <w:sz w:val="22"/>
                <w:szCs w:val="22"/>
                <w:lang w:val="en-GB"/>
              </w:rPr>
              <w:t xml:space="preserve">The Authority has acquired a number of light vehicles by entering into operating leases, with typical lives of 5 to 7 years. </w:t>
            </w:r>
          </w:p>
          <w:p w14:paraId="1B1344AD" w14:textId="77777777" w:rsidR="00D82337" w:rsidRPr="000D67C6" w:rsidRDefault="00D82337" w:rsidP="00B1097D">
            <w:pPr>
              <w:pStyle w:val="T1TableStyle"/>
              <w:jc w:val="both"/>
              <w:rPr>
                <w:rFonts w:ascii="Arial" w:eastAsia="Verdana" w:hAnsi="Arial" w:cs="Arial"/>
                <w:b/>
                <w:sz w:val="22"/>
                <w:szCs w:val="22"/>
                <w:lang w:val="en-GB"/>
              </w:rPr>
            </w:pPr>
          </w:p>
        </w:tc>
      </w:tr>
      <w:tr w:rsidR="00464E99" w:rsidRPr="000D67C6" w14:paraId="52151E8C" w14:textId="77777777" w:rsidTr="00F83FAA">
        <w:trPr>
          <w:trHeight w:val="560"/>
        </w:trPr>
        <w:tc>
          <w:tcPr>
            <w:tcW w:w="8789" w:type="dxa"/>
            <w:gridSpan w:val="4"/>
            <w:shd w:val="clear" w:color="auto" w:fill="auto"/>
            <w:tcMar>
              <w:top w:w="20" w:type="dxa"/>
              <w:left w:w="20" w:type="dxa"/>
              <w:bottom w:w="20" w:type="dxa"/>
              <w:right w:w="20" w:type="dxa"/>
            </w:tcMar>
            <w:vAlign w:val="center"/>
          </w:tcPr>
          <w:p w14:paraId="6E29C3CF" w14:textId="77777777" w:rsidR="00464E99" w:rsidRPr="000D67C6" w:rsidRDefault="008F013B" w:rsidP="0076798E">
            <w:pPr>
              <w:pStyle w:val="T1TableStyle"/>
              <w:rPr>
                <w:rFonts w:ascii="Arial" w:eastAsia="Verdana" w:hAnsi="Arial" w:cs="Arial"/>
                <w:sz w:val="22"/>
                <w:szCs w:val="22"/>
                <w:lang w:val="en-GB"/>
              </w:rPr>
            </w:pPr>
            <w:r w:rsidRPr="000D67C6">
              <w:rPr>
                <w:rFonts w:ascii="Arial" w:eastAsia="Verdana" w:hAnsi="Arial" w:cs="Arial"/>
                <w:sz w:val="22"/>
                <w:szCs w:val="22"/>
                <w:lang w:val="en-GB"/>
              </w:rPr>
              <w:t>The future minimum lease payments due under non-cancellable opera</w:t>
            </w:r>
            <w:r w:rsidR="00B1097D" w:rsidRPr="000D67C6">
              <w:rPr>
                <w:rFonts w:ascii="Arial" w:eastAsia="Verdana" w:hAnsi="Arial" w:cs="Arial"/>
                <w:sz w:val="22"/>
                <w:szCs w:val="22"/>
                <w:lang w:val="en-GB"/>
              </w:rPr>
              <w:t>ting leases in future years are:</w:t>
            </w:r>
          </w:p>
          <w:p w14:paraId="5349D249" w14:textId="77777777" w:rsidR="009C4A40" w:rsidRPr="000D67C6" w:rsidRDefault="009C4A40" w:rsidP="0076798E">
            <w:pPr>
              <w:pStyle w:val="T1TableStyle"/>
              <w:rPr>
                <w:rFonts w:ascii="Arial" w:eastAsia="Verdana" w:hAnsi="Arial" w:cs="Arial"/>
                <w:b/>
                <w:sz w:val="22"/>
                <w:szCs w:val="22"/>
                <w:lang w:val="en-GB"/>
              </w:rPr>
            </w:pPr>
          </w:p>
        </w:tc>
      </w:tr>
      <w:tr w:rsidR="00464E99" w:rsidRPr="000D67C6" w14:paraId="7EAEE973" w14:textId="77777777" w:rsidTr="00833F6F">
        <w:trPr>
          <w:trHeight w:val="48"/>
        </w:trPr>
        <w:tc>
          <w:tcPr>
            <w:tcW w:w="1324" w:type="dxa"/>
            <w:shd w:val="clear" w:color="auto" w:fill="auto"/>
            <w:tcMar>
              <w:top w:w="20" w:type="dxa"/>
              <w:left w:w="20" w:type="dxa"/>
              <w:bottom w:w="20" w:type="dxa"/>
              <w:right w:w="20" w:type="dxa"/>
            </w:tcMar>
            <w:vAlign w:val="bottom"/>
          </w:tcPr>
          <w:p w14:paraId="0F41CD82" w14:textId="77777777" w:rsidR="00464E99" w:rsidRPr="000D67C6" w:rsidRDefault="008F013B" w:rsidP="009C4A4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8</w:t>
            </w:r>
          </w:p>
        </w:tc>
        <w:tc>
          <w:tcPr>
            <w:tcW w:w="236" w:type="dxa"/>
            <w:shd w:val="clear" w:color="auto" w:fill="auto"/>
            <w:tcMar>
              <w:top w:w="20" w:type="dxa"/>
              <w:left w:w="20" w:type="dxa"/>
              <w:bottom w:w="20" w:type="dxa"/>
              <w:right w:w="20" w:type="dxa"/>
            </w:tcMar>
            <w:vAlign w:val="bottom"/>
          </w:tcPr>
          <w:p w14:paraId="6A75B63C" w14:textId="77777777" w:rsidR="00464E99" w:rsidRPr="000D67C6" w:rsidRDefault="008F013B" w:rsidP="009C4A4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53" w:type="dxa"/>
            <w:shd w:val="clear" w:color="auto" w:fill="auto"/>
            <w:tcMar>
              <w:top w:w="20" w:type="dxa"/>
              <w:left w:w="20" w:type="dxa"/>
              <w:bottom w:w="20" w:type="dxa"/>
              <w:right w:w="20" w:type="dxa"/>
            </w:tcMar>
            <w:vAlign w:val="bottom"/>
          </w:tcPr>
          <w:p w14:paraId="40DD1CF9" w14:textId="77777777" w:rsidR="00464E99" w:rsidRPr="000D67C6" w:rsidRDefault="008F013B" w:rsidP="009C4A4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shd w:val="clear" w:color="auto" w:fill="auto"/>
            <w:tcMar>
              <w:top w:w="20" w:type="dxa"/>
              <w:left w:w="20" w:type="dxa"/>
              <w:bottom w:w="20" w:type="dxa"/>
              <w:right w:w="20" w:type="dxa"/>
            </w:tcMar>
            <w:vAlign w:val="bottom"/>
          </w:tcPr>
          <w:p w14:paraId="7DAD5BFD" w14:textId="77777777" w:rsidR="00464E99" w:rsidRPr="000D67C6" w:rsidRDefault="008F013B" w:rsidP="009C4A40">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31 March 201</w:t>
            </w:r>
            <w:r w:rsidR="000F4679" w:rsidRPr="000D67C6">
              <w:rPr>
                <w:rFonts w:ascii="Arial" w:eastAsia="Verdana" w:hAnsi="Arial" w:cs="Arial"/>
                <w:b/>
                <w:sz w:val="22"/>
                <w:szCs w:val="22"/>
                <w:lang w:val="en-GB"/>
              </w:rPr>
              <w:t>9</w:t>
            </w:r>
          </w:p>
        </w:tc>
      </w:tr>
      <w:tr w:rsidR="00464E99" w:rsidRPr="000D67C6" w14:paraId="48114059" w14:textId="77777777" w:rsidTr="00833F6F">
        <w:trPr>
          <w:trHeight w:val="300"/>
        </w:trPr>
        <w:tc>
          <w:tcPr>
            <w:tcW w:w="1324" w:type="dxa"/>
            <w:tcBorders>
              <w:bottom w:val="single" w:sz="2" w:space="0" w:color="000000"/>
            </w:tcBorders>
            <w:shd w:val="clear" w:color="auto" w:fill="auto"/>
            <w:tcMar>
              <w:top w:w="20" w:type="dxa"/>
              <w:left w:w="20" w:type="dxa"/>
              <w:bottom w:w="20" w:type="dxa"/>
              <w:right w:w="20" w:type="dxa"/>
            </w:tcMar>
          </w:tcPr>
          <w:p w14:paraId="173EDA64" w14:textId="77777777" w:rsidR="00464E99" w:rsidRPr="000D67C6" w:rsidRDefault="00B1097D"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8F013B" w:rsidRPr="000D67C6">
              <w:rPr>
                <w:rFonts w:ascii="Arial" w:eastAsia="Verdana" w:hAnsi="Arial" w:cs="Arial"/>
                <w:b/>
                <w:sz w:val="22"/>
                <w:szCs w:val="22"/>
                <w:lang w:val="en-GB"/>
              </w:rPr>
              <w:t>000</w:t>
            </w:r>
          </w:p>
        </w:tc>
        <w:tc>
          <w:tcPr>
            <w:tcW w:w="236" w:type="dxa"/>
            <w:tcBorders>
              <w:bottom w:val="single" w:sz="2" w:space="0" w:color="000000"/>
            </w:tcBorders>
            <w:shd w:val="clear" w:color="auto" w:fill="auto"/>
            <w:tcMar>
              <w:top w:w="20" w:type="dxa"/>
              <w:left w:w="20" w:type="dxa"/>
              <w:bottom w:w="20" w:type="dxa"/>
              <w:right w:w="20" w:type="dxa"/>
            </w:tcMar>
          </w:tcPr>
          <w:p w14:paraId="614CDA4F"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53" w:type="dxa"/>
            <w:tcBorders>
              <w:bottom w:val="single" w:sz="2" w:space="0" w:color="000000"/>
            </w:tcBorders>
            <w:shd w:val="clear" w:color="auto" w:fill="auto"/>
            <w:tcMar>
              <w:top w:w="20" w:type="dxa"/>
              <w:left w:w="20" w:type="dxa"/>
              <w:bottom w:w="20" w:type="dxa"/>
              <w:right w:w="20" w:type="dxa"/>
            </w:tcMar>
          </w:tcPr>
          <w:p w14:paraId="5C5FFA7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6917908C" w14:textId="77777777" w:rsidR="00464E99" w:rsidRPr="000D67C6" w:rsidRDefault="00B1097D"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w:t>
            </w:r>
            <w:r w:rsidR="008F013B" w:rsidRPr="000D67C6">
              <w:rPr>
                <w:rFonts w:ascii="Arial" w:eastAsia="Verdana" w:hAnsi="Arial" w:cs="Arial"/>
                <w:b/>
                <w:sz w:val="22"/>
                <w:szCs w:val="22"/>
                <w:lang w:val="en-GB"/>
              </w:rPr>
              <w:t>000</w:t>
            </w:r>
          </w:p>
        </w:tc>
      </w:tr>
      <w:tr w:rsidR="000F4679" w:rsidRPr="000D67C6" w14:paraId="6C3ED332" w14:textId="77777777" w:rsidTr="00833F6F">
        <w:trPr>
          <w:trHeight w:val="290"/>
        </w:trPr>
        <w:tc>
          <w:tcPr>
            <w:tcW w:w="1324" w:type="dxa"/>
            <w:shd w:val="clear" w:color="auto" w:fill="auto"/>
            <w:tcMar>
              <w:top w:w="20" w:type="dxa"/>
              <w:left w:w="20" w:type="dxa"/>
              <w:bottom w:w="20" w:type="dxa"/>
              <w:right w:w="20" w:type="dxa"/>
            </w:tcMar>
          </w:tcPr>
          <w:p w14:paraId="58DE68FA"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541</w:t>
            </w:r>
          </w:p>
        </w:tc>
        <w:tc>
          <w:tcPr>
            <w:tcW w:w="236" w:type="dxa"/>
            <w:shd w:val="clear" w:color="auto" w:fill="auto"/>
            <w:tcMar>
              <w:top w:w="20" w:type="dxa"/>
              <w:left w:w="20" w:type="dxa"/>
              <w:bottom w:w="20" w:type="dxa"/>
              <w:right w:w="20" w:type="dxa"/>
            </w:tcMar>
          </w:tcPr>
          <w:p w14:paraId="676E2612"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953" w:type="dxa"/>
            <w:shd w:val="clear" w:color="auto" w:fill="auto"/>
            <w:tcMar>
              <w:top w:w="20" w:type="dxa"/>
              <w:left w:w="20" w:type="dxa"/>
              <w:bottom w:w="20" w:type="dxa"/>
              <w:right w:w="20" w:type="dxa"/>
            </w:tcMar>
          </w:tcPr>
          <w:p w14:paraId="07B765EC"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Not later than one year</w:t>
            </w:r>
          </w:p>
        </w:tc>
        <w:tc>
          <w:tcPr>
            <w:tcW w:w="1276" w:type="dxa"/>
            <w:shd w:val="clear" w:color="auto" w:fill="auto"/>
            <w:tcMar>
              <w:top w:w="20" w:type="dxa"/>
              <w:left w:w="20" w:type="dxa"/>
              <w:bottom w:w="20" w:type="dxa"/>
              <w:right w:w="20" w:type="dxa"/>
            </w:tcMar>
          </w:tcPr>
          <w:p w14:paraId="21CDB8FF" w14:textId="77777777" w:rsidR="000F4679" w:rsidRPr="000D67C6" w:rsidRDefault="00423BC3"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486</w:t>
            </w:r>
          </w:p>
        </w:tc>
      </w:tr>
      <w:tr w:rsidR="000F4679" w:rsidRPr="000D67C6" w14:paraId="78652CEC" w14:textId="77777777" w:rsidTr="00833F6F">
        <w:trPr>
          <w:trHeight w:val="290"/>
        </w:trPr>
        <w:tc>
          <w:tcPr>
            <w:tcW w:w="1324" w:type="dxa"/>
            <w:shd w:val="clear" w:color="auto" w:fill="auto"/>
            <w:tcMar>
              <w:top w:w="20" w:type="dxa"/>
              <w:left w:w="20" w:type="dxa"/>
              <w:bottom w:w="20" w:type="dxa"/>
              <w:right w:w="20" w:type="dxa"/>
            </w:tcMar>
          </w:tcPr>
          <w:p w14:paraId="413906B9"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532</w:t>
            </w:r>
          </w:p>
        </w:tc>
        <w:tc>
          <w:tcPr>
            <w:tcW w:w="236" w:type="dxa"/>
            <w:shd w:val="clear" w:color="auto" w:fill="auto"/>
            <w:tcMar>
              <w:top w:w="20" w:type="dxa"/>
              <w:left w:w="20" w:type="dxa"/>
              <w:bottom w:w="20" w:type="dxa"/>
              <w:right w:w="20" w:type="dxa"/>
            </w:tcMar>
          </w:tcPr>
          <w:p w14:paraId="43C3ADDD"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953" w:type="dxa"/>
            <w:shd w:val="clear" w:color="auto" w:fill="auto"/>
            <w:tcMar>
              <w:top w:w="20" w:type="dxa"/>
              <w:left w:w="20" w:type="dxa"/>
              <w:bottom w:w="20" w:type="dxa"/>
              <w:right w:w="20" w:type="dxa"/>
            </w:tcMar>
          </w:tcPr>
          <w:p w14:paraId="44F1DC23"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Later than one year and not later than five years</w:t>
            </w:r>
          </w:p>
        </w:tc>
        <w:tc>
          <w:tcPr>
            <w:tcW w:w="1276" w:type="dxa"/>
            <w:shd w:val="clear" w:color="auto" w:fill="auto"/>
            <w:tcMar>
              <w:top w:w="20" w:type="dxa"/>
              <w:left w:w="20" w:type="dxa"/>
              <w:bottom w:w="20" w:type="dxa"/>
              <w:right w:w="20" w:type="dxa"/>
            </w:tcMar>
          </w:tcPr>
          <w:p w14:paraId="0D97174A" w14:textId="77777777" w:rsidR="000F4679" w:rsidRPr="000D67C6" w:rsidRDefault="00423BC3"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39</w:t>
            </w:r>
          </w:p>
        </w:tc>
      </w:tr>
      <w:tr w:rsidR="000F4679" w:rsidRPr="000D67C6" w14:paraId="6E9BD0ED" w14:textId="77777777" w:rsidTr="00833F6F">
        <w:trPr>
          <w:trHeight w:val="290"/>
        </w:trPr>
        <w:tc>
          <w:tcPr>
            <w:tcW w:w="1324" w:type="dxa"/>
            <w:shd w:val="clear" w:color="auto" w:fill="auto"/>
            <w:tcMar>
              <w:top w:w="20" w:type="dxa"/>
              <w:left w:w="20" w:type="dxa"/>
              <w:bottom w:w="20" w:type="dxa"/>
              <w:right w:w="20" w:type="dxa"/>
            </w:tcMar>
          </w:tcPr>
          <w:p w14:paraId="5C795F08"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36" w:type="dxa"/>
            <w:shd w:val="clear" w:color="auto" w:fill="auto"/>
            <w:tcMar>
              <w:top w:w="20" w:type="dxa"/>
              <w:left w:w="20" w:type="dxa"/>
              <w:bottom w:w="20" w:type="dxa"/>
              <w:right w:w="20" w:type="dxa"/>
            </w:tcMar>
          </w:tcPr>
          <w:p w14:paraId="373F9524" w14:textId="77777777" w:rsidR="000F4679" w:rsidRPr="000D67C6" w:rsidRDefault="000F4679" w:rsidP="000F4679">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5953" w:type="dxa"/>
            <w:shd w:val="clear" w:color="auto" w:fill="auto"/>
            <w:tcMar>
              <w:top w:w="20" w:type="dxa"/>
              <w:left w:w="20" w:type="dxa"/>
              <w:bottom w:w="20" w:type="dxa"/>
              <w:right w:w="20" w:type="dxa"/>
            </w:tcMar>
          </w:tcPr>
          <w:p w14:paraId="1D495AC0" w14:textId="77777777" w:rsidR="000F4679" w:rsidRPr="000D67C6" w:rsidRDefault="000F4679" w:rsidP="000F4679">
            <w:pPr>
              <w:pStyle w:val="T1TableStyle"/>
              <w:rPr>
                <w:rFonts w:ascii="Arial" w:eastAsia="Verdana" w:hAnsi="Arial" w:cs="Arial"/>
                <w:sz w:val="22"/>
                <w:szCs w:val="22"/>
                <w:lang w:val="en-GB"/>
              </w:rPr>
            </w:pPr>
            <w:r w:rsidRPr="000D67C6">
              <w:rPr>
                <w:rFonts w:ascii="Arial" w:eastAsia="Verdana" w:hAnsi="Arial" w:cs="Arial"/>
                <w:sz w:val="22"/>
                <w:szCs w:val="22"/>
                <w:lang w:val="en-GB"/>
              </w:rPr>
              <w:t>Later than five years</w:t>
            </w:r>
          </w:p>
        </w:tc>
        <w:tc>
          <w:tcPr>
            <w:tcW w:w="1276" w:type="dxa"/>
            <w:shd w:val="clear" w:color="auto" w:fill="auto"/>
            <w:tcMar>
              <w:top w:w="20" w:type="dxa"/>
              <w:left w:w="20" w:type="dxa"/>
              <w:bottom w:w="20" w:type="dxa"/>
              <w:right w:w="20" w:type="dxa"/>
            </w:tcMar>
          </w:tcPr>
          <w:p w14:paraId="222B34F8" w14:textId="77777777" w:rsidR="000F4679" w:rsidRPr="000D67C6" w:rsidRDefault="00423BC3"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0F4679" w:rsidRPr="000D67C6" w14:paraId="46214531" w14:textId="77777777" w:rsidTr="00833F6F">
        <w:trPr>
          <w:trHeight w:val="290"/>
        </w:trPr>
        <w:tc>
          <w:tcPr>
            <w:tcW w:w="1324" w:type="dxa"/>
            <w:tcBorders>
              <w:top w:val="single" w:sz="2" w:space="0" w:color="000000"/>
              <w:bottom w:val="single" w:sz="12" w:space="0" w:color="000000"/>
            </w:tcBorders>
            <w:shd w:val="clear" w:color="auto" w:fill="auto"/>
            <w:tcMar>
              <w:top w:w="20" w:type="dxa"/>
              <w:left w:w="20" w:type="dxa"/>
              <w:bottom w:w="20" w:type="dxa"/>
              <w:right w:w="20" w:type="dxa"/>
            </w:tcMar>
          </w:tcPr>
          <w:p w14:paraId="6AAB1532" w14:textId="77777777" w:rsidR="000F4679" w:rsidRPr="000D67C6" w:rsidRDefault="000F4679" w:rsidP="000F46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1,073</w:t>
            </w:r>
          </w:p>
        </w:tc>
        <w:tc>
          <w:tcPr>
            <w:tcW w:w="236" w:type="dxa"/>
            <w:tcBorders>
              <w:top w:val="single" w:sz="2" w:space="0" w:color="000000"/>
              <w:bottom w:val="single" w:sz="12" w:space="0" w:color="000000"/>
            </w:tcBorders>
            <w:shd w:val="clear" w:color="auto" w:fill="auto"/>
            <w:tcMar>
              <w:top w:w="20" w:type="dxa"/>
              <w:left w:w="20" w:type="dxa"/>
              <w:bottom w:w="20" w:type="dxa"/>
              <w:right w:w="20" w:type="dxa"/>
            </w:tcMar>
          </w:tcPr>
          <w:p w14:paraId="40591E2B" w14:textId="77777777" w:rsidR="000F4679" w:rsidRPr="000D67C6" w:rsidRDefault="000F4679" w:rsidP="000F4679">
            <w:pPr>
              <w:pStyle w:val="T1TableStyle"/>
              <w:jc w:val="both"/>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5953" w:type="dxa"/>
            <w:tcBorders>
              <w:top w:val="single" w:sz="2" w:space="0" w:color="000000"/>
              <w:bottom w:val="single" w:sz="12" w:space="0" w:color="000000"/>
            </w:tcBorders>
            <w:shd w:val="clear" w:color="auto" w:fill="auto"/>
            <w:tcMar>
              <w:top w:w="20" w:type="dxa"/>
              <w:left w:w="20" w:type="dxa"/>
              <w:bottom w:w="20" w:type="dxa"/>
              <w:right w:w="20" w:type="dxa"/>
            </w:tcMar>
          </w:tcPr>
          <w:p w14:paraId="35E72CE4" w14:textId="77777777" w:rsidR="000F4679" w:rsidRPr="000D67C6" w:rsidRDefault="000F4679" w:rsidP="000F4679">
            <w:pPr>
              <w:pStyle w:val="T1TableStyle"/>
              <w:jc w:val="both"/>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00B1F56F" w14:textId="77777777" w:rsidR="000F4679" w:rsidRPr="000D67C6" w:rsidRDefault="00EF26F0" w:rsidP="000F4679">
            <w:pPr>
              <w:pStyle w:val="T1TableStyle"/>
              <w:jc w:val="both"/>
              <w:rPr>
                <w:rFonts w:ascii="Arial" w:eastAsia="Verdana" w:hAnsi="Arial" w:cs="Arial"/>
                <w:b/>
                <w:sz w:val="22"/>
                <w:szCs w:val="22"/>
                <w:lang w:val="en-GB"/>
              </w:rPr>
            </w:pPr>
            <w:r w:rsidRPr="000D67C6">
              <w:rPr>
                <w:rFonts w:ascii="Arial" w:eastAsia="Verdana" w:hAnsi="Arial" w:cs="Arial"/>
                <w:b/>
                <w:sz w:val="22"/>
                <w:szCs w:val="22"/>
                <w:lang w:val="en-GB"/>
              </w:rPr>
              <w:t xml:space="preserve">              525</w:t>
            </w:r>
          </w:p>
        </w:tc>
      </w:tr>
    </w:tbl>
    <w:p w14:paraId="0C66E3FE" w14:textId="77777777" w:rsidR="009A2875" w:rsidRPr="00055140" w:rsidRDefault="009A2875" w:rsidP="009A2875">
      <w:pPr>
        <w:rPr>
          <w:rFonts w:ascii="Arial" w:hAnsi="Arial" w:cs="Arial"/>
          <w:sz w:val="36"/>
          <w:lang w:val="en-GB"/>
        </w:rPr>
      </w:pPr>
    </w:p>
    <w:p w14:paraId="6245422A" w14:textId="77777777" w:rsidR="008F013B" w:rsidRPr="000D67C6" w:rsidRDefault="002F5FB5" w:rsidP="009A2875">
      <w:pPr>
        <w:pStyle w:val="Heading1"/>
        <w:spacing w:before="0"/>
        <w:jc w:val="both"/>
        <w:rPr>
          <w:rFonts w:ascii="Arial" w:hAnsi="Arial" w:cs="Arial"/>
          <w:sz w:val="28"/>
          <w:lang w:val="en-GB"/>
        </w:rPr>
      </w:pPr>
      <w:r w:rsidRPr="000D67C6">
        <w:rPr>
          <w:rFonts w:ascii="Arial" w:hAnsi="Arial" w:cs="Arial"/>
          <w:sz w:val="28"/>
          <w:lang w:val="en-GB"/>
        </w:rPr>
        <w:t>Note 29</w:t>
      </w:r>
      <w:r w:rsidR="008F013B" w:rsidRPr="000D67C6">
        <w:rPr>
          <w:rFonts w:ascii="Arial" w:hAnsi="Arial" w:cs="Arial"/>
          <w:sz w:val="28"/>
          <w:lang w:val="en-GB"/>
        </w:rPr>
        <w:t xml:space="preserve"> - Termination Benefits </w:t>
      </w:r>
    </w:p>
    <w:p w14:paraId="16083C9F" w14:textId="77777777" w:rsidR="00F83FAA" w:rsidRPr="000D67C6" w:rsidRDefault="00F83FAA" w:rsidP="009A2875">
      <w:pPr>
        <w:pStyle w:val="Normal0"/>
        <w:jc w:val="both"/>
        <w:rPr>
          <w:rFonts w:ascii="Arial" w:hAnsi="Arial" w:cs="Arial"/>
          <w:sz w:val="22"/>
          <w:szCs w:val="22"/>
          <w:lang w:val="en-GB"/>
        </w:rPr>
      </w:pPr>
      <w:bookmarkStart w:id="6" w:name="_Hlk523994669"/>
    </w:p>
    <w:p w14:paraId="0A30656D" w14:textId="5DE13D28" w:rsidR="00F83FAA" w:rsidRPr="000D67C6" w:rsidRDefault="00F83FAA" w:rsidP="0078335A">
      <w:pPr>
        <w:pStyle w:val="Normal0"/>
        <w:jc w:val="both"/>
        <w:rPr>
          <w:rFonts w:ascii="Arial" w:hAnsi="Arial" w:cs="Arial"/>
          <w:b/>
          <w:sz w:val="20"/>
          <w:szCs w:val="20"/>
          <w:lang w:val="en-GB"/>
        </w:rPr>
      </w:pPr>
      <w:r w:rsidRPr="000D67C6">
        <w:rPr>
          <w:rFonts w:ascii="Arial" w:hAnsi="Arial" w:cs="Arial"/>
          <w:sz w:val="22"/>
          <w:szCs w:val="22"/>
          <w:lang w:val="en-GB"/>
        </w:rPr>
        <w:t xml:space="preserve">The Authority terminated the contract of </w:t>
      </w:r>
      <w:r w:rsidR="0048213B" w:rsidRPr="000D67C6">
        <w:rPr>
          <w:rFonts w:ascii="Arial" w:hAnsi="Arial" w:cs="Arial"/>
          <w:sz w:val="22"/>
          <w:szCs w:val="22"/>
          <w:lang w:val="en-GB"/>
        </w:rPr>
        <w:t>four</w:t>
      </w:r>
      <w:r w:rsidRPr="000D67C6">
        <w:rPr>
          <w:rFonts w:ascii="Arial" w:hAnsi="Arial" w:cs="Arial"/>
          <w:sz w:val="22"/>
          <w:szCs w:val="22"/>
          <w:lang w:val="en-GB"/>
        </w:rPr>
        <w:t xml:space="preserve"> employees in 201</w:t>
      </w:r>
      <w:r w:rsidR="000F4679" w:rsidRPr="000D67C6">
        <w:rPr>
          <w:rFonts w:ascii="Arial" w:hAnsi="Arial" w:cs="Arial"/>
          <w:sz w:val="22"/>
          <w:szCs w:val="22"/>
          <w:lang w:val="en-GB"/>
        </w:rPr>
        <w:t>8</w:t>
      </w:r>
      <w:r w:rsidRPr="000D67C6">
        <w:rPr>
          <w:rFonts w:ascii="Arial" w:hAnsi="Arial" w:cs="Arial"/>
          <w:sz w:val="22"/>
          <w:szCs w:val="22"/>
          <w:lang w:val="en-GB"/>
        </w:rPr>
        <w:t>/1</w:t>
      </w:r>
      <w:r w:rsidR="000F4679" w:rsidRPr="000D67C6">
        <w:rPr>
          <w:rFonts w:ascii="Arial" w:hAnsi="Arial" w:cs="Arial"/>
          <w:sz w:val="22"/>
          <w:szCs w:val="22"/>
          <w:lang w:val="en-GB"/>
        </w:rPr>
        <w:t>9</w:t>
      </w:r>
      <w:r w:rsidRPr="000D67C6">
        <w:rPr>
          <w:rFonts w:ascii="Arial" w:hAnsi="Arial" w:cs="Arial"/>
          <w:sz w:val="22"/>
          <w:szCs w:val="22"/>
          <w:lang w:val="en-GB"/>
        </w:rPr>
        <w:t xml:space="preserve"> </w:t>
      </w:r>
      <w:r w:rsidR="005C1E4D" w:rsidRPr="000D67C6">
        <w:rPr>
          <w:rFonts w:ascii="Arial" w:hAnsi="Arial" w:cs="Arial"/>
          <w:sz w:val="22"/>
          <w:szCs w:val="22"/>
          <w:lang w:val="en-GB"/>
        </w:rPr>
        <w:t>incurring liabilities of £</w:t>
      </w:r>
      <w:r w:rsidR="009A2875" w:rsidRPr="000D67C6">
        <w:rPr>
          <w:rFonts w:ascii="Arial" w:hAnsi="Arial" w:cs="Arial"/>
          <w:sz w:val="22"/>
          <w:szCs w:val="22"/>
          <w:lang w:val="en-GB"/>
        </w:rPr>
        <w:t>3</w:t>
      </w:r>
      <w:r w:rsidR="00C31A5E" w:rsidRPr="000D67C6">
        <w:rPr>
          <w:rFonts w:ascii="Arial" w:hAnsi="Arial" w:cs="Arial"/>
          <w:sz w:val="22"/>
          <w:szCs w:val="22"/>
          <w:lang w:val="en-GB"/>
        </w:rPr>
        <w:t>8</w:t>
      </w:r>
      <w:r w:rsidR="009A2875" w:rsidRPr="000D67C6">
        <w:rPr>
          <w:rFonts w:ascii="Arial" w:hAnsi="Arial" w:cs="Arial"/>
          <w:sz w:val="22"/>
          <w:szCs w:val="22"/>
          <w:lang w:val="en-GB"/>
        </w:rPr>
        <w:t>k</w:t>
      </w:r>
      <w:r w:rsidR="00941D48" w:rsidRPr="000D67C6">
        <w:rPr>
          <w:rFonts w:ascii="Arial" w:hAnsi="Arial" w:cs="Arial"/>
          <w:sz w:val="22"/>
          <w:szCs w:val="22"/>
          <w:lang w:val="en-GB"/>
        </w:rPr>
        <w:t xml:space="preserve"> (</w:t>
      </w:r>
      <w:r w:rsidR="00265970" w:rsidRPr="000D67C6">
        <w:rPr>
          <w:rFonts w:ascii="Arial" w:hAnsi="Arial" w:cs="Arial"/>
          <w:sz w:val="22"/>
          <w:szCs w:val="22"/>
          <w:lang w:val="en-GB"/>
        </w:rPr>
        <w:t>£</w:t>
      </w:r>
      <w:r w:rsidR="000F4679" w:rsidRPr="000D67C6">
        <w:rPr>
          <w:rFonts w:ascii="Arial" w:hAnsi="Arial" w:cs="Arial"/>
          <w:sz w:val="22"/>
          <w:szCs w:val="22"/>
          <w:lang w:val="en-GB"/>
        </w:rPr>
        <w:t>32</w:t>
      </w:r>
      <w:r w:rsidR="009A2875" w:rsidRPr="000D67C6">
        <w:rPr>
          <w:rFonts w:ascii="Arial" w:hAnsi="Arial" w:cs="Arial"/>
          <w:sz w:val="22"/>
          <w:szCs w:val="22"/>
          <w:lang w:val="en-GB"/>
        </w:rPr>
        <w:t>k</w:t>
      </w:r>
      <w:r w:rsidR="00941D48" w:rsidRPr="000D67C6">
        <w:rPr>
          <w:rFonts w:ascii="Arial" w:hAnsi="Arial" w:cs="Arial"/>
          <w:sz w:val="22"/>
          <w:szCs w:val="22"/>
          <w:lang w:val="en-GB"/>
        </w:rPr>
        <w:t xml:space="preserve"> in 2</w:t>
      </w:r>
      <w:r w:rsidR="009A2875" w:rsidRPr="000D67C6">
        <w:rPr>
          <w:rFonts w:ascii="Arial" w:hAnsi="Arial" w:cs="Arial"/>
          <w:sz w:val="22"/>
          <w:szCs w:val="22"/>
          <w:lang w:val="en-GB"/>
        </w:rPr>
        <w:t>01</w:t>
      </w:r>
      <w:r w:rsidR="000F4679" w:rsidRPr="000D67C6">
        <w:rPr>
          <w:rFonts w:ascii="Arial" w:hAnsi="Arial" w:cs="Arial"/>
          <w:sz w:val="22"/>
          <w:szCs w:val="22"/>
          <w:lang w:val="en-GB"/>
        </w:rPr>
        <w:t>7</w:t>
      </w:r>
      <w:r w:rsidR="00941D48" w:rsidRPr="000D67C6">
        <w:rPr>
          <w:rFonts w:ascii="Arial" w:hAnsi="Arial" w:cs="Arial"/>
          <w:sz w:val="22"/>
          <w:szCs w:val="22"/>
          <w:lang w:val="en-GB"/>
        </w:rPr>
        <w:t>/1</w:t>
      </w:r>
      <w:r w:rsidR="000F4679" w:rsidRPr="000D67C6">
        <w:rPr>
          <w:rFonts w:ascii="Arial" w:hAnsi="Arial" w:cs="Arial"/>
          <w:sz w:val="22"/>
          <w:szCs w:val="22"/>
          <w:lang w:val="en-GB"/>
        </w:rPr>
        <w:t>8</w:t>
      </w:r>
      <w:r w:rsidR="00941D48" w:rsidRPr="000D67C6">
        <w:rPr>
          <w:rFonts w:ascii="Arial" w:hAnsi="Arial" w:cs="Arial"/>
          <w:sz w:val="22"/>
          <w:szCs w:val="22"/>
          <w:lang w:val="en-GB"/>
        </w:rPr>
        <w:t>)</w:t>
      </w:r>
      <w:r w:rsidR="00F17D19" w:rsidRPr="000D67C6">
        <w:rPr>
          <w:rFonts w:ascii="Arial" w:hAnsi="Arial" w:cs="Arial"/>
          <w:sz w:val="22"/>
          <w:szCs w:val="22"/>
          <w:lang w:val="en-GB"/>
        </w:rPr>
        <w:t>. S</w:t>
      </w:r>
      <w:r w:rsidR="00941D48" w:rsidRPr="000D67C6">
        <w:rPr>
          <w:rFonts w:ascii="Arial" w:hAnsi="Arial" w:cs="Arial"/>
          <w:sz w:val="22"/>
          <w:szCs w:val="22"/>
          <w:lang w:val="en-GB"/>
        </w:rPr>
        <w:t>ee note 23</w:t>
      </w:r>
      <w:r w:rsidR="009A2875" w:rsidRPr="000D67C6">
        <w:rPr>
          <w:rFonts w:ascii="Arial" w:hAnsi="Arial" w:cs="Arial"/>
          <w:sz w:val="22"/>
          <w:szCs w:val="22"/>
          <w:lang w:val="en-GB"/>
        </w:rPr>
        <w:t xml:space="preserve"> </w:t>
      </w:r>
      <w:r w:rsidR="005C1E4D" w:rsidRPr="000D67C6">
        <w:rPr>
          <w:rFonts w:ascii="Arial" w:hAnsi="Arial" w:cs="Arial"/>
          <w:sz w:val="22"/>
          <w:szCs w:val="22"/>
          <w:lang w:val="en-GB"/>
        </w:rPr>
        <w:t xml:space="preserve">for the number of exit packages and total cost per band. </w:t>
      </w:r>
      <w:r w:rsidR="00D83706" w:rsidRPr="000D67C6">
        <w:rPr>
          <w:rFonts w:ascii="Arial" w:hAnsi="Arial" w:cs="Arial"/>
          <w:sz w:val="22"/>
          <w:szCs w:val="22"/>
          <w:lang w:val="en-GB"/>
        </w:rPr>
        <w:t xml:space="preserve"> </w:t>
      </w:r>
    </w:p>
    <w:bookmarkEnd w:id="6"/>
    <w:p w14:paraId="7DAFCEFA" w14:textId="77777777" w:rsidR="008833CE" w:rsidRPr="000D67C6" w:rsidRDefault="008833CE">
      <w:pPr>
        <w:rPr>
          <w:rFonts w:ascii="Arial" w:hAnsi="Arial" w:cs="Arial"/>
          <w:b/>
          <w:sz w:val="28"/>
          <w:lang w:val="en-GB"/>
        </w:rPr>
      </w:pPr>
      <w:r w:rsidRPr="000D67C6">
        <w:rPr>
          <w:rFonts w:ascii="Arial" w:hAnsi="Arial" w:cs="Arial"/>
          <w:b/>
          <w:sz w:val="28"/>
          <w:lang w:val="en-GB"/>
        </w:rPr>
        <w:br w:type="page"/>
      </w:r>
    </w:p>
    <w:p w14:paraId="5CA4387E" w14:textId="77777777" w:rsidR="00F83FAA" w:rsidRPr="000D67C6" w:rsidRDefault="002F5FB5" w:rsidP="00F83FAA">
      <w:pPr>
        <w:pStyle w:val="Normal0"/>
        <w:spacing w:line="259" w:lineRule="auto"/>
        <w:rPr>
          <w:rFonts w:ascii="Arial" w:hAnsi="Arial" w:cs="Arial"/>
          <w:b/>
          <w:sz w:val="28"/>
          <w:lang w:val="en-GB"/>
        </w:rPr>
      </w:pPr>
      <w:r w:rsidRPr="000D67C6">
        <w:rPr>
          <w:rFonts w:ascii="Arial" w:hAnsi="Arial" w:cs="Arial"/>
          <w:b/>
          <w:sz w:val="28"/>
          <w:lang w:val="en-GB"/>
        </w:rPr>
        <w:t>Note 30</w:t>
      </w:r>
      <w:r w:rsidR="008F013B" w:rsidRPr="000D67C6">
        <w:rPr>
          <w:rFonts w:ascii="Arial" w:hAnsi="Arial" w:cs="Arial"/>
          <w:b/>
          <w:sz w:val="28"/>
          <w:lang w:val="en-GB"/>
        </w:rPr>
        <w:t xml:space="preserve"> - Defined Benefit Pension Scheme </w:t>
      </w:r>
    </w:p>
    <w:p w14:paraId="2318145D" w14:textId="77777777" w:rsidR="00F83FAA" w:rsidRPr="000D67C6" w:rsidRDefault="00F83FAA" w:rsidP="00F83FAA">
      <w:pPr>
        <w:pStyle w:val="Normal0"/>
        <w:spacing w:line="259" w:lineRule="auto"/>
        <w:rPr>
          <w:rFonts w:ascii="Arial" w:hAnsi="Arial" w:cs="Arial"/>
          <w:b/>
          <w:sz w:val="22"/>
          <w:szCs w:val="22"/>
          <w:lang w:val="en-GB"/>
        </w:rPr>
      </w:pPr>
    </w:p>
    <w:p w14:paraId="6DD1FE69" w14:textId="77777777" w:rsidR="00F83FAA" w:rsidRPr="000D67C6" w:rsidRDefault="00F83FAA" w:rsidP="00200C9B">
      <w:pPr>
        <w:pStyle w:val="Normal0"/>
        <w:spacing w:line="259" w:lineRule="auto"/>
        <w:jc w:val="both"/>
        <w:rPr>
          <w:rFonts w:ascii="Arial" w:eastAsia="Calibri" w:hAnsi="Arial" w:cs="Arial"/>
          <w:b/>
          <w:sz w:val="22"/>
          <w:szCs w:val="22"/>
          <w:lang w:val="en-GB"/>
        </w:rPr>
      </w:pPr>
      <w:r w:rsidRPr="000D67C6">
        <w:rPr>
          <w:rFonts w:ascii="Arial" w:eastAsia="Calibri" w:hAnsi="Arial" w:cs="Arial"/>
          <w:b/>
          <w:sz w:val="22"/>
          <w:szCs w:val="22"/>
          <w:lang w:val="en-GB"/>
        </w:rPr>
        <w:t>Participation in Pension Schemes</w:t>
      </w:r>
    </w:p>
    <w:p w14:paraId="2C19FF0D" w14:textId="77777777" w:rsidR="00F83FAA" w:rsidRPr="000D67C6" w:rsidRDefault="00F83FAA" w:rsidP="00200C9B">
      <w:pPr>
        <w:pStyle w:val="Normal0"/>
        <w:spacing w:line="259" w:lineRule="auto"/>
        <w:jc w:val="both"/>
        <w:rPr>
          <w:rFonts w:ascii="Arial" w:eastAsia="Calibri" w:hAnsi="Arial" w:cs="Arial"/>
          <w:sz w:val="22"/>
          <w:szCs w:val="22"/>
          <w:lang w:val="en-GB"/>
        </w:rPr>
      </w:pPr>
    </w:p>
    <w:p w14:paraId="7C5A67C4" w14:textId="77777777" w:rsidR="00F83FAA" w:rsidRPr="000D67C6" w:rsidRDefault="00F83FAA" w:rsidP="00200C9B">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As part of the terms and conditions of employment of its officers, the Authority makes contributions towards the cost of post-employment benefits.  Although these benefits will not actually be payable until employees retire, the Authority has a commitment to make the payments (for those benefits) and to disclose them at the time that the employees earn their future entitlement.</w:t>
      </w:r>
    </w:p>
    <w:p w14:paraId="334BC66F" w14:textId="77777777" w:rsidR="00F83FAA" w:rsidRPr="000D67C6" w:rsidRDefault="00F83FAA" w:rsidP="00200C9B">
      <w:pPr>
        <w:pStyle w:val="Normal0"/>
        <w:spacing w:line="259" w:lineRule="auto"/>
        <w:jc w:val="both"/>
        <w:rPr>
          <w:rFonts w:ascii="Arial" w:eastAsia="Calibri" w:hAnsi="Arial" w:cs="Arial"/>
          <w:sz w:val="22"/>
          <w:szCs w:val="22"/>
          <w:lang w:val="en-GB"/>
        </w:rPr>
      </w:pPr>
    </w:p>
    <w:p w14:paraId="7D087074" w14:textId="77777777" w:rsidR="00B05F79" w:rsidRPr="000D67C6" w:rsidRDefault="00B05F79" w:rsidP="00200C9B">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 xml:space="preserve">The Local Government Pension Scheme (LGPS) pension scheme is operated under the regulatory framework for the Local Government Pension Scheme and the governance of the scheme is the responsibility of Dyfed Pension Fund, Carmarthenshire County </w:t>
      </w:r>
      <w:r w:rsidR="00265970" w:rsidRPr="000D67C6">
        <w:rPr>
          <w:rFonts w:ascii="Arial" w:eastAsia="Calibri" w:hAnsi="Arial" w:cs="Arial"/>
          <w:sz w:val="22"/>
          <w:szCs w:val="22"/>
          <w:lang w:val="en-GB"/>
        </w:rPr>
        <w:t>Council</w:t>
      </w:r>
      <w:r w:rsidRPr="000D67C6">
        <w:rPr>
          <w:rFonts w:ascii="Arial" w:eastAsia="Calibri" w:hAnsi="Arial" w:cs="Arial"/>
          <w:sz w:val="22"/>
          <w:szCs w:val="22"/>
          <w:lang w:val="en-GB"/>
        </w:rPr>
        <w:t xml:space="preserve">. Policy is determined in accordance with the Pensions Fund Regulations. The investment managers of the fund are appointed by the pensions committee of Carmarthenshire County </w:t>
      </w:r>
      <w:r w:rsidR="00265970" w:rsidRPr="000D67C6">
        <w:rPr>
          <w:rFonts w:ascii="Arial" w:eastAsia="Calibri" w:hAnsi="Arial" w:cs="Arial"/>
          <w:sz w:val="22"/>
          <w:szCs w:val="22"/>
          <w:lang w:val="en-GB"/>
        </w:rPr>
        <w:t>Council</w:t>
      </w:r>
      <w:r w:rsidRPr="000D67C6">
        <w:rPr>
          <w:rFonts w:ascii="Arial" w:eastAsia="Calibri" w:hAnsi="Arial" w:cs="Arial"/>
          <w:sz w:val="22"/>
          <w:szCs w:val="22"/>
          <w:lang w:val="en-GB"/>
        </w:rPr>
        <w:t xml:space="preserve">. The principal risks to the authority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and the amounts required by statute as described in the accounting policies note. We recognise the cost of retirement benefits in the reported cost of services when they are earned by employees, rather than when the benefits are eventually paid as pensions. </w:t>
      </w:r>
    </w:p>
    <w:p w14:paraId="47CF1411" w14:textId="77777777" w:rsidR="00B05F79" w:rsidRPr="000D67C6" w:rsidRDefault="00B05F79" w:rsidP="00200C9B">
      <w:pPr>
        <w:pStyle w:val="Normal0"/>
        <w:spacing w:line="259" w:lineRule="auto"/>
        <w:jc w:val="both"/>
        <w:rPr>
          <w:sz w:val="22"/>
          <w:szCs w:val="22"/>
        </w:rPr>
      </w:pPr>
    </w:p>
    <w:p w14:paraId="6E41A8D0" w14:textId="77777777" w:rsidR="00B05F79" w:rsidRPr="000D67C6" w:rsidRDefault="00B05F79" w:rsidP="00200C9B">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However, the charge we are required to make against levy is based on the cash payable in the year, so the real cost of post</w:t>
      </w:r>
      <w:r w:rsidR="00265970" w:rsidRPr="000D67C6">
        <w:rPr>
          <w:rFonts w:ascii="Arial" w:eastAsia="Calibri" w:hAnsi="Arial" w:cs="Arial"/>
          <w:sz w:val="22"/>
          <w:szCs w:val="22"/>
          <w:lang w:val="en-GB"/>
        </w:rPr>
        <w:t>-</w:t>
      </w:r>
      <w:r w:rsidRPr="000D67C6">
        <w:rPr>
          <w:rFonts w:ascii="Arial" w:eastAsia="Calibri" w:hAnsi="Arial" w:cs="Arial"/>
          <w:sz w:val="22"/>
          <w:szCs w:val="22"/>
          <w:lang w:val="en-GB"/>
        </w:rPr>
        <w:t>employment/retirement benefits is reversed out of the General Fund via the Movement in Reserves Statement. The following transactions have been made in the Comprehensive Income and Expenditure Statement and the General Fund Balance via the Movement in Reserves Statement during the year.</w:t>
      </w:r>
    </w:p>
    <w:p w14:paraId="64B02666" w14:textId="77777777" w:rsidR="001936AB" w:rsidRPr="000D67C6" w:rsidRDefault="001936AB" w:rsidP="001936AB">
      <w:pPr>
        <w:pStyle w:val="Default"/>
        <w:jc w:val="both"/>
        <w:rPr>
          <w:rFonts w:ascii="Arial" w:eastAsia="Calibri" w:hAnsi="Arial" w:cs="Arial"/>
          <w:color w:val="auto"/>
          <w:sz w:val="22"/>
          <w:szCs w:val="22"/>
        </w:rPr>
      </w:pPr>
    </w:p>
    <w:p w14:paraId="54BE0E7D" w14:textId="77777777" w:rsidR="001936AB" w:rsidRPr="000D67C6" w:rsidRDefault="001936AB" w:rsidP="001936AB">
      <w:pPr>
        <w:pStyle w:val="Default"/>
        <w:jc w:val="both"/>
        <w:rPr>
          <w:rFonts w:ascii="Arial" w:eastAsia="Calibri" w:hAnsi="Arial" w:cs="Arial"/>
          <w:color w:val="auto"/>
          <w:sz w:val="22"/>
          <w:szCs w:val="22"/>
        </w:rPr>
      </w:pPr>
      <w:r w:rsidRPr="000D67C6">
        <w:rPr>
          <w:rFonts w:ascii="Arial" w:eastAsia="Calibri" w:hAnsi="Arial" w:cs="Arial"/>
          <w:color w:val="auto"/>
          <w:sz w:val="22"/>
          <w:szCs w:val="22"/>
        </w:rPr>
        <w:t>Within 2017-18, a past service cost was recognised reflecting the extension of the interim solution regarding guaranteed minimum pension (“GMP”) indexation. Members of public service pension schemes with GMP entitlements who reach State Pension age on or after 6 December 2018 and before 6 April 2021 will be covered by this extension of the interim solution. As HMT have not announced any changes to the current solution, no past service cost has been recognised in 2018-19 in this respect.</w:t>
      </w:r>
    </w:p>
    <w:p w14:paraId="67F62F31" w14:textId="77777777" w:rsidR="00B05F79" w:rsidRPr="000D67C6" w:rsidRDefault="00B05F79" w:rsidP="00200C9B">
      <w:pPr>
        <w:pStyle w:val="Normal0"/>
        <w:spacing w:line="259" w:lineRule="auto"/>
        <w:jc w:val="both"/>
        <w:rPr>
          <w:rFonts w:ascii="Arial" w:eastAsia="Calibri" w:hAnsi="Arial" w:cs="Arial"/>
          <w:sz w:val="22"/>
          <w:szCs w:val="22"/>
          <w:lang w:val="en-GB"/>
        </w:rPr>
      </w:pPr>
    </w:p>
    <w:p w14:paraId="6A7D5FE9" w14:textId="77777777" w:rsidR="00B05F79" w:rsidRPr="000D67C6" w:rsidRDefault="00B05F79" w:rsidP="00B05F79">
      <w:pPr>
        <w:pStyle w:val="Default"/>
        <w:jc w:val="both"/>
        <w:rPr>
          <w:rFonts w:ascii="Arial" w:eastAsia="Calibri" w:hAnsi="Arial" w:cs="Arial"/>
          <w:color w:val="auto"/>
          <w:sz w:val="22"/>
          <w:szCs w:val="22"/>
        </w:rPr>
      </w:pPr>
      <w:r w:rsidRPr="000D67C6">
        <w:rPr>
          <w:rFonts w:ascii="Arial" w:eastAsia="Calibri" w:hAnsi="Arial" w:cs="Arial"/>
          <w:color w:val="auto"/>
          <w:sz w:val="22"/>
          <w:szCs w:val="22"/>
        </w:rPr>
        <w:t xml:space="preserve">Discretionary post-retirement benefits on early retirement are an unfunded defined benefit arrangement, under which liabilities are recognised when awards are made. There are no plan assets built up to meet these pension liabilities. </w:t>
      </w:r>
    </w:p>
    <w:p w14:paraId="535610F0" w14:textId="77777777" w:rsidR="00537F5C" w:rsidRPr="000D67C6" w:rsidRDefault="00537F5C" w:rsidP="00B05F79">
      <w:pPr>
        <w:pStyle w:val="Normal0"/>
        <w:spacing w:line="259" w:lineRule="auto"/>
        <w:jc w:val="both"/>
        <w:rPr>
          <w:rFonts w:ascii="Arial" w:eastAsia="Calibri" w:hAnsi="Arial" w:cs="Arial"/>
          <w:sz w:val="22"/>
          <w:szCs w:val="22"/>
          <w:lang w:val="en-GB"/>
        </w:rPr>
      </w:pPr>
    </w:p>
    <w:p w14:paraId="245715D8" w14:textId="77777777" w:rsidR="008833CE" w:rsidRPr="000D67C6" w:rsidRDefault="00B05F79" w:rsidP="00B05F79">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The Fire</w:t>
      </w:r>
      <w:r w:rsidR="009A0F09" w:rsidRPr="000D67C6">
        <w:rPr>
          <w:rFonts w:ascii="Arial" w:eastAsia="Calibri" w:hAnsi="Arial" w:cs="Arial"/>
          <w:sz w:val="22"/>
          <w:szCs w:val="22"/>
          <w:lang w:val="en-GB"/>
        </w:rPr>
        <w:t>f</w:t>
      </w:r>
      <w:r w:rsidRPr="000D67C6">
        <w:rPr>
          <w:rFonts w:ascii="Arial" w:eastAsia="Calibri" w:hAnsi="Arial" w:cs="Arial"/>
          <w:sz w:val="22"/>
          <w:szCs w:val="22"/>
          <w:lang w:val="en-GB"/>
        </w:rPr>
        <w:t>ighters Pension Scheme (FPS) is an unfunded defined benefit scheme meaning that no investments are held to fund the liabilities. Contributions, at a</w:t>
      </w:r>
      <w:r w:rsidR="009A0F09" w:rsidRPr="000D67C6">
        <w:rPr>
          <w:rFonts w:ascii="Arial" w:eastAsia="Calibri" w:hAnsi="Arial" w:cs="Arial"/>
          <w:sz w:val="22"/>
          <w:szCs w:val="22"/>
          <w:lang w:val="en-GB"/>
        </w:rPr>
        <w:t xml:space="preserve"> rate set by the Welsh Government, made by the employer and employees are held in a pension fund account, benefits paid are charged to the account with any balance on the account being received from, or paid to, the Welsh Government.</w:t>
      </w:r>
    </w:p>
    <w:p w14:paraId="3BEDBC9C" w14:textId="77777777" w:rsidR="008833CE" w:rsidRPr="000D67C6" w:rsidRDefault="008833CE">
      <w:pPr>
        <w:rPr>
          <w:rFonts w:ascii="Arial" w:eastAsia="Calibri" w:hAnsi="Arial" w:cs="Arial"/>
          <w:sz w:val="22"/>
          <w:szCs w:val="22"/>
          <w:lang w:val="en-GB"/>
        </w:rPr>
      </w:pPr>
      <w:r w:rsidRPr="000D67C6">
        <w:rPr>
          <w:rFonts w:ascii="Arial" w:eastAsia="Calibri" w:hAnsi="Arial" w:cs="Arial"/>
          <w:sz w:val="22"/>
          <w:szCs w:val="22"/>
          <w:lang w:val="en-GB"/>
        </w:rPr>
        <w:br w:type="page"/>
      </w:r>
    </w:p>
    <w:tbl>
      <w:tblPr>
        <w:tblW w:w="0" w:type="auto"/>
        <w:tblInd w:w="-142" w:type="dxa"/>
        <w:tblLayout w:type="fixed"/>
        <w:tblLook w:val="04A0" w:firstRow="1" w:lastRow="0" w:firstColumn="1" w:lastColumn="0" w:noHBand="0" w:noVBand="1"/>
      </w:tblPr>
      <w:tblGrid>
        <w:gridCol w:w="142"/>
        <w:gridCol w:w="851"/>
        <w:gridCol w:w="142"/>
        <w:gridCol w:w="1275"/>
        <w:gridCol w:w="4111"/>
        <w:gridCol w:w="142"/>
        <w:gridCol w:w="425"/>
        <w:gridCol w:w="567"/>
        <w:gridCol w:w="142"/>
        <w:gridCol w:w="142"/>
        <w:gridCol w:w="992"/>
        <w:gridCol w:w="142"/>
      </w:tblGrid>
      <w:tr w:rsidR="00464E99" w:rsidRPr="000D67C6" w14:paraId="0EAF4ADF" w14:textId="77777777" w:rsidTr="00631912">
        <w:trPr>
          <w:gridAfter w:val="1"/>
          <w:wAfter w:w="142" w:type="dxa"/>
          <w:trHeight w:val="300"/>
        </w:trPr>
        <w:tc>
          <w:tcPr>
            <w:tcW w:w="2410" w:type="dxa"/>
            <w:gridSpan w:val="4"/>
            <w:shd w:val="clear" w:color="auto" w:fill="auto"/>
            <w:tcMar>
              <w:top w:w="20" w:type="dxa"/>
              <w:left w:w="20" w:type="dxa"/>
              <w:bottom w:w="20" w:type="dxa"/>
              <w:right w:w="20" w:type="dxa"/>
            </w:tcMar>
            <w:vAlign w:val="bottom"/>
          </w:tcPr>
          <w:p w14:paraId="2A698EE8" w14:textId="77777777" w:rsidR="00464E99" w:rsidRPr="000D67C6" w:rsidRDefault="00EB2CB4" w:rsidP="00F83FAA">
            <w:pPr>
              <w:pStyle w:val="T1TableStyle"/>
              <w:spacing w:line="22" w:lineRule="atLeast"/>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4253" w:type="dxa"/>
            <w:gridSpan w:val="2"/>
            <w:shd w:val="clear" w:color="auto" w:fill="auto"/>
            <w:tcMar>
              <w:top w:w="20" w:type="dxa"/>
              <w:left w:w="20" w:type="dxa"/>
              <w:bottom w:w="20" w:type="dxa"/>
              <w:right w:w="20" w:type="dxa"/>
            </w:tcMar>
            <w:vAlign w:val="bottom"/>
          </w:tcPr>
          <w:p w14:paraId="2E9C12C7" w14:textId="77777777" w:rsidR="00464E99" w:rsidRPr="000D67C6" w:rsidRDefault="00D87274" w:rsidP="00D87274">
            <w:pPr>
              <w:pStyle w:val="T1TableStyle"/>
              <w:spacing w:line="22" w:lineRule="atLeast"/>
              <w:jc w:val="center"/>
              <w:rPr>
                <w:rFonts w:ascii="Arial" w:eastAsia="Verdana" w:hAnsi="Arial" w:cs="Arial"/>
                <w:b/>
                <w:sz w:val="22"/>
                <w:szCs w:val="22"/>
                <w:lang w:val="en-GB"/>
              </w:rPr>
            </w:pPr>
            <w:r w:rsidRPr="000D67C6">
              <w:rPr>
                <w:rFonts w:ascii="Arial" w:eastAsia="Verdana" w:hAnsi="Arial" w:cs="Arial"/>
                <w:b/>
                <w:sz w:val="22"/>
                <w:szCs w:val="22"/>
                <w:lang w:val="en-GB"/>
              </w:rPr>
              <w:t>General Fund Transactions</w:t>
            </w:r>
          </w:p>
        </w:tc>
        <w:tc>
          <w:tcPr>
            <w:tcW w:w="2268" w:type="dxa"/>
            <w:gridSpan w:val="5"/>
            <w:shd w:val="clear" w:color="auto" w:fill="auto"/>
            <w:tcMar>
              <w:top w:w="20" w:type="dxa"/>
              <w:left w:w="20" w:type="dxa"/>
              <w:bottom w:w="20" w:type="dxa"/>
              <w:right w:w="20" w:type="dxa"/>
            </w:tcMar>
            <w:vAlign w:val="bottom"/>
          </w:tcPr>
          <w:p w14:paraId="3489347C" w14:textId="77777777" w:rsidR="00464E99" w:rsidRPr="000D67C6" w:rsidRDefault="00EB2CB4" w:rsidP="00F83FAA">
            <w:pPr>
              <w:pStyle w:val="T1TableStyle"/>
              <w:spacing w:line="22" w:lineRule="atLeast"/>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464E99" w:rsidRPr="000D67C6" w14:paraId="056C4A56" w14:textId="77777777" w:rsidTr="00631912">
        <w:trPr>
          <w:gridAfter w:val="1"/>
          <w:wAfter w:w="142" w:type="dxa"/>
          <w:trHeight w:val="645"/>
        </w:trPr>
        <w:tc>
          <w:tcPr>
            <w:tcW w:w="993" w:type="dxa"/>
            <w:gridSpan w:val="2"/>
            <w:shd w:val="clear" w:color="auto" w:fill="auto"/>
            <w:tcMar>
              <w:top w:w="20" w:type="dxa"/>
              <w:left w:w="20" w:type="dxa"/>
              <w:bottom w:w="20" w:type="dxa"/>
              <w:right w:w="20" w:type="dxa"/>
            </w:tcMar>
            <w:vAlign w:val="bottom"/>
          </w:tcPr>
          <w:p w14:paraId="75D80DF9" w14:textId="77777777" w:rsidR="00464E99" w:rsidRPr="000D67C6" w:rsidRDefault="008F013B" w:rsidP="00D87274">
            <w:pPr>
              <w:pStyle w:val="T1TableStyle"/>
              <w:spacing w:line="22" w:lineRule="atLeast"/>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417" w:type="dxa"/>
            <w:gridSpan w:val="2"/>
            <w:shd w:val="clear" w:color="auto" w:fill="auto"/>
            <w:tcMar>
              <w:top w:w="20" w:type="dxa"/>
              <w:left w:w="20" w:type="dxa"/>
              <w:bottom w:w="20" w:type="dxa"/>
              <w:right w:w="20" w:type="dxa"/>
            </w:tcMar>
            <w:vAlign w:val="bottom"/>
          </w:tcPr>
          <w:p w14:paraId="7C9CF5CD" w14:textId="77777777" w:rsidR="00464E99" w:rsidRPr="000D67C6" w:rsidRDefault="008F013B" w:rsidP="00D87274">
            <w:pPr>
              <w:pStyle w:val="T1TableStyle"/>
              <w:spacing w:line="22" w:lineRule="atLeast"/>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c>
          <w:tcPr>
            <w:tcW w:w="4253" w:type="dxa"/>
            <w:gridSpan w:val="2"/>
            <w:shd w:val="clear" w:color="auto" w:fill="auto"/>
            <w:tcMar>
              <w:top w:w="20" w:type="dxa"/>
              <w:left w:w="20" w:type="dxa"/>
              <w:bottom w:w="20" w:type="dxa"/>
              <w:right w:w="20" w:type="dxa"/>
            </w:tcMar>
            <w:vAlign w:val="bottom"/>
          </w:tcPr>
          <w:p w14:paraId="2C8EAC7D" w14:textId="77777777" w:rsidR="00464E99" w:rsidRPr="000D67C6" w:rsidRDefault="00D87274" w:rsidP="00D87274">
            <w:pPr>
              <w:pStyle w:val="T1TableStyle"/>
              <w:spacing w:line="22" w:lineRule="atLeast"/>
              <w:jc w:val="center"/>
              <w:rPr>
                <w:rFonts w:ascii="Arial" w:eastAsia="Verdana" w:hAnsi="Arial" w:cs="Arial"/>
                <w:b/>
                <w:sz w:val="22"/>
                <w:szCs w:val="22"/>
                <w:lang w:val="en-GB"/>
              </w:rPr>
            </w:pPr>
            <w:r w:rsidRPr="000D67C6">
              <w:rPr>
                <w:rFonts w:ascii="Arial" w:eastAsia="Verdana" w:hAnsi="Arial" w:cs="Arial"/>
                <w:b/>
                <w:sz w:val="22"/>
                <w:szCs w:val="22"/>
                <w:lang w:val="en-GB"/>
              </w:rPr>
              <w:t>Comprehensive Income and Expenditure Statement - Cost of Services</w:t>
            </w:r>
          </w:p>
        </w:tc>
        <w:tc>
          <w:tcPr>
            <w:tcW w:w="1134" w:type="dxa"/>
            <w:gridSpan w:val="3"/>
            <w:shd w:val="clear" w:color="auto" w:fill="auto"/>
            <w:tcMar>
              <w:top w:w="20" w:type="dxa"/>
              <w:left w:w="20" w:type="dxa"/>
              <w:bottom w:w="20" w:type="dxa"/>
              <w:right w:w="20" w:type="dxa"/>
            </w:tcMar>
            <w:vAlign w:val="bottom"/>
          </w:tcPr>
          <w:p w14:paraId="787C0A5A" w14:textId="77777777" w:rsidR="00464E99" w:rsidRPr="000D67C6" w:rsidRDefault="008F013B" w:rsidP="00D87274">
            <w:pPr>
              <w:pStyle w:val="T1TableStyle"/>
              <w:spacing w:line="22" w:lineRule="atLeast"/>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134" w:type="dxa"/>
            <w:gridSpan w:val="2"/>
            <w:shd w:val="clear" w:color="auto" w:fill="auto"/>
            <w:tcMar>
              <w:top w:w="20" w:type="dxa"/>
              <w:left w:w="20" w:type="dxa"/>
              <w:bottom w:w="20" w:type="dxa"/>
              <w:right w:w="20" w:type="dxa"/>
            </w:tcMar>
            <w:vAlign w:val="bottom"/>
          </w:tcPr>
          <w:p w14:paraId="49A621D2" w14:textId="77777777" w:rsidR="00464E99" w:rsidRPr="000D67C6" w:rsidRDefault="008F013B" w:rsidP="00D87274">
            <w:pPr>
              <w:pStyle w:val="T1TableStyle"/>
              <w:spacing w:line="22" w:lineRule="atLeast"/>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r>
      <w:tr w:rsidR="00464E99" w:rsidRPr="000D67C6" w14:paraId="56A696F4" w14:textId="77777777" w:rsidTr="00631912">
        <w:trPr>
          <w:gridAfter w:val="1"/>
          <w:wAfter w:w="142" w:type="dxa"/>
          <w:trHeight w:val="166"/>
        </w:trPr>
        <w:tc>
          <w:tcPr>
            <w:tcW w:w="993" w:type="dxa"/>
            <w:gridSpan w:val="2"/>
            <w:tcBorders>
              <w:bottom w:val="single" w:sz="2" w:space="0" w:color="000000"/>
            </w:tcBorders>
            <w:shd w:val="clear" w:color="auto" w:fill="auto"/>
            <w:tcMar>
              <w:top w:w="20" w:type="dxa"/>
              <w:left w:w="20" w:type="dxa"/>
              <w:bottom w:w="20" w:type="dxa"/>
              <w:right w:w="20" w:type="dxa"/>
            </w:tcMar>
            <w:vAlign w:val="bottom"/>
          </w:tcPr>
          <w:p w14:paraId="266C7EF0"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7" w:type="dxa"/>
            <w:gridSpan w:val="2"/>
            <w:tcBorders>
              <w:bottom w:val="single" w:sz="2" w:space="0" w:color="000000"/>
            </w:tcBorders>
            <w:shd w:val="clear" w:color="auto" w:fill="auto"/>
            <w:tcMar>
              <w:top w:w="20" w:type="dxa"/>
              <w:left w:w="20" w:type="dxa"/>
              <w:bottom w:w="20" w:type="dxa"/>
              <w:right w:w="20" w:type="dxa"/>
            </w:tcMar>
            <w:vAlign w:val="bottom"/>
          </w:tcPr>
          <w:p w14:paraId="2B4E91C8"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4253" w:type="dxa"/>
            <w:gridSpan w:val="2"/>
            <w:tcBorders>
              <w:bottom w:val="single" w:sz="2" w:space="0" w:color="000000"/>
            </w:tcBorders>
            <w:shd w:val="clear" w:color="auto" w:fill="auto"/>
            <w:tcMar>
              <w:top w:w="20" w:type="dxa"/>
              <w:left w:w="20" w:type="dxa"/>
              <w:bottom w:w="20" w:type="dxa"/>
              <w:right w:w="20" w:type="dxa"/>
            </w:tcMar>
            <w:vAlign w:val="bottom"/>
          </w:tcPr>
          <w:p w14:paraId="003B8246"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134" w:type="dxa"/>
            <w:gridSpan w:val="3"/>
            <w:tcBorders>
              <w:bottom w:val="single" w:sz="2" w:space="0" w:color="000000"/>
            </w:tcBorders>
            <w:shd w:val="clear" w:color="auto" w:fill="auto"/>
            <w:tcMar>
              <w:top w:w="20" w:type="dxa"/>
              <w:left w:w="20" w:type="dxa"/>
              <w:bottom w:w="20" w:type="dxa"/>
              <w:right w:w="20" w:type="dxa"/>
            </w:tcMar>
            <w:vAlign w:val="bottom"/>
          </w:tcPr>
          <w:p w14:paraId="06015807"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134" w:type="dxa"/>
            <w:gridSpan w:val="2"/>
            <w:tcBorders>
              <w:bottom w:val="single" w:sz="2" w:space="0" w:color="000000"/>
            </w:tcBorders>
            <w:shd w:val="clear" w:color="auto" w:fill="auto"/>
            <w:tcMar>
              <w:top w:w="20" w:type="dxa"/>
              <w:left w:w="20" w:type="dxa"/>
              <w:bottom w:w="20" w:type="dxa"/>
              <w:right w:w="20" w:type="dxa"/>
            </w:tcMar>
            <w:vAlign w:val="bottom"/>
          </w:tcPr>
          <w:p w14:paraId="7C9AB88B"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464E99" w:rsidRPr="000D67C6" w14:paraId="56818240" w14:textId="77777777" w:rsidTr="00631912">
        <w:trPr>
          <w:gridAfter w:val="1"/>
          <w:wAfter w:w="142" w:type="dxa"/>
          <w:trHeight w:val="414"/>
        </w:trPr>
        <w:tc>
          <w:tcPr>
            <w:tcW w:w="993" w:type="dxa"/>
            <w:gridSpan w:val="2"/>
            <w:shd w:val="clear" w:color="auto" w:fill="auto"/>
            <w:tcMar>
              <w:top w:w="20" w:type="dxa"/>
              <w:left w:w="20" w:type="dxa"/>
              <w:bottom w:w="20" w:type="dxa"/>
              <w:right w:w="20" w:type="dxa"/>
            </w:tcMar>
            <w:vAlign w:val="center"/>
          </w:tcPr>
          <w:p w14:paraId="4FF9FC43" w14:textId="77777777" w:rsidR="00464E99"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417" w:type="dxa"/>
            <w:gridSpan w:val="2"/>
            <w:shd w:val="clear" w:color="auto" w:fill="auto"/>
            <w:tcMar>
              <w:top w:w="20" w:type="dxa"/>
              <w:left w:w="20" w:type="dxa"/>
              <w:bottom w:w="20" w:type="dxa"/>
              <w:right w:w="20" w:type="dxa"/>
            </w:tcMar>
            <w:vAlign w:val="center"/>
          </w:tcPr>
          <w:p w14:paraId="444F6637" w14:textId="77777777" w:rsidR="00464E99"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4253" w:type="dxa"/>
            <w:gridSpan w:val="2"/>
            <w:shd w:val="clear" w:color="auto" w:fill="auto"/>
            <w:tcMar>
              <w:top w:w="20" w:type="dxa"/>
              <w:left w:w="20" w:type="dxa"/>
              <w:bottom w:w="20" w:type="dxa"/>
              <w:right w:w="20" w:type="dxa"/>
            </w:tcMar>
            <w:vAlign w:val="center"/>
          </w:tcPr>
          <w:p w14:paraId="35111796" w14:textId="77777777" w:rsidR="00464E99" w:rsidRPr="000D67C6" w:rsidRDefault="00A91C81">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w:t>
            </w:r>
            <w:r w:rsidR="008F013B" w:rsidRPr="000D67C6">
              <w:rPr>
                <w:rFonts w:ascii="Arial" w:eastAsia="Verdana" w:hAnsi="Arial" w:cs="Arial"/>
                <w:sz w:val="22"/>
                <w:szCs w:val="22"/>
                <w:lang w:val="en-GB"/>
              </w:rPr>
              <w:t>Service cost comprising:</w:t>
            </w:r>
          </w:p>
        </w:tc>
        <w:tc>
          <w:tcPr>
            <w:tcW w:w="1134" w:type="dxa"/>
            <w:gridSpan w:val="3"/>
            <w:shd w:val="clear" w:color="auto" w:fill="auto"/>
            <w:tcMar>
              <w:top w:w="20" w:type="dxa"/>
              <w:left w:w="20" w:type="dxa"/>
              <w:bottom w:w="20" w:type="dxa"/>
              <w:right w:w="20" w:type="dxa"/>
            </w:tcMar>
            <w:vAlign w:val="center"/>
          </w:tcPr>
          <w:p w14:paraId="6BC29388" w14:textId="77777777" w:rsidR="00464E99"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gridSpan w:val="2"/>
            <w:shd w:val="clear" w:color="auto" w:fill="auto"/>
            <w:tcMar>
              <w:top w:w="20" w:type="dxa"/>
              <w:left w:w="20" w:type="dxa"/>
              <w:bottom w:w="20" w:type="dxa"/>
              <w:right w:w="20" w:type="dxa"/>
            </w:tcMar>
            <w:vAlign w:val="center"/>
          </w:tcPr>
          <w:p w14:paraId="22A2B188" w14:textId="77777777" w:rsidR="00464E99"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r>
      <w:tr w:rsidR="00805E57" w:rsidRPr="000D67C6" w14:paraId="636E59E9" w14:textId="77777777" w:rsidTr="00631912">
        <w:trPr>
          <w:gridAfter w:val="1"/>
          <w:wAfter w:w="142" w:type="dxa"/>
          <w:trHeight w:val="88"/>
        </w:trPr>
        <w:tc>
          <w:tcPr>
            <w:tcW w:w="993" w:type="dxa"/>
            <w:gridSpan w:val="2"/>
            <w:shd w:val="clear" w:color="auto" w:fill="auto"/>
            <w:tcMar>
              <w:top w:w="20" w:type="dxa"/>
              <w:left w:w="20" w:type="dxa"/>
              <w:bottom w:w="20" w:type="dxa"/>
              <w:right w:w="20" w:type="dxa"/>
            </w:tcMar>
            <w:vAlign w:val="center"/>
          </w:tcPr>
          <w:p w14:paraId="416EB4E8"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1,893</w:t>
            </w:r>
          </w:p>
        </w:tc>
        <w:tc>
          <w:tcPr>
            <w:tcW w:w="1417" w:type="dxa"/>
            <w:gridSpan w:val="2"/>
            <w:shd w:val="clear" w:color="auto" w:fill="auto"/>
            <w:tcMar>
              <w:top w:w="20" w:type="dxa"/>
              <w:left w:w="20" w:type="dxa"/>
              <w:bottom w:w="20" w:type="dxa"/>
              <w:right w:w="20" w:type="dxa"/>
            </w:tcMar>
            <w:vAlign w:val="center"/>
          </w:tcPr>
          <w:p w14:paraId="4F1EF216"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11,080</w:t>
            </w:r>
          </w:p>
        </w:tc>
        <w:tc>
          <w:tcPr>
            <w:tcW w:w="4253" w:type="dxa"/>
            <w:gridSpan w:val="2"/>
            <w:shd w:val="clear" w:color="auto" w:fill="auto"/>
            <w:tcMar>
              <w:top w:w="20" w:type="dxa"/>
              <w:left w:w="20" w:type="dxa"/>
              <w:bottom w:w="20" w:type="dxa"/>
              <w:right w:w="20" w:type="dxa"/>
            </w:tcMar>
            <w:vAlign w:val="center"/>
          </w:tcPr>
          <w:p w14:paraId="713A0C9B"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Current service cost</w:t>
            </w:r>
          </w:p>
        </w:tc>
        <w:tc>
          <w:tcPr>
            <w:tcW w:w="1134" w:type="dxa"/>
            <w:gridSpan w:val="3"/>
            <w:shd w:val="clear" w:color="auto" w:fill="auto"/>
            <w:tcMar>
              <w:top w:w="20" w:type="dxa"/>
              <w:left w:w="20" w:type="dxa"/>
              <w:bottom w:w="20" w:type="dxa"/>
              <w:right w:w="20" w:type="dxa"/>
            </w:tcMar>
            <w:vAlign w:val="center"/>
          </w:tcPr>
          <w:p w14:paraId="5B02959C" w14:textId="79E793D9"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1,816</w:t>
            </w:r>
          </w:p>
        </w:tc>
        <w:tc>
          <w:tcPr>
            <w:tcW w:w="1134" w:type="dxa"/>
            <w:gridSpan w:val="2"/>
            <w:shd w:val="clear" w:color="auto" w:fill="auto"/>
            <w:tcMar>
              <w:top w:w="20" w:type="dxa"/>
              <w:left w:w="20" w:type="dxa"/>
              <w:bottom w:w="20" w:type="dxa"/>
              <w:right w:w="20" w:type="dxa"/>
            </w:tcMar>
            <w:vAlign w:val="center"/>
          </w:tcPr>
          <w:p w14:paraId="0D3272E4" w14:textId="1516E4D2"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12,190</w:t>
            </w:r>
          </w:p>
        </w:tc>
      </w:tr>
      <w:tr w:rsidR="00805E57" w:rsidRPr="000D67C6" w14:paraId="30E9DC29" w14:textId="77777777" w:rsidTr="00631912">
        <w:trPr>
          <w:gridAfter w:val="1"/>
          <w:wAfter w:w="142" w:type="dxa"/>
          <w:trHeight w:val="205"/>
        </w:trPr>
        <w:tc>
          <w:tcPr>
            <w:tcW w:w="993" w:type="dxa"/>
            <w:gridSpan w:val="2"/>
            <w:shd w:val="clear" w:color="auto" w:fill="auto"/>
            <w:tcMar>
              <w:top w:w="20" w:type="dxa"/>
              <w:left w:w="20" w:type="dxa"/>
              <w:bottom w:w="20" w:type="dxa"/>
              <w:right w:w="20" w:type="dxa"/>
            </w:tcMar>
            <w:vAlign w:val="center"/>
          </w:tcPr>
          <w:p w14:paraId="1B7C2B9E"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gridSpan w:val="2"/>
            <w:shd w:val="clear" w:color="auto" w:fill="auto"/>
            <w:tcMar>
              <w:top w:w="20" w:type="dxa"/>
              <w:left w:w="20" w:type="dxa"/>
              <w:bottom w:w="20" w:type="dxa"/>
              <w:right w:w="20" w:type="dxa"/>
            </w:tcMar>
            <w:vAlign w:val="center"/>
          </w:tcPr>
          <w:p w14:paraId="05A21C6D"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290</w:t>
            </w:r>
          </w:p>
        </w:tc>
        <w:tc>
          <w:tcPr>
            <w:tcW w:w="4253" w:type="dxa"/>
            <w:gridSpan w:val="2"/>
            <w:shd w:val="clear" w:color="auto" w:fill="auto"/>
            <w:tcMar>
              <w:top w:w="20" w:type="dxa"/>
              <w:left w:w="20" w:type="dxa"/>
              <w:bottom w:w="20" w:type="dxa"/>
              <w:right w:w="20" w:type="dxa"/>
            </w:tcMar>
            <w:vAlign w:val="center"/>
          </w:tcPr>
          <w:p w14:paraId="372934C6"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Past service cost</w:t>
            </w:r>
          </w:p>
        </w:tc>
        <w:tc>
          <w:tcPr>
            <w:tcW w:w="1134" w:type="dxa"/>
            <w:gridSpan w:val="3"/>
            <w:shd w:val="clear" w:color="auto" w:fill="auto"/>
            <w:tcMar>
              <w:top w:w="20" w:type="dxa"/>
              <w:left w:w="20" w:type="dxa"/>
              <w:bottom w:w="20" w:type="dxa"/>
              <w:right w:w="20" w:type="dxa"/>
            </w:tcMar>
            <w:vAlign w:val="center"/>
          </w:tcPr>
          <w:p w14:paraId="42DA6C17" w14:textId="18C280F1"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1,091</w:t>
            </w:r>
          </w:p>
        </w:tc>
        <w:tc>
          <w:tcPr>
            <w:tcW w:w="1134" w:type="dxa"/>
            <w:gridSpan w:val="2"/>
            <w:shd w:val="clear" w:color="auto" w:fill="auto"/>
            <w:tcMar>
              <w:top w:w="20" w:type="dxa"/>
              <w:left w:w="20" w:type="dxa"/>
              <w:bottom w:w="20" w:type="dxa"/>
              <w:right w:w="20" w:type="dxa"/>
            </w:tcMar>
            <w:vAlign w:val="center"/>
          </w:tcPr>
          <w:p w14:paraId="5071983A" w14:textId="7CFF5E14"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w:t>
            </w:r>
            <w:r w:rsidR="001950F0">
              <w:rPr>
                <w:rFonts w:ascii="Arial" w:eastAsia="Verdana" w:hAnsi="Arial" w:cs="Arial"/>
                <w:sz w:val="22"/>
                <w:szCs w:val="22"/>
                <w:lang w:val="en-GB"/>
              </w:rPr>
              <w:t>3</w:t>
            </w:r>
            <w:r w:rsidRPr="000D67C6">
              <w:rPr>
                <w:rFonts w:ascii="Arial" w:eastAsia="Verdana" w:hAnsi="Arial" w:cs="Arial"/>
                <w:sz w:val="22"/>
                <w:szCs w:val="22"/>
                <w:lang w:val="en-GB"/>
              </w:rPr>
              <w:t>,</w:t>
            </w:r>
            <w:r w:rsidR="001950F0">
              <w:rPr>
                <w:rFonts w:ascii="Arial" w:eastAsia="Verdana" w:hAnsi="Arial" w:cs="Arial"/>
                <w:sz w:val="22"/>
                <w:szCs w:val="22"/>
                <w:lang w:val="en-GB"/>
              </w:rPr>
              <w:t>5</w:t>
            </w:r>
            <w:r w:rsidRPr="000D67C6">
              <w:rPr>
                <w:rFonts w:ascii="Arial" w:eastAsia="Verdana" w:hAnsi="Arial" w:cs="Arial"/>
                <w:sz w:val="22"/>
                <w:szCs w:val="22"/>
                <w:lang w:val="en-GB"/>
              </w:rPr>
              <w:t>30</w:t>
            </w:r>
          </w:p>
        </w:tc>
      </w:tr>
      <w:tr w:rsidR="00805E57" w:rsidRPr="000D67C6" w14:paraId="44A8BEF1" w14:textId="77777777" w:rsidTr="00631912">
        <w:trPr>
          <w:gridAfter w:val="1"/>
          <w:wAfter w:w="142" w:type="dxa"/>
          <w:trHeight w:val="210"/>
        </w:trPr>
        <w:tc>
          <w:tcPr>
            <w:tcW w:w="993" w:type="dxa"/>
            <w:gridSpan w:val="2"/>
            <w:shd w:val="clear" w:color="auto" w:fill="auto"/>
            <w:tcMar>
              <w:top w:w="20" w:type="dxa"/>
              <w:left w:w="20" w:type="dxa"/>
              <w:bottom w:w="20" w:type="dxa"/>
              <w:right w:w="20" w:type="dxa"/>
            </w:tcMar>
            <w:vAlign w:val="center"/>
          </w:tcPr>
          <w:p w14:paraId="16AFEABD"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gridSpan w:val="2"/>
            <w:shd w:val="clear" w:color="auto" w:fill="auto"/>
            <w:tcMar>
              <w:top w:w="20" w:type="dxa"/>
              <w:left w:w="20" w:type="dxa"/>
              <w:bottom w:w="20" w:type="dxa"/>
              <w:right w:w="20" w:type="dxa"/>
            </w:tcMar>
            <w:vAlign w:val="center"/>
          </w:tcPr>
          <w:p w14:paraId="75CCFFF7"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100</w:t>
            </w:r>
          </w:p>
        </w:tc>
        <w:tc>
          <w:tcPr>
            <w:tcW w:w="4253" w:type="dxa"/>
            <w:gridSpan w:val="2"/>
            <w:shd w:val="clear" w:color="auto" w:fill="auto"/>
            <w:tcMar>
              <w:top w:w="20" w:type="dxa"/>
              <w:left w:w="20" w:type="dxa"/>
              <w:bottom w:w="20" w:type="dxa"/>
              <w:right w:w="20" w:type="dxa"/>
            </w:tcMar>
            <w:vAlign w:val="center"/>
          </w:tcPr>
          <w:p w14:paraId="5484A67B"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Transfers In</w:t>
            </w:r>
          </w:p>
        </w:tc>
        <w:tc>
          <w:tcPr>
            <w:tcW w:w="1134" w:type="dxa"/>
            <w:gridSpan w:val="3"/>
            <w:shd w:val="clear" w:color="auto" w:fill="auto"/>
            <w:tcMar>
              <w:top w:w="20" w:type="dxa"/>
              <w:left w:w="20" w:type="dxa"/>
              <w:bottom w:w="20" w:type="dxa"/>
              <w:right w:w="20" w:type="dxa"/>
            </w:tcMar>
            <w:vAlign w:val="center"/>
          </w:tcPr>
          <w:p w14:paraId="7FF3B158" w14:textId="04C327C8"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42E7760E" w14:textId="39F97B32"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157</w:t>
            </w:r>
          </w:p>
        </w:tc>
      </w:tr>
      <w:tr w:rsidR="00805E57" w:rsidRPr="000D67C6" w14:paraId="0F74A689" w14:textId="77777777" w:rsidTr="00631912">
        <w:trPr>
          <w:gridAfter w:val="1"/>
          <w:wAfter w:w="142" w:type="dxa"/>
          <w:trHeight w:val="199"/>
        </w:trPr>
        <w:tc>
          <w:tcPr>
            <w:tcW w:w="993" w:type="dxa"/>
            <w:gridSpan w:val="2"/>
            <w:shd w:val="clear" w:color="auto" w:fill="auto"/>
            <w:tcMar>
              <w:top w:w="20" w:type="dxa"/>
              <w:left w:w="20" w:type="dxa"/>
              <w:bottom w:w="20" w:type="dxa"/>
              <w:right w:w="20" w:type="dxa"/>
            </w:tcMar>
            <w:vAlign w:val="center"/>
          </w:tcPr>
          <w:p w14:paraId="18B204CF"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gridSpan w:val="2"/>
            <w:shd w:val="clear" w:color="auto" w:fill="auto"/>
            <w:tcMar>
              <w:top w:w="20" w:type="dxa"/>
              <w:left w:w="20" w:type="dxa"/>
              <w:bottom w:w="20" w:type="dxa"/>
              <w:right w:w="20" w:type="dxa"/>
            </w:tcMar>
            <w:vAlign w:val="center"/>
          </w:tcPr>
          <w:p w14:paraId="006F4A33"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53" w:type="dxa"/>
            <w:gridSpan w:val="2"/>
            <w:shd w:val="clear" w:color="auto" w:fill="auto"/>
            <w:tcMar>
              <w:top w:w="20" w:type="dxa"/>
              <w:left w:w="20" w:type="dxa"/>
              <w:bottom w:w="20" w:type="dxa"/>
              <w:right w:w="20" w:type="dxa"/>
            </w:tcMar>
            <w:vAlign w:val="center"/>
          </w:tcPr>
          <w:p w14:paraId="487E4791"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(Gain) / loss from curtailments</w:t>
            </w:r>
          </w:p>
        </w:tc>
        <w:tc>
          <w:tcPr>
            <w:tcW w:w="1134" w:type="dxa"/>
            <w:gridSpan w:val="3"/>
            <w:shd w:val="clear" w:color="auto" w:fill="auto"/>
            <w:tcMar>
              <w:top w:w="20" w:type="dxa"/>
              <w:left w:w="20" w:type="dxa"/>
              <w:bottom w:w="20" w:type="dxa"/>
              <w:right w:w="20" w:type="dxa"/>
            </w:tcMar>
            <w:vAlign w:val="center"/>
          </w:tcPr>
          <w:p w14:paraId="2F8C52A1" w14:textId="6F2ECEAC"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354ABE56" w14:textId="437CF472"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805E57" w:rsidRPr="000D67C6" w14:paraId="74C22A72" w14:textId="77777777" w:rsidTr="00631912">
        <w:trPr>
          <w:gridAfter w:val="1"/>
          <w:wAfter w:w="142" w:type="dxa"/>
          <w:trHeight w:val="190"/>
        </w:trPr>
        <w:tc>
          <w:tcPr>
            <w:tcW w:w="993" w:type="dxa"/>
            <w:gridSpan w:val="2"/>
            <w:shd w:val="clear" w:color="auto" w:fill="auto"/>
            <w:tcMar>
              <w:top w:w="20" w:type="dxa"/>
              <w:left w:w="20" w:type="dxa"/>
              <w:bottom w:w="20" w:type="dxa"/>
              <w:right w:w="20" w:type="dxa"/>
            </w:tcMar>
            <w:vAlign w:val="center"/>
          </w:tcPr>
          <w:p w14:paraId="09259F94"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417" w:type="dxa"/>
            <w:gridSpan w:val="2"/>
            <w:shd w:val="clear" w:color="auto" w:fill="auto"/>
            <w:tcMar>
              <w:top w:w="20" w:type="dxa"/>
              <w:left w:w="20" w:type="dxa"/>
              <w:bottom w:w="20" w:type="dxa"/>
              <w:right w:w="20" w:type="dxa"/>
            </w:tcMar>
            <w:vAlign w:val="center"/>
          </w:tcPr>
          <w:p w14:paraId="0367A106"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53" w:type="dxa"/>
            <w:gridSpan w:val="2"/>
            <w:shd w:val="clear" w:color="auto" w:fill="auto"/>
            <w:tcMar>
              <w:top w:w="20" w:type="dxa"/>
              <w:left w:w="20" w:type="dxa"/>
              <w:bottom w:w="20" w:type="dxa"/>
              <w:right w:w="20" w:type="dxa"/>
            </w:tcMar>
            <w:vAlign w:val="center"/>
          </w:tcPr>
          <w:p w14:paraId="399915C2"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(Gain) / loss from settlements</w:t>
            </w:r>
          </w:p>
        </w:tc>
        <w:tc>
          <w:tcPr>
            <w:tcW w:w="1134" w:type="dxa"/>
            <w:gridSpan w:val="3"/>
            <w:shd w:val="clear" w:color="auto" w:fill="auto"/>
            <w:tcMar>
              <w:top w:w="20" w:type="dxa"/>
              <w:left w:w="20" w:type="dxa"/>
              <w:bottom w:w="20" w:type="dxa"/>
              <w:right w:w="20" w:type="dxa"/>
            </w:tcMar>
            <w:vAlign w:val="center"/>
          </w:tcPr>
          <w:p w14:paraId="40E47E41" w14:textId="3022F11D"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18CC6818" w14:textId="625C6BFB"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805E57" w:rsidRPr="000D67C6" w14:paraId="6ADD665E" w14:textId="77777777" w:rsidTr="00631912">
        <w:trPr>
          <w:gridAfter w:val="1"/>
          <w:wAfter w:w="142" w:type="dxa"/>
          <w:trHeight w:val="321"/>
        </w:trPr>
        <w:tc>
          <w:tcPr>
            <w:tcW w:w="993" w:type="dxa"/>
            <w:gridSpan w:val="2"/>
            <w:shd w:val="clear" w:color="auto" w:fill="auto"/>
            <w:tcMar>
              <w:top w:w="20" w:type="dxa"/>
              <w:left w:w="20" w:type="dxa"/>
              <w:bottom w:w="20" w:type="dxa"/>
              <w:right w:w="20" w:type="dxa"/>
            </w:tcMar>
            <w:vAlign w:val="center"/>
          </w:tcPr>
          <w:p w14:paraId="57E34D6D"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35</w:t>
            </w:r>
          </w:p>
        </w:tc>
        <w:tc>
          <w:tcPr>
            <w:tcW w:w="1417" w:type="dxa"/>
            <w:gridSpan w:val="2"/>
            <w:shd w:val="clear" w:color="auto" w:fill="auto"/>
            <w:tcMar>
              <w:top w:w="20" w:type="dxa"/>
              <w:left w:w="20" w:type="dxa"/>
              <w:bottom w:w="20" w:type="dxa"/>
              <w:right w:w="20" w:type="dxa"/>
            </w:tcMar>
            <w:vAlign w:val="center"/>
          </w:tcPr>
          <w:p w14:paraId="461E2BBC"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53" w:type="dxa"/>
            <w:gridSpan w:val="2"/>
            <w:shd w:val="clear" w:color="auto" w:fill="auto"/>
            <w:tcMar>
              <w:top w:w="20" w:type="dxa"/>
              <w:left w:w="20" w:type="dxa"/>
              <w:bottom w:w="20" w:type="dxa"/>
              <w:right w:w="20" w:type="dxa"/>
            </w:tcMar>
            <w:vAlign w:val="center"/>
          </w:tcPr>
          <w:p w14:paraId="0E809CAC"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Administration expenses</w:t>
            </w:r>
          </w:p>
        </w:tc>
        <w:tc>
          <w:tcPr>
            <w:tcW w:w="1134" w:type="dxa"/>
            <w:gridSpan w:val="3"/>
            <w:shd w:val="clear" w:color="auto" w:fill="auto"/>
            <w:tcMar>
              <w:top w:w="20" w:type="dxa"/>
              <w:left w:w="20" w:type="dxa"/>
              <w:bottom w:w="20" w:type="dxa"/>
              <w:right w:w="20" w:type="dxa"/>
            </w:tcMar>
            <w:vAlign w:val="center"/>
          </w:tcPr>
          <w:p w14:paraId="77072FFF" w14:textId="44627870"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w:t>
            </w:r>
          </w:p>
        </w:tc>
        <w:tc>
          <w:tcPr>
            <w:tcW w:w="1134" w:type="dxa"/>
            <w:gridSpan w:val="2"/>
            <w:shd w:val="clear" w:color="auto" w:fill="auto"/>
            <w:tcMar>
              <w:top w:w="20" w:type="dxa"/>
              <w:left w:w="20" w:type="dxa"/>
              <w:bottom w:w="20" w:type="dxa"/>
              <w:right w:w="20" w:type="dxa"/>
            </w:tcMar>
            <w:vAlign w:val="center"/>
          </w:tcPr>
          <w:p w14:paraId="69C94EB5" w14:textId="47A255A9"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805E57" w:rsidRPr="000D67C6" w14:paraId="7888DF6E" w14:textId="77777777" w:rsidTr="00631912">
        <w:trPr>
          <w:gridAfter w:val="1"/>
          <w:wAfter w:w="142" w:type="dxa"/>
          <w:trHeight w:val="383"/>
        </w:trPr>
        <w:tc>
          <w:tcPr>
            <w:tcW w:w="993" w:type="dxa"/>
            <w:gridSpan w:val="2"/>
            <w:shd w:val="clear" w:color="auto" w:fill="auto"/>
            <w:tcMar>
              <w:top w:w="20" w:type="dxa"/>
              <w:left w:w="20" w:type="dxa"/>
              <w:bottom w:w="20" w:type="dxa"/>
              <w:right w:w="20" w:type="dxa"/>
            </w:tcMar>
            <w:vAlign w:val="center"/>
          </w:tcPr>
          <w:p w14:paraId="4AAD2493" w14:textId="77777777" w:rsidR="00805E57" w:rsidRPr="000D67C6" w:rsidRDefault="00805E57" w:rsidP="00805E57">
            <w:pPr>
              <w:pStyle w:val="T1TableStyle"/>
              <w:jc w:val="center"/>
              <w:rPr>
                <w:rFonts w:ascii="Arial" w:eastAsia="Verdana" w:hAnsi="Arial" w:cs="Arial"/>
                <w:sz w:val="22"/>
                <w:szCs w:val="22"/>
                <w:lang w:val="en-GB"/>
              </w:rPr>
            </w:pPr>
          </w:p>
        </w:tc>
        <w:tc>
          <w:tcPr>
            <w:tcW w:w="1417" w:type="dxa"/>
            <w:gridSpan w:val="2"/>
            <w:shd w:val="clear" w:color="auto" w:fill="auto"/>
            <w:tcMar>
              <w:top w:w="20" w:type="dxa"/>
              <w:left w:w="20" w:type="dxa"/>
              <w:bottom w:w="20" w:type="dxa"/>
              <w:right w:w="20" w:type="dxa"/>
            </w:tcMar>
            <w:vAlign w:val="center"/>
          </w:tcPr>
          <w:p w14:paraId="6F610220" w14:textId="77777777" w:rsidR="00805E57" w:rsidRPr="000D67C6" w:rsidRDefault="00805E57" w:rsidP="00805E57">
            <w:pPr>
              <w:pStyle w:val="T1TableStyle"/>
              <w:jc w:val="center"/>
              <w:rPr>
                <w:rFonts w:ascii="Arial" w:eastAsia="Verdana" w:hAnsi="Arial" w:cs="Arial"/>
                <w:sz w:val="22"/>
                <w:szCs w:val="22"/>
                <w:lang w:val="en-GB"/>
              </w:rPr>
            </w:pPr>
          </w:p>
        </w:tc>
        <w:tc>
          <w:tcPr>
            <w:tcW w:w="4253" w:type="dxa"/>
            <w:gridSpan w:val="2"/>
            <w:shd w:val="clear" w:color="auto" w:fill="auto"/>
            <w:tcMar>
              <w:top w:w="20" w:type="dxa"/>
              <w:left w:w="20" w:type="dxa"/>
              <w:bottom w:w="20" w:type="dxa"/>
              <w:right w:w="20" w:type="dxa"/>
            </w:tcMar>
            <w:vAlign w:val="center"/>
          </w:tcPr>
          <w:p w14:paraId="779B86F3" w14:textId="77777777" w:rsidR="00805E57" w:rsidRPr="000D67C6" w:rsidRDefault="00805E57" w:rsidP="00805E57">
            <w:pPr>
              <w:pStyle w:val="T1TableStyle"/>
              <w:ind w:left="117" w:hanging="117"/>
              <w:rPr>
                <w:rFonts w:ascii="Arial" w:eastAsia="Verdana" w:hAnsi="Arial" w:cs="Arial"/>
                <w:sz w:val="22"/>
                <w:szCs w:val="22"/>
                <w:lang w:val="en-GB"/>
              </w:rPr>
            </w:pPr>
            <w:r w:rsidRPr="000D67C6">
              <w:rPr>
                <w:rFonts w:ascii="Arial" w:eastAsia="Verdana" w:hAnsi="Arial" w:cs="Arial"/>
                <w:sz w:val="22"/>
                <w:szCs w:val="22"/>
                <w:lang w:val="en-GB"/>
              </w:rPr>
              <w:t xml:space="preserve">  Financing and Investment Income and Expenditure: </w:t>
            </w:r>
          </w:p>
        </w:tc>
        <w:tc>
          <w:tcPr>
            <w:tcW w:w="1134" w:type="dxa"/>
            <w:gridSpan w:val="3"/>
            <w:shd w:val="clear" w:color="auto" w:fill="auto"/>
            <w:tcMar>
              <w:top w:w="20" w:type="dxa"/>
              <w:left w:w="20" w:type="dxa"/>
              <w:bottom w:w="20" w:type="dxa"/>
              <w:right w:w="20" w:type="dxa"/>
            </w:tcMar>
            <w:vAlign w:val="center"/>
          </w:tcPr>
          <w:p w14:paraId="249505E6" w14:textId="77777777" w:rsidR="00805E57" w:rsidRPr="000D67C6" w:rsidRDefault="00805E57" w:rsidP="00805E57">
            <w:pPr>
              <w:pStyle w:val="T1TableStyle"/>
              <w:jc w:val="right"/>
              <w:rPr>
                <w:rFonts w:ascii="Arial" w:eastAsia="Verdana" w:hAnsi="Arial" w:cs="Arial"/>
                <w:sz w:val="22"/>
                <w:szCs w:val="22"/>
                <w:lang w:val="en-GB"/>
              </w:rPr>
            </w:pPr>
          </w:p>
        </w:tc>
        <w:tc>
          <w:tcPr>
            <w:tcW w:w="1134" w:type="dxa"/>
            <w:gridSpan w:val="2"/>
            <w:shd w:val="clear" w:color="auto" w:fill="auto"/>
            <w:tcMar>
              <w:top w:w="20" w:type="dxa"/>
              <w:left w:w="20" w:type="dxa"/>
              <w:bottom w:w="20" w:type="dxa"/>
              <w:right w:w="20" w:type="dxa"/>
            </w:tcMar>
            <w:vAlign w:val="center"/>
          </w:tcPr>
          <w:p w14:paraId="04101882" w14:textId="77777777" w:rsidR="00805E57" w:rsidRPr="000D67C6" w:rsidRDefault="00805E57" w:rsidP="00805E57">
            <w:pPr>
              <w:pStyle w:val="T1TableStyle"/>
              <w:jc w:val="center"/>
              <w:rPr>
                <w:rFonts w:ascii="Arial" w:eastAsia="Verdana" w:hAnsi="Arial" w:cs="Arial"/>
                <w:sz w:val="22"/>
                <w:szCs w:val="22"/>
                <w:lang w:val="en-GB"/>
              </w:rPr>
            </w:pPr>
          </w:p>
        </w:tc>
      </w:tr>
      <w:tr w:rsidR="00805E57" w:rsidRPr="000D67C6" w14:paraId="5BEEB814" w14:textId="77777777" w:rsidTr="00631912">
        <w:trPr>
          <w:gridAfter w:val="1"/>
          <w:wAfter w:w="142" w:type="dxa"/>
          <w:trHeight w:val="263"/>
        </w:trPr>
        <w:tc>
          <w:tcPr>
            <w:tcW w:w="993" w:type="dxa"/>
            <w:gridSpan w:val="2"/>
            <w:shd w:val="clear" w:color="auto" w:fill="auto"/>
            <w:tcMar>
              <w:top w:w="20" w:type="dxa"/>
              <w:left w:w="20" w:type="dxa"/>
              <w:bottom w:w="20" w:type="dxa"/>
              <w:right w:w="20" w:type="dxa"/>
            </w:tcMar>
            <w:vAlign w:val="center"/>
          </w:tcPr>
          <w:p w14:paraId="35F0859C"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323</w:t>
            </w:r>
          </w:p>
        </w:tc>
        <w:tc>
          <w:tcPr>
            <w:tcW w:w="1417" w:type="dxa"/>
            <w:gridSpan w:val="2"/>
            <w:shd w:val="clear" w:color="auto" w:fill="auto"/>
            <w:tcMar>
              <w:top w:w="20" w:type="dxa"/>
              <w:left w:w="20" w:type="dxa"/>
              <w:bottom w:w="20" w:type="dxa"/>
              <w:right w:w="20" w:type="dxa"/>
            </w:tcMar>
            <w:vAlign w:val="center"/>
          </w:tcPr>
          <w:p w14:paraId="674274E1" w14:textId="77777777"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12,200</w:t>
            </w:r>
          </w:p>
        </w:tc>
        <w:tc>
          <w:tcPr>
            <w:tcW w:w="4253" w:type="dxa"/>
            <w:gridSpan w:val="2"/>
            <w:shd w:val="clear" w:color="auto" w:fill="auto"/>
            <w:tcMar>
              <w:top w:w="20" w:type="dxa"/>
              <w:left w:w="20" w:type="dxa"/>
              <w:bottom w:w="20" w:type="dxa"/>
              <w:right w:w="20" w:type="dxa"/>
            </w:tcMar>
            <w:vAlign w:val="center"/>
          </w:tcPr>
          <w:p w14:paraId="7B8AD951" w14:textId="77777777" w:rsidR="00805E57" w:rsidRPr="000D67C6" w:rsidRDefault="00805E57" w:rsidP="00805E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Net interest expense</w:t>
            </w:r>
          </w:p>
        </w:tc>
        <w:tc>
          <w:tcPr>
            <w:tcW w:w="1134" w:type="dxa"/>
            <w:gridSpan w:val="3"/>
            <w:shd w:val="clear" w:color="auto" w:fill="auto"/>
            <w:tcMar>
              <w:top w:w="20" w:type="dxa"/>
              <w:left w:w="20" w:type="dxa"/>
              <w:bottom w:w="20" w:type="dxa"/>
              <w:right w:w="20" w:type="dxa"/>
            </w:tcMar>
            <w:vAlign w:val="center"/>
          </w:tcPr>
          <w:p w14:paraId="18BFE2C0" w14:textId="2789C66F"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285</w:t>
            </w:r>
          </w:p>
        </w:tc>
        <w:tc>
          <w:tcPr>
            <w:tcW w:w="1134" w:type="dxa"/>
            <w:gridSpan w:val="2"/>
            <w:shd w:val="clear" w:color="auto" w:fill="auto"/>
            <w:tcMar>
              <w:top w:w="20" w:type="dxa"/>
              <w:left w:w="20" w:type="dxa"/>
              <w:bottom w:w="20" w:type="dxa"/>
              <w:right w:w="20" w:type="dxa"/>
            </w:tcMar>
            <w:vAlign w:val="center"/>
          </w:tcPr>
          <w:p w14:paraId="146AB000" w14:textId="4CFC936F" w:rsidR="00805E57" w:rsidRPr="000D67C6" w:rsidRDefault="00805E57" w:rsidP="00805E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12,560</w:t>
            </w:r>
          </w:p>
        </w:tc>
      </w:tr>
      <w:tr w:rsidR="00805E57" w:rsidRPr="000D67C6" w14:paraId="6C1301EE" w14:textId="77777777" w:rsidTr="00631912">
        <w:trPr>
          <w:gridAfter w:val="1"/>
          <w:wAfter w:w="142" w:type="dxa"/>
          <w:trHeight w:val="414"/>
        </w:trPr>
        <w:tc>
          <w:tcPr>
            <w:tcW w:w="993"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018CD6D" w14:textId="77777777" w:rsidR="00805E57" w:rsidRPr="000D67C6" w:rsidRDefault="00805E57" w:rsidP="00805E5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2,251</w:t>
            </w:r>
          </w:p>
        </w:tc>
        <w:tc>
          <w:tcPr>
            <w:tcW w:w="1417"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28DB999" w14:textId="77777777" w:rsidR="00805E57" w:rsidRPr="000D67C6" w:rsidRDefault="00805E57" w:rsidP="00805E5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23,670</w:t>
            </w:r>
          </w:p>
        </w:tc>
        <w:tc>
          <w:tcPr>
            <w:tcW w:w="4253"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215E4BF" w14:textId="77777777" w:rsidR="00805E57" w:rsidRPr="000D67C6" w:rsidRDefault="00805E57" w:rsidP="00805E57">
            <w:pPr>
              <w:pStyle w:val="T1TableStyle"/>
              <w:ind w:left="117" w:hanging="117"/>
              <w:rPr>
                <w:rFonts w:ascii="Arial" w:eastAsia="Verdana" w:hAnsi="Arial" w:cs="Arial"/>
                <w:b/>
                <w:sz w:val="22"/>
                <w:szCs w:val="22"/>
                <w:lang w:val="en-GB"/>
              </w:rPr>
            </w:pPr>
            <w:r w:rsidRPr="000D67C6">
              <w:rPr>
                <w:rFonts w:ascii="Arial" w:eastAsia="Verdana" w:hAnsi="Arial" w:cs="Arial"/>
                <w:b/>
                <w:sz w:val="22"/>
                <w:szCs w:val="22"/>
                <w:lang w:val="en-GB"/>
              </w:rPr>
              <w:t xml:space="preserve">  Total charged to (Surplus) and Deficit on Provision of Services</w:t>
            </w:r>
          </w:p>
        </w:tc>
        <w:tc>
          <w:tcPr>
            <w:tcW w:w="1134" w:type="dxa"/>
            <w:gridSpan w:val="3"/>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CF535C6" w14:textId="707CEC18" w:rsidR="00805E57" w:rsidRPr="000D67C6" w:rsidRDefault="00805E57" w:rsidP="00805E5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3,222</w:t>
            </w:r>
          </w:p>
        </w:tc>
        <w:tc>
          <w:tcPr>
            <w:tcW w:w="1134"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61CDB3A" w14:textId="46ED4C17" w:rsidR="00805E57" w:rsidRPr="000D67C6" w:rsidRDefault="00805E57" w:rsidP="00805E5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w:t>
            </w:r>
            <w:r w:rsidR="001040AE">
              <w:rPr>
                <w:rFonts w:ascii="Arial" w:eastAsia="Verdana" w:hAnsi="Arial" w:cs="Arial"/>
                <w:b/>
                <w:sz w:val="22"/>
                <w:szCs w:val="22"/>
                <w:lang w:val="en-GB"/>
              </w:rPr>
              <w:t>8</w:t>
            </w:r>
            <w:r w:rsidRPr="000D67C6">
              <w:rPr>
                <w:rFonts w:ascii="Arial" w:eastAsia="Verdana" w:hAnsi="Arial" w:cs="Arial"/>
                <w:b/>
                <w:sz w:val="22"/>
                <w:szCs w:val="22"/>
                <w:lang w:val="en-GB"/>
              </w:rPr>
              <w:t>,</w:t>
            </w:r>
            <w:r w:rsidR="001040AE">
              <w:rPr>
                <w:rFonts w:ascii="Arial" w:eastAsia="Verdana" w:hAnsi="Arial" w:cs="Arial"/>
                <w:b/>
                <w:sz w:val="22"/>
                <w:szCs w:val="22"/>
                <w:lang w:val="en-GB"/>
              </w:rPr>
              <w:t>4</w:t>
            </w:r>
            <w:r w:rsidRPr="000D67C6">
              <w:rPr>
                <w:rFonts w:ascii="Arial" w:eastAsia="Verdana" w:hAnsi="Arial" w:cs="Arial"/>
                <w:b/>
                <w:sz w:val="22"/>
                <w:szCs w:val="22"/>
                <w:lang w:val="en-GB"/>
              </w:rPr>
              <w:t>37</w:t>
            </w:r>
          </w:p>
        </w:tc>
      </w:tr>
      <w:tr w:rsidR="00464E99" w:rsidRPr="000D67C6" w14:paraId="141C5D50" w14:textId="77777777" w:rsidTr="00631912">
        <w:trPr>
          <w:gridAfter w:val="1"/>
          <w:wAfter w:w="142" w:type="dxa"/>
          <w:trHeight w:hRule="exact" w:val="300"/>
        </w:trPr>
        <w:tc>
          <w:tcPr>
            <w:tcW w:w="993" w:type="dxa"/>
            <w:gridSpan w:val="2"/>
            <w:shd w:val="clear" w:color="auto" w:fill="auto"/>
            <w:tcMar>
              <w:top w:w="20" w:type="dxa"/>
              <w:left w:w="20" w:type="dxa"/>
              <w:bottom w:w="20" w:type="dxa"/>
              <w:right w:w="20" w:type="dxa"/>
            </w:tcMar>
            <w:vAlign w:val="center"/>
          </w:tcPr>
          <w:p w14:paraId="303DFAB4"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417" w:type="dxa"/>
            <w:gridSpan w:val="2"/>
            <w:shd w:val="clear" w:color="auto" w:fill="auto"/>
            <w:tcMar>
              <w:top w:w="20" w:type="dxa"/>
              <w:left w:w="20" w:type="dxa"/>
              <w:bottom w:w="20" w:type="dxa"/>
              <w:right w:w="20" w:type="dxa"/>
            </w:tcMar>
            <w:vAlign w:val="center"/>
          </w:tcPr>
          <w:p w14:paraId="54C78CF4"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4253" w:type="dxa"/>
            <w:gridSpan w:val="2"/>
            <w:shd w:val="clear" w:color="auto" w:fill="auto"/>
            <w:tcMar>
              <w:top w:w="20" w:type="dxa"/>
              <w:left w:w="20" w:type="dxa"/>
              <w:bottom w:w="20" w:type="dxa"/>
              <w:right w:w="20" w:type="dxa"/>
            </w:tcMar>
            <w:vAlign w:val="center"/>
          </w:tcPr>
          <w:p w14:paraId="06774403"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134" w:type="dxa"/>
            <w:gridSpan w:val="3"/>
            <w:shd w:val="clear" w:color="auto" w:fill="auto"/>
            <w:tcMar>
              <w:top w:w="20" w:type="dxa"/>
              <w:left w:w="20" w:type="dxa"/>
              <w:bottom w:w="20" w:type="dxa"/>
              <w:right w:w="20" w:type="dxa"/>
            </w:tcMar>
            <w:vAlign w:val="center"/>
          </w:tcPr>
          <w:p w14:paraId="2878D2A0"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134" w:type="dxa"/>
            <w:gridSpan w:val="2"/>
            <w:shd w:val="clear" w:color="auto" w:fill="auto"/>
            <w:tcMar>
              <w:top w:w="20" w:type="dxa"/>
              <w:left w:w="20" w:type="dxa"/>
              <w:bottom w:w="20" w:type="dxa"/>
              <w:right w:w="20" w:type="dxa"/>
            </w:tcMar>
            <w:vAlign w:val="center"/>
          </w:tcPr>
          <w:p w14:paraId="3E350C0E"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r>
      <w:tr w:rsidR="00464E99" w:rsidRPr="000D67C6" w14:paraId="73F3A008" w14:textId="77777777" w:rsidTr="009B221A">
        <w:trPr>
          <w:trHeight w:val="315"/>
        </w:trPr>
        <w:tc>
          <w:tcPr>
            <w:tcW w:w="9073" w:type="dxa"/>
            <w:gridSpan w:val="12"/>
            <w:shd w:val="clear" w:color="auto" w:fill="auto"/>
            <w:tcMar>
              <w:top w:w="20" w:type="dxa"/>
              <w:left w:w="20" w:type="dxa"/>
              <w:bottom w:w="20" w:type="dxa"/>
              <w:right w:w="20" w:type="dxa"/>
            </w:tcMar>
            <w:vAlign w:val="center"/>
          </w:tcPr>
          <w:p w14:paraId="1F3492F1" w14:textId="77777777" w:rsidR="0007530D" w:rsidRPr="000D67C6" w:rsidRDefault="009A0F09" w:rsidP="007454BC">
            <w:pPr>
              <w:pStyle w:val="T1TableStyle"/>
              <w:jc w:val="center"/>
              <w:rPr>
                <w:rFonts w:ascii="Arial" w:eastAsia="Verdana" w:hAnsi="Arial" w:cs="Arial"/>
                <w:b/>
                <w:sz w:val="22"/>
                <w:szCs w:val="22"/>
                <w:lang w:val="en-GB"/>
              </w:rPr>
            </w:pPr>
            <w:r w:rsidRPr="000D67C6">
              <w:br w:type="page"/>
            </w:r>
            <w:r w:rsidR="00200C9B" w:rsidRPr="000D67C6">
              <w:rPr>
                <w:rFonts w:ascii="Arial" w:hAnsi="Arial" w:cs="Arial"/>
                <w:sz w:val="22"/>
                <w:szCs w:val="22"/>
              </w:rPr>
              <w:br w:type="page"/>
            </w:r>
            <w:r w:rsidR="008F013B" w:rsidRPr="000D67C6">
              <w:rPr>
                <w:rFonts w:ascii="Arial" w:eastAsia="Verdana" w:hAnsi="Arial" w:cs="Arial"/>
                <w:b/>
                <w:sz w:val="22"/>
                <w:szCs w:val="22"/>
                <w:lang w:val="en-GB"/>
              </w:rPr>
              <w:t xml:space="preserve">Other post-employment benefits charged to the </w:t>
            </w:r>
          </w:p>
          <w:p w14:paraId="3EF5E8F7" w14:textId="77777777" w:rsidR="00464E99" w:rsidRPr="000D67C6" w:rsidRDefault="008F013B" w:rsidP="007454BC">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Comprehensive Income and Expenditure Statement</w:t>
            </w:r>
          </w:p>
          <w:p w14:paraId="7AF71528" w14:textId="77777777" w:rsidR="008833CE" w:rsidRPr="000D67C6" w:rsidRDefault="008833CE" w:rsidP="007454BC">
            <w:pPr>
              <w:pStyle w:val="T1TableStyle"/>
              <w:jc w:val="center"/>
              <w:rPr>
                <w:rFonts w:ascii="Arial" w:eastAsia="Verdana" w:hAnsi="Arial" w:cs="Arial"/>
                <w:b/>
                <w:sz w:val="22"/>
                <w:szCs w:val="22"/>
                <w:lang w:val="en-GB"/>
              </w:rPr>
            </w:pPr>
          </w:p>
        </w:tc>
      </w:tr>
      <w:tr w:rsidR="00464E99" w:rsidRPr="000D67C6" w14:paraId="786C7C7F" w14:textId="77777777" w:rsidTr="00631912">
        <w:trPr>
          <w:trHeight w:val="461"/>
        </w:trPr>
        <w:tc>
          <w:tcPr>
            <w:tcW w:w="1135" w:type="dxa"/>
            <w:gridSpan w:val="3"/>
            <w:shd w:val="clear" w:color="auto" w:fill="auto"/>
            <w:tcMar>
              <w:top w:w="20" w:type="dxa"/>
              <w:left w:w="20" w:type="dxa"/>
              <w:bottom w:w="20" w:type="dxa"/>
              <w:right w:w="20" w:type="dxa"/>
            </w:tcMar>
            <w:vAlign w:val="center"/>
          </w:tcPr>
          <w:p w14:paraId="644F4086"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275" w:type="dxa"/>
            <w:shd w:val="clear" w:color="auto" w:fill="auto"/>
            <w:tcMar>
              <w:top w:w="20" w:type="dxa"/>
              <w:left w:w="20" w:type="dxa"/>
              <w:bottom w:w="20" w:type="dxa"/>
              <w:right w:w="20" w:type="dxa"/>
            </w:tcMar>
            <w:vAlign w:val="center"/>
          </w:tcPr>
          <w:p w14:paraId="4F6B4AFE" w14:textId="77777777" w:rsidR="00464E99" w:rsidRPr="000D67C6" w:rsidRDefault="008F013B">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4253" w:type="dxa"/>
            <w:gridSpan w:val="2"/>
            <w:shd w:val="clear" w:color="auto" w:fill="auto"/>
            <w:tcMar>
              <w:top w:w="20" w:type="dxa"/>
              <w:left w:w="20" w:type="dxa"/>
              <w:bottom w:w="20" w:type="dxa"/>
              <w:right w:w="20" w:type="dxa"/>
            </w:tcMar>
            <w:vAlign w:val="center"/>
          </w:tcPr>
          <w:p w14:paraId="6228C4D8" w14:textId="38E6229E" w:rsidR="00464E99" w:rsidRPr="000D67C6" w:rsidRDefault="00A278CA" w:rsidP="00A278CA">
            <w:pPr>
              <w:pStyle w:val="T1TableStyle"/>
              <w:ind w:left="117" w:hanging="117"/>
              <w:rPr>
                <w:rFonts w:ascii="Arial" w:eastAsia="Verdana" w:hAnsi="Arial" w:cs="Arial"/>
                <w:i/>
                <w:sz w:val="22"/>
                <w:szCs w:val="22"/>
                <w:lang w:val="en-GB"/>
              </w:rPr>
            </w:pPr>
            <w:r w:rsidRPr="000D67C6">
              <w:rPr>
                <w:rFonts w:ascii="Arial" w:eastAsia="Verdana" w:hAnsi="Arial" w:cs="Arial"/>
                <w:i/>
                <w:sz w:val="22"/>
                <w:szCs w:val="22"/>
                <w:lang w:val="en-GB"/>
              </w:rPr>
              <w:t xml:space="preserve">  </w:t>
            </w:r>
            <w:r w:rsidR="008F013B" w:rsidRPr="000D67C6">
              <w:rPr>
                <w:rFonts w:ascii="Arial" w:eastAsia="Verdana" w:hAnsi="Arial" w:cs="Arial"/>
                <w:i/>
                <w:sz w:val="22"/>
                <w:szCs w:val="22"/>
                <w:lang w:val="en-GB"/>
              </w:rPr>
              <w:t>Re-measurement of the net defined benefit liability comprising:</w:t>
            </w:r>
          </w:p>
        </w:tc>
        <w:tc>
          <w:tcPr>
            <w:tcW w:w="1276" w:type="dxa"/>
            <w:gridSpan w:val="4"/>
            <w:shd w:val="clear" w:color="auto" w:fill="auto"/>
            <w:tcMar>
              <w:top w:w="20" w:type="dxa"/>
              <w:left w:w="20" w:type="dxa"/>
              <w:bottom w:w="20" w:type="dxa"/>
              <w:right w:w="20" w:type="dxa"/>
            </w:tcMar>
            <w:vAlign w:val="center"/>
          </w:tcPr>
          <w:p w14:paraId="511472C0" w14:textId="77777777" w:rsidR="00464E99" w:rsidRPr="000D67C6" w:rsidRDefault="00464E99">
            <w:pPr>
              <w:pStyle w:val="T1TableStyle"/>
              <w:jc w:val="center"/>
              <w:rPr>
                <w:rFonts w:ascii="Arial" w:eastAsia="Calibri" w:hAnsi="Arial" w:cs="Arial"/>
                <w:sz w:val="22"/>
                <w:szCs w:val="22"/>
                <w:lang w:val="en-GB"/>
              </w:rPr>
            </w:pPr>
          </w:p>
        </w:tc>
        <w:tc>
          <w:tcPr>
            <w:tcW w:w="1134" w:type="dxa"/>
            <w:gridSpan w:val="2"/>
            <w:shd w:val="clear" w:color="auto" w:fill="auto"/>
            <w:tcMar>
              <w:top w:w="20" w:type="dxa"/>
              <w:left w:w="20" w:type="dxa"/>
              <w:bottom w:w="20" w:type="dxa"/>
              <w:right w:w="20" w:type="dxa"/>
            </w:tcMar>
            <w:vAlign w:val="center"/>
          </w:tcPr>
          <w:p w14:paraId="18831940" w14:textId="77777777" w:rsidR="00464E99" w:rsidRPr="000D67C6" w:rsidRDefault="00464E99">
            <w:pPr>
              <w:pStyle w:val="T1TableStyle"/>
              <w:jc w:val="center"/>
              <w:rPr>
                <w:rFonts w:ascii="Arial" w:eastAsia="Calibri" w:hAnsi="Arial" w:cs="Arial"/>
                <w:sz w:val="22"/>
                <w:szCs w:val="22"/>
                <w:lang w:val="en-GB"/>
              </w:rPr>
            </w:pPr>
          </w:p>
        </w:tc>
      </w:tr>
      <w:tr w:rsidR="00A84D0A" w:rsidRPr="000D67C6" w14:paraId="1F857B68" w14:textId="77777777" w:rsidTr="00A536A0">
        <w:trPr>
          <w:trHeight w:val="852"/>
        </w:trPr>
        <w:tc>
          <w:tcPr>
            <w:tcW w:w="1135" w:type="dxa"/>
            <w:gridSpan w:val="3"/>
            <w:shd w:val="clear" w:color="auto" w:fill="auto"/>
            <w:tcMar>
              <w:top w:w="20" w:type="dxa"/>
              <w:left w:w="20" w:type="dxa"/>
              <w:bottom w:w="20" w:type="dxa"/>
              <w:right w:w="20" w:type="dxa"/>
            </w:tcMar>
            <w:vAlign w:val="center"/>
          </w:tcPr>
          <w:p w14:paraId="74F10294"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(462)</w:t>
            </w:r>
          </w:p>
        </w:tc>
        <w:tc>
          <w:tcPr>
            <w:tcW w:w="1275" w:type="dxa"/>
            <w:shd w:val="clear" w:color="auto" w:fill="auto"/>
            <w:tcMar>
              <w:top w:w="20" w:type="dxa"/>
              <w:left w:w="20" w:type="dxa"/>
              <w:bottom w:w="20" w:type="dxa"/>
              <w:right w:w="20" w:type="dxa"/>
            </w:tcMar>
            <w:vAlign w:val="center"/>
          </w:tcPr>
          <w:p w14:paraId="5CFCDE13"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53" w:type="dxa"/>
            <w:gridSpan w:val="2"/>
            <w:shd w:val="clear" w:color="auto" w:fill="auto"/>
            <w:tcMar>
              <w:top w:w="20" w:type="dxa"/>
              <w:left w:w="20" w:type="dxa"/>
              <w:bottom w:w="20" w:type="dxa"/>
              <w:right w:w="20" w:type="dxa"/>
            </w:tcMar>
            <w:vAlign w:val="center"/>
          </w:tcPr>
          <w:p w14:paraId="6BE077E9" w14:textId="77777777" w:rsidR="00A84D0A" w:rsidRPr="000D67C6" w:rsidRDefault="00A84D0A" w:rsidP="00A84D0A">
            <w:pPr>
              <w:pStyle w:val="T1TableStyle"/>
              <w:ind w:left="117" w:hanging="117"/>
              <w:rPr>
                <w:rFonts w:ascii="Arial" w:eastAsia="Verdana" w:hAnsi="Arial" w:cs="Arial"/>
                <w:sz w:val="22"/>
                <w:szCs w:val="22"/>
                <w:lang w:val="en-GB"/>
              </w:rPr>
            </w:pPr>
            <w:r w:rsidRPr="000D67C6">
              <w:rPr>
                <w:rFonts w:ascii="Arial" w:eastAsia="Verdana" w:hAnsi="Arial" w:cs="Arial"/>
                <w:sz w:val="22"/>
                <w:szCs w:val="22"/>
                <w:lang w:val="en-GB"/>
              </w:rPr>
              <w:t xml:space="preserve">  Return on plan assets (excluding the amount included in the net interest expense)</w:t>
            </w:r>
          </w:p>
        </w:tc>
        <w:tc>
          <w:tcPr>
            <w:tcW w:w="1276" w:type="dxa"/>
            <w:gridSpan w:val="4"/>
            <w:shd w:val="clear" w:color="auto" w:fill="auto"/>
            <w:tcMar>
              <w:top w:w="20" w:type="dxa"/>
              <w:left w:w="20" w:type="dxa"/>
              <w:bottom w:w="20" w:type="dxa"/>
              <w:right w:w="20" w:type="dxa"/>
            </w:tcMar>
            <w:vAlign w:val="center"/>
          </w:tcPr>
          <w:p w14:paraId="1D650CE6" w14:textId="502F2ABD"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(1,646)</w:t>
            </w:r>
          </w:p>
        </w:tc>
        <w:tc>
          <w:tcPr>
            <w:tcW w:w="1134" w:type="dxa"/>
            <w:gridSpan w:val="2"/>
            <w:shd w:val="clear" w:color="auto" w:fill="auto"/>
            <w:tcMar>
              <w:top w:w="20" w:type="dxa"/>
              <w:left w:w="20" w:type="dxa"/>
              <w:bottom w:w="20" w:type="dxa"/>
              <w:right w:w="20" w:type="dxa"/>
            </w:tcMar>
            <w:vAlign w:val="center"/>
          </w:tcPr>
          <w:p w14:paraId="48AC92B8" w14:textId="33EBC78F"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A84D0A" w:rsidRPr="000D67C6" w14:paraId="17501912" w14:textId="77777777" w:rsidTr="00631912">
        <w:trPr>
          <w:trHeight w:val="415"/>
        </w:trPr>
        <w:tc>
          <w:tcPr>
            <w:tcW w:w="1135" w:type="dxa"/>
            <w:gridSpan w:val="3"/>
            <w:shd w:val="clear" w:color="auto" w:fill="auto"/>
            <w:tcMar>
              <w:top w:w="20" w:type="dxa"/>
              <w:left w:w="20" w:type="dxa"/>
              <w:bottom w:w="20" w:type="dxa"/>
              <w:right w:w="20" w:type="dxa"/>
            </w:tcMar>
            <w:vAlign w:val="center"/>
          </w:tcPr>
          <w:p w14:paraId="5EDC0119"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5" w:type="dxa"/>
            <w:shd w:val="clear" w:color="auto" w:fill="auto"/>
            <w:tcMar>
              <w:top w:w="20" w:type="dxa"/>
              <w:left w:w="20" w:type="dxa"/>
              <w:bottom w:w="20" w:type="dxa"/>
              <w:right w:w="20" w:type="dxa"/>
            </w:tcMar>
            <w:vAlign w:val="center"/>
          </w:tcPr>
          <w:p w14:paraId="3922FE64"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21,140</w:t>
            </w:r>
          </w:p>
        </w:tc>
        <w:tc>
          <w:tcPr>
            <w:tcW w:w="4253" w:type="dxa"/>
            <w:gridSpan w:val="2"/>
            <w:shd w:val="clear" w:color="auto" w:fill="auto"/>
            <w:tcMar>
              <w:top w:w="20" w:type="dxa"/>
              <w:left w:w="20" w:type="dxa"/>
              <w:bottom w:w="20" w:type="dxa"/>
              <w:right w:w="20" w:type="dxa"/>
            </w:tcMar>
            <w:vAlign w:val="center"/>
          </w:tcPr>
          <w:p w14:paraId="0E8601CC" w14:textId="2EEFA028" w:rsidR="00A84D0A" w:rsidRPr="000D67C6" w:rsidRDefault="00A84D0A" w:rsidP="00A84D0A">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Actuarial (gains) and losses – experience</w:t>
            </w:r>
          </w:p>
        </w:tc>
        <w:tc>
          <w:tcPr>
            <w:tcW w:w="1276" w:type="dxa"/>
            <w:gridSpan w:val="4"/>
            <w:shd w:val="clear" w:color="auto" w:fill="auto"/>
            <w:tcMar>
              <w:top w:w="20" w:type="dxa"/>
              <w:left w:w="20" w:type="dxa"/>
              <w:bottom w:w="20" w:type="dxa"/>
              <w:right w:w="20" w:type="dxa"/>
            </w:tcMar>
            <w:vAlign w:val="center"/>
          </w:tcPr>
          <w:p w14:paraId="45FF9CD1" w14:textId="5B55CB03"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7A2FD01E" w14:textId="6C09A9CD"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(17,830)</w:t>
            </w:r>
          </w:p>
        </w:tc>
      </w:tr>
      <w:tr w:rsidR="00A84D0A" w:rsidRPr="000D67C6" w14:paraId="07CC16BD" w14:textId="77777777" w:rsidTr="00631912">
        <w:trPr>
          <w:trHeight w:val="461"/>
        </w:trPr>
        <w:tc>
          <w:tcPr>
            <w:tcW w:w="1135" w:type="dxa"/>
            <w:gridSpan w:val="3"/>
            <w:shd w:val="clear" w:color="auto" w:fill="auto"/>
            <w:tcMar>
              <w:top w:w="20" w:type="dxa"/>
              <w:left w:w="20" w:type="dxa"/>
              <w:bottom w:w="20" w:type="dxa"/>
              <w:right w:w="20" w:type="dxa"/>
            </w:tcMar>
            <w:vAlign w:val="center"/>
          </w:tcPr>
          <w:p w14:paraId="76DE78EA"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5" w:type="dxa"/>
            <w:shd w:val="clear" w:color="auto" w:fill="auto"/>
            <w:tcMar>
              <w:top w:w="20" w:type="dxa"/>
              <w:left w:w="20" w:type="dxa"/>
              <w:bottom w:w="20" w:type="dxa"/>
              <w:right w:w="20" w:type="dxa"/>
            </w:tcMar>
            <w:vAlign w:val="center"/>
          </w:tcPr>
          <w:p w14:paraId="4FD19DBF"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(13,500)</w:t>
            </w:r>
          </w:p>
        </w:tc>
        <w:tc>
          <w:tcPr>
            <w:tcW w:w="4253" w:type="dxa"/>
            <w:gridSpan w:val="2"/>
            <w:shd w:val="clear" w:color="auto" w:fill="auto"/>
            <w:tcMar>
              <w:top w:w="20" w:type="dxa"/>
              <w:left w:w="20" w:type="dxa"/>
              <w:bottom w:w="20" w:type="dxa"/>
              <w:right w:w="20" w:type="dxa"/>
            </w:tcMar>
            <w:vAlign w:val="center"/>
          </w:tcPr>
          <w:p w14:paraId="379D823A" w14:textId="5C2EF563" w:rsidR="00A84D0A" w:rsidRPr="000D67C6" w:rsidRDefault="00A84D0A" w:rsidP="00A84D0A">
            <w:pPr>
              <w:pStyle w:val="T1TableStyle"/>
              <w:ind w:left="117"/>
              <w:rPr>
                <w:rFonts w:ascii="Arial" w:eastAsia="Verdana" w:hAnsi="Arial" w:cs="Arial"/>
                <w:sz w:val="22"/>
                <w:szCs w:val="22"/>
                <w:lang w:val="en-GB"/>
              </w:rPr>
            </w:pPr>
            <w:r w:rsidRPr="000D67C6">
              <w:rPr>
                <w:rFonts w:ascii="Arial" w:eastAsia="Verdana" w:hAnsi="Arial" w:cs="Arial"/>
                <w:sz w:val="22"/>
                <w:szCs w:val="22"/>
                <w:lang w:val="en-GB"/>
              </w:rPr>
              <w:t>Actuarial (gains) and losses arising on changes in demographic assumptions</w:t>
            </w:r>
          </w:p>
        </w:tc>
        <w:tc>
          <w:tcPr>
            <w:tcW w:w="1276" w:type="dxa"/>
            <w:gridSpan w:val="4"/>
            <w:shd w:val="clear" w:color="auto" w:fill="auto"/>
            <w:tcMar>
              <w:top w:w="20" w:type="dxa"/>
              <w:left w:w="20" w:type="dxa"/>
              <w:bottom w:w="20" w:type="dxa"/>
              <w:right w:w="20" w:type="dxa"/>
            </w:tcMar>
            <w:vAlign w:val="center"/>
          </w:tcPr>
          <w:p w14:paraId="3099BCBE" w14:textId="015D6280"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14EA9E6A" w14:textId="500D37B2"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A84D0A" w:rsidRPr="000D67C6" w14:paraId="09575B13" w14:textId="77777777" w:rsidTr="00631912">
        <w:trPr>
          <w:trHeight w:val="636"/>
        </w:trPr>
        <w:tc>
          <w:tcPr>
            <w:tcW w:w="1135" w:type="dxa"/>
            <w:gridSpan w:val="3"/>
            <w:shd w:val="clear" w:color="auto" w:fill="auto"/>
            <w:tcMar>
              <w:top w:w="20" w:type="dxa"/>
              <w:left w:w="20" w:type="dxa"/>
              <w:bottom w:w="20" w:type="dxa"/>
              <w:right w:w="20" w:type="dxa"/>
            </w:tcMar>
            <w:vAlign w:val="center"/>
          </w:tcPr>
          <w:p w14:paraId="3B90F60D"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(2,603)</w:t>
            </w:r>
          </w:p>
        </w:tc>
        <w:tc>
          <w:tcPr>
            <w:tcW w:w="1275" w:type="dxa"/>
            <w:shd w:val="clear" w:color="auto" w:fill="auto"/>
            <w:tcMar>
              <w:top w:w="20" w:type="dxa"/>
              <w:left w:w="20" w:type="dxa"/>
              <w:bottom w:w="20" w:type="dxa"/>
              <w:right w:w="20" w:type="dxa"/>
            </w:tcMar>
            <w:vAlign w:val="center"/>
          </w:tcPr>
          <w:p w14:paraId="433C1CB3"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13,980</w:t>
            </w:r>
          </w:p>
        </w:tc>
        <w:tc>
          <w:tcPr>
            <w:tcW w:w="4253" w:type="dxa"/>
            <w:gridSpan w:val="2"/>
            <w:shd w:val="clear" w:color="auto" w:fill="auto"/>
            <w:tcMar>
              <w:top w:w="20" w:type="dxa"/>
              <w:left w:w="20" w:type="dxa"/>
              <w:bottom w:w="20" w:type="dxa"/>
              <w:right w:w="20" w:type="dxa"/>
            </w:tcMar>
            <w:vAlign w:val="center"/>
          </w:tcPr>
          <w:p w14:paraId="7425DFE8" w14:textId="6815F372" w:rsidR="00A84D0A" w:rsidRPr="000D67C6" w:rsidRDefault="00A84D0A" w:rsidP="00A84D0A">
            <w:pPr>
              <w:pStyle w:val="T1TableStyle"/>
              <w:ind w:left="117" w:hanging="117"/>
              <w:rPr>
                <w:rFonts w:ascii="Arial" w:eastAsia="Verdana" w:hAnsi="Arial" w:cs="Arial"/>
                <w:sz w:val="22"/>
                <w:szCs w:val="22"/>
                <w:lang w:val="en-GB"/>
              </w:rPr>
            </w:pPr>
            <w:r w:rsidRPr="000D67C6">
              <w:rPr>
                <w:rFonts w:ascii="Arial" w:eastAsia="Verdana" w:hAnsi="Arial" w:cs="Arial"/>
                <w:sz w:val="22"/>
                <w:szCs w:val="22"/>
                <w:lang w:val="en-GB"/>
              </w:rPr>
              <w:t xml:space="preserve">  Actuarial (gains) and losses arising on changes in financial assumptions</w:t>
            </w:r>
          </w:p>
        </w:tc>
        <w:tc>
          <w:tcPr>
            <w:tcW w:w="1276" w:type="dxa"/>
            <w:gridSpan w:val="4"/>
            <w:shd w:val="clear" w:color="auto" w:fill="auto"/>
            <w:tcMar>
              <w:top w:w="20" w:type="dxa"/>
              <w:left w:w="20" w:type="dxa"/>
              <w:bottom w:w="20" w:type="dxa"/>
              <w:right w:w="20" w:type="dxa"/>
            </w:tcMar>
            <w:vAlign w:val="center"/>
          </w:tcPr>
          <w:p w14:paraId="6C0BC229" w14:textId="7B9480F2"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3,709</w:t>
            </w:r>
          </w:p>
        </w:tc>
        <w:tc>
          <w:tcPr>
            <w:tcW w:w="1134" w:type="dxa"/>
            <w:gridSpan w:val="2"/>
            <w:shd w:val="clear" w:color="auto" w:fill="auto"/>
            <w:tcMar>
              <w:top w:w="20" w:type="dxa"/>
              <w:left w:w="20" w:type="dxa"/>
              <w:bottom w:w="20" w:type="dxa"/>
              <w:right w:w="20" w:type="dxa"/>
            </w:tcMar>
            <w:vAlign w:val="center"/>
          </w:tcPr>
          <w:p w14:paraId="1A249AE7" w14:textId="753BCF3F"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13,930</w:t>
            </w:r>
          </w:p>
        </w:tc>
      </w:tr>
      <w:tr w:rsidR="00A84D0A" w:rsidRPr="000D67C6" w14:paraId="5AC39802" w14:textId="77777777" w:rsidTr="00631912">
        <w:trPr>
          <w:trHeight w:val="365"/>
        </w:trPr>
        <w:tc>
          <w:tcPr>
            <w:tcW w:w="1135" w:type="dxa"/>
            <w:gridSpan w:val="3"/>
            <w:shd w:val="clear" w:color="auto" w:fill="auto"/>
            <w:tcMar>
              <w:top w:w="20" w:type="dxa"/>
              <w:left w:w="20" w:type="dxa"/>
              <w:bottom w:w="20" w:type="dxa"/>
              <w:right w:w="20" w:type="dxa"/>
            </w:tcMar>
            <w:vAlign w:val="center"/>
          </w:tcPr>
          <w:p w14:paraId="774DA27E"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5" w:type="dxa"/>
            <w:shd w:val="clear" w:color="auto" w:fill="auto"/>
            <w:tcMar>
              <w:top w:w="20" w:type="dxa"/>
              <w:left w:w="20" w:type="dxa"/>
              <w:bottom w:w="20" w:type="dxa"/>
              <w:right w:w="20" w:type="dxa"/>
            </w:tcMar>
            <w:vAlign w:val="center"/>
          </w:tcPr>
          <w:p w14:paraId="785FBD9F" w14:textId="77777777"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53" w:type="dxa"/>
            <w:gridSpan w:val="2"/>
            <w:shd w:val="clear" w:color="auto" w:fill="auto"/>
            <w:tcMar>
              <w:top w:w="20" w:type="dxa"/>
              <w:left w:w="20" w:type="dxa"/>
              <w:bottom w:w="20" w:type="dxa"/>
              <w:right w:w="20" w:type="dxa"/>
            </w:tcMar>
            <w:vAlign w:val="center"/>
          </w:tcPr>
          <w:p w14:paraId="0BFA74BA" w14:textId="77777777" w:rsidR="00A84D0A" w:rsidRPr="000D67C6" w:rsidRDefault="00A84D0A" w:rsidP="00A84D0A">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Other movements in the liability / (asset)</w:t>
            </w:r>
          </w:p>
        </w:tc>
        <w:tc>
          <w:tcPr>
            <w:tcW w:w="1276" w:type="dxa"/>
            <w:gridSpan w:val="4"/>
            <w:shd w:val="clear" w:color="auto" w:fill="auto"/>
            <w:tcMar>
              <w:top w:w="20" w:type="dxa"/>
              <w:left w:w="20" w:type="dxa"/>
              <w:bottom w:w="20" w:type="dxa"/>
              <w:right w:w="20" w:type="dxa"/>
            </w:tcMar>
            <w:vAlign w:val="center"/>
          </w:tcPr>
          <w:p w14:paraId="225CAFB5" w14:textId="6BA63973"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gridSpan w:val="2"/>
            <w:shd w:val="clear" w:color="auto" w:fill="auto"/>
            <w:tcMar>
              <w:top w:w="20" w:type="dxa"/>
              <w:left w:w="20" w:type="dxa"/>
              <w:bottom w:w="20" w:type="dxa"/>
              <w:right w:w="20" w:type="dxa"/>
            </w:tcMar>
            <w:vAlign w:val="center"/>
          </w:tcPr>
          <w:p w14:paraId="58CD65B4" w14:textId="31C1F5F8" w:rsidR="00A84D0A" w:rsidRPr="000D67C6" w:rsidRDefault="00A84D0A" w:rsidP="00A84D0A">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A84D0A" w:rsidRPr="000D67C6" w14:paraId="1DE5073F" w14:textId="77777777" w:rsidTr="00631912">
        <w:trPr>
          <w:trHeight w:val="461"/>
        </w:trPr>
        <w:tc>
          <w:tcPr>
            <w:tcW w:w="1135" w:type="dxa"/>
            <w:gridSpan w:val="3"/>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CAB7AF7" w14:textId="77777777"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(3,065)</w:t>
            </w:r>
          </w:p>
        </w:tc>
        <w:tc>
          <w:tcPr>
            <w:tcW w:w="127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9992154" w14:textId="77777777"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21,620</w:t>
            </w:r>
          </w:p>
        </w:tc>
        <w:tc>
          <w:tcPr>
            <w:tcW w:w="4253"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2A09E49" w14:textId="77777777" w:rsidR="00A84D0A" w:rsidRPr="000D67C6" w:rsidRDefault="00A84D0A" w:rsidP="00A84D0A">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Total charged to Other Comprehensive  </w:t>
            </w:r>
          </w:p>
          <w:p w14:paraId="66E51947" w14:textId="77777777" w:rsidR="00A84D0A" w:rsidRPr="000D67C6" w:rsidRDefault="00A84D0A" w:rsidP="00A84D0A">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Income and Expenditure Statement</w:t>
            </w:r>
          </w:p>
        </w:tc>
        <w:tc>
          <w:tcPr>
            <w:tcW w:w="1276" w:type="dxa"/>
            <w:gridSpan w:val="4"/>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E07B2ED" w14:textId="7700B61B"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2,063</w:t>
            </w:r>
          </w:p>
        </w:tc>
        <w:tc>
          <w:tcPr>
            <w:tcW w:w="1134"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86821CA" w14:textId="360ADCD3"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(3,900)</w:t>
            </w:r>
          </w:p>
        </w:tc>
      </w:tr>
      <w:tr w:rsidR="00A84D0A" w:rsidRPr="000D67C6" w14:paraId="3BCAB737" w14:textId="77777777" w:rsidTr="00631912">
        <w:trPr>
          <w:trHeight w:val="38"/>
        </w:trPr>
        <w:tc>
          <w:tcPr>
            <w:tcW w:w="1135" w:type="dxa"/>
            <w:gridSpan w:val="3"/>
            <w:shd w:val="clear" w:color="auto" w:fill="auto"/>
            <w:tcMar>
              <w:top w:w="20" w:type="dxa"/>
              <w:left w:w="20" w:type="dxa"/>
              <w:bottom w:w="20" w:type="dxa"/>
              <w:right w:w="20" w:type="dxa"/>
            </w:tcMar>
            <w:vAlign w:val="center"/>
          </w:tcPr>
          <w:p w14:paraId="7653AC96" w14:textId="77777777" w:rsidR="00A84D0A" w:rsidRPr="000D67C6" w:rsidRDefault="00A84D0A" w:rsidP="00A84D0A">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275" w:type="dxa"/>
            <w:shd w:val="clear" w:color="auto" w:fill="auto"/>
            <w:tcMar>
              <w:top w:w="20" w:type="dxa"/>
              <w:left w:w="20" w:type="dxa"/>
              <w:bottom w:w="20" w:type="dxa"/>
              <w:right w:w="20" w:type="dxa"/>
            </w:tcMar>
            <w:vAlign w:val="center"/>
          </w:tcPr>
          <w:p w14:paraId="0310F93F" w14:textId="77777777" w:rsidR="00A84D0A" w:rsidRPr="000D67C6" w:rsidRDefault="00A84D0A" w:rsidP="00A84D0A">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4253" w:type="dxa"/>
            <w:gridSpan w:val="2"/>
            <w:shd w:val="clear" w:color="auto" w:fill="auto"/>
            <w:tcMar>
              <w:top w:w="20" w:type="dxa"/>
              <w:left w:w="20" w:type="dxa"/>
              <w:bottom w:w="20" w:type="dxa"/>
              <w:right w:w="20" w:type="dxa"/>
            </w:tcMar>
            <w:vAlign w:val="center"/>
          </w:tcPr>
          <w:p w14:paraId="3D369804" w14:textId="77777777" w:rsidR="00A84D0A" w:rsidRPr="000D67C6" w:rsidRDefault="00A84D0A" w:rsidP="00A84D0A">
            <w:pPr>
              <w:pStyle w:val="T1TableStyle"/>
              <w:jc w:val="center"/>
              <w:rPr>
                <w:rFonts w:ascii="Arial" w:eastAsia="Calibri" w:hAnsi="Arial" w:cs="Arial"/>
                <w:sz w:val="22"/>
                <w:szCs w:val="22"/>
                <w:lang w:val="en-GB"/>
              </w:rPr>
            </w:pPr>
            <w:r w:rsidRPr="000D67C6">
              <w:rPr>
                <w:rFonts w:ascii="Arial" w:eastAsia="Calibri" w:hAnsi="Arial" w:cs="Arial"/>
                <w:sz w:val="22"/>
                <w:szCs w:val="22"/>
                <w:lang w:val="en-GB"/>
              </w:rPr>
              <w:t xml:space="preserve"> </w:t>
            </w:r>
          </w:p>
        </w:tc>
        <w:tc>
          <w:tcPr>
            <w:tcW w:w="1276" w:type="dxa"/>
            <w:gridSpan w:val="4"/>
            <w:shd w:val="clear" w:color="auto" w:fill="auto"/>
            <w:tcMar>
              <w:top w:w="20" w:type="dxa"/>
              <w:left w:w="20" w:type="dxa"/>
              <w:bottom w:w="20" w:type="dxa"/>
              <w:right w:w="20" w:type="dxa"/>
            </w:tcMar>
            <w:vAlign w:val="center"/>
          </w:tcPr>
          <w:p w14:paraId="727298C9" w14:textId="77777777" w:rsidR="00A84D0A" w:rsidRPr="000D67C6" w:rsidRDefault="00A84D0A" w:rsidP="00A84D0A">
            <w:pPr>
              <w:pStyle w:val="T1TableStyle"/>
              <w:jc w:val="center"/>
              <w:rPr>
                <w:rFonts w:ascii="Arial" w:eastAsia="Calibri" w:hAnsi="Arial" w:cs="Arial"/>
                <w:sz w:val="22"/>
                <w:szCs w:val="22"/>
                <w:lang w:val="en-GB"/>
              </w:rPr>
            </w:pPr>
          </w:p>
        </w:tc>
        <w:tc>
          <w:tcPr>
            <w:tcW w:w="1134" w:type="dxa"/>
            <w:gridSpan w:val="2"/>
            <w:shd w:val="clear" w:color="auto" w:fill="auto"/>
            <w:tcMar>
              <w:top w:w="20" w:type="dxa"/>
              <w:left w:w="20" w:type="dxa"/>
              <w:bottom w:w="20" w:type="dxa"/>
              <w:right w:w="20" w:type="dxa"/>
            </w:tcMar>
            <w:vAlign w:val="center"/>
          </w:tcPr>
          <w:p w14:paraId="315C44DE" w14:textId="77777777" w:rsidR="00A84D0A" w:rsidRPr="000D67C6" w:rsidRDefault="00A84D0A" w:rsidP="00A84D0A">
            <w:pPr>
              <w:pStyle w:val="T1TableStyle"/>
              <w:jc w:val="center"/>
              <w:rPr>
                <w:rFonts w:ascii="Arial" w:eastAsia="Calibri" w:hAnsi="Arial" w:cs="Arial"/>
                <w:sz w:val="22"/>
                <w:szCs w:val="22"/>
                <w:lang w:val="en-GB"/>
              </w:rPr>
            </w:pPr>
          </w:p>
        </w:tc>
      </w:tr>
      <w:tr w:rsidR="00A84D0A" w:rsidRPr="000D67C6" w14:paraId="685EFC2B" w14:textId="77777777" w:rsidTr="00631912">
        <w:trPr>
          <w:trHeight w:val="461"/>
        </w:trPr>
        <w:tc>
          <w:tcPr>
            <w:tcW w:w="1135" w:type="dxa"/>
            <w:gridSpan w:val="3"/>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AE38628" w14:textId="77777777"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(814)</w:t>
            </w:r>
          </w:p>
        </w:tc>
        <w:tc>
          <w:tcPr>
            <w:tcW w:w="127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59E89D1" w14:textId="77777777"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45,290</w:t>
            </w:r>
          </w:p>
        </w:tc>
        <w:tc>
          <w:tcPr>
            <w:tcW w:w="4253"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E19F650" w14:textId="77777777" w:rsidR="00A84D0A" w:rsidRPr="000D67C6" w:rsidRDefault="00A84D0A" w:rsidP="00A84D0A">
            <w:pPr>
              <w:pStyle w:val="T1TableStyle"/>
              <w:ind w:left="264" w:hanging="264"/>
              <w:rPr>
                <w:rFonts w:ascii="Arial" w:eastAsia="Verdana" w:hAnsi="Arial" w:cs="Arial"/>
                <w:b/>
                <w:sz w:val="22"/>
                <w:szCs w:val="22"/>
                <w:lang w:val="en-GB"/>
              </w:rPr>
            </w:pPr>
            <w:r w:rsidRPr="000D67C6">
              <w:rPr>
                <w:rFonts w:ascii="Arial" w:eastAsia="Verdana" w:hAnsi="Arial" w:cs="Arial"/>
                <w:b/>
                <w:sz w:val="22"/>
                <w:szCs w:val="22"/>
                <w:lang w:val="en-GB"/>
              </w:rPr>
              <w:t xml:space="preserve">  Total charged to the Comprehensive </w:t>
            </w:r>
          </w:p>
          <w:p w14:paraId="650B174E" w14:textId="77777777" w:rsidR="00A84D0A" w:rsidRPr="000D67C6" w:rsidRDefault="00A84D0A" w:rsidP="00A84D0A">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Income and Expenditure Statement</w:t>
            </w:r>
          </w:p>
        </w:tc>
        <w:tc>
          <w:tcPr>
            <w:tcW w:w="1276" w:type="dxa"/>
            <w:gridSpan w:val="4"/>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589E6AC" w14:textId="27C86CF4"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5,285</w:t>
            </w:r>
          </w:p>
        </w:tc>
        <w:tc>
          <w:tcPr>
            <w:tcW w:w="1134"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633E6F" w14:textId="0D326653" w:rsidR="00A84D0A" w:rsidRPr="000D67C6" w:rsidRDefault="00A84D0A" w:rsidP="00A84D0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w:t>
            </w:r>
            <w:r w:rsidR="00D43EFC">
              <w:rPr>
                <w:rFonts w:ascii="Arial" w:eastAsia="Verdana" w:hAnsi="Arial" w:cs="Arial"/>
                <w:b/>
                <w:sz w:val="22"/>
                <w:szCs w:val="22"/>
                <w:lang w:val="en-GB"/>
              </w:rPr>
              <w:t>4</w:t>
            </w:r>
            <w:r w:rsidRPr="000D67C6">
              <w:rPr>
                <w:rFonts w:ascii="Arial" w:eastAsia="Verdana" w:hAnsi="Arial" w:cs="Arial"/>
                <w:b/>
                <w:sz w:val="22"/>
                <w:szCs w:val="22"/>
                <w:lang w:val="en-GB"/>
              </w:rPr>
              <w:t>,</w:t>
            </w:r>
            <w:r w:rsidR="00D43EFC">
              <w:rPr>
                <w:rFonts w:ascii="Arial" w:eastAsia="Verdana" w:hAnsi="Arial" w:cs="Arial"/>
                <w:b/>
                <w:sz w:val="22"/>
                <w:szCs w:val="22"/>
                <w:lang w:val="en-GB"/>
              </w:rPr>
              <w:t>5</w:t>
            </w:r>
            <w:r w:rsidRPr="000D67C6">
              <w:rPr>
                <w:rFonts w:ascii="Arial" w:eastAsia="Verdana" w:hAnsi="Arial" w:cs="Arial"/>
                <w:b/>
                <w:sz w:val="22"/>
                <w:szCs w:val="22"/>
                <w:lang w:val="en-GB"/>
              </w:rPr>
              <w:t>37</w:t>
            </w:r>
          </w:p>
        </w:tc>
      </w:tr>
      <w:tr w:rsidR="00464E99" w:rsidRPr="000D67C6" w14:paraId="303251FE" w14:textId="77777777" w:rsidTr="00631912">
        <w:trPr>
          <w:trHeight w:val="644"/>
        </w:trPr>
        <w:tc>
          <w:tcPr>
            <w:tcW w:w="1135" w:type="dxa"/>
            <w:gridSpan w:val="3"/>
            <w:shd w:val="clear" w:color="auto" w:fill="auto"/>
            <w:tcMar>
              <w:top w:w="20" w:type="dxa"/>
              <w:left w:w="20" w:type="dxa"/>
              <w:bottom w:w="20" w:type="dxa"/>
              <w:right w:w="20" w:type="dxa"/>
            </w:tcMar>
            <w:vAlign w:val="center"/>
          </w:tcPr>
          <w:p w14:paraId="1EFCE147" w14:textId="77777777" w:rsidR="00464E99" w:rsidRPr="000D67C6" w:rsidRDefault="00464E99">
            <w:pPr>
              <w:pStyle w:val="T1TableStyle"/>
              <w:jc w:val="right"/>
              <w:rPr>
                <w:rFonts w:ascii="Arial" w:eastAsia="Verdana" w:hAnsi="Arial" w:cs="Arial"/>
                <w:b/>
                <w:sz w:val="22"/>
                <w:szCs w:val="22"/>
                <w:lang w:val="en-GB"/>
              </w:rPr>
            </w:pPr>
          </w:p>
        </w:tc>
        <w:tc>
          <w:tcPr>
            <w:tcW w:w="1275" w:type="dxa"/>
            <w:shd w:val="clear" w:color="auto" w:fill="auto"/>
            <w:tcMar>
              <w:top w:w="20" w:type="dxa"/>
              <w:left w:w="20" w:type="dxa"/>
              <w:bottom w:w="20" w:type="dxa"/>
              <w:right w:w="20" w:type="dxa"/>
            </w:tcMar>
            <w:vAlign w:val="center"/>
          </w:tcPr>
          <w:p w14:paraId="665B2A98" w14:textId="77777777" w:rsidR="00464E99" w:rsidRPr="000D67C6" w:rsidRDefault="00464E99">
            <w:pPr>
              <w:pStyle w:val="T1TableStyle"/>
              <w:jc w:val="right"/>
              <w:rPr>
                <w:rFonts w:ascii="Arial" w:eastAsia="Verdana" w:hAnsi="Arial" w:cs="Arial"/>
                <w:b/>
                <w:sz w:val="22"/>
                <w:szCs w:val="22"/>
                <w:lang w:val="en-GB"/>
              </w:rPr>
            </w:pPr>
          </w:p>
        </w:tc>
        <w:tc>
          <w:tcPr>
            <w:tcW w:w="4678" w:type="dxa"/>
            <w:gridSpan w:val="3"/>
            <w:shd w:val="clear" w:color="auto" w:fill="auto"/>
            <w:tcMar>
              <w:top w:w="20" w:type="dxa"/>
              <w:left w:w="20" w:type="dxa"/>
              <w:bottom w:w="20" w:type="dxa"/>
              <w:right w:w="20" w:type="dxa"/>
            </w:tcMar>
            <w:vAlign w:val="center"/>
          </w:tcPr>
          <w:p w14:paraId="527E0633" w14:textId="77777777" w:rsidR="0007530D" w:rsidRPr="000D67C6" w:rsidRDefault="00754156" w:rsidP="00754156">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w:t>
            </w:r>
            <w:r w:rsidR="008833CE" w:rsidRPr="000D67C6">
              <w:rPr>
                <w:rFonts w:ascii="Arial" w:eastAsia="Verdana" w:hAnsi="Arial" w:cs="Arial"/>
                <w:b/>
                <w:sz w:val="22"/>
                <w:szCs w:val="22"/>
                <w:lang w:val="en-GB"/>
              </w:rPr>
              <w:t>Movement in Reserves Statement</w:t>
            </w:r>
          </w:p>
        </w:tc>
        <w:tc>
          <w:tcPr>
            <w:tcW w:w="851" w:type="dxa"/>
            <w:gridSpan w:val="3"/>
            <w:shd w:val="clear" w:color="auto" w:fill="auto"/>
            <w:tcMar>
              <w:top w:w="20" w:type="dxa"/>
              <w:left w:w="20" w:type="dxa"/>
              <w:bottom w:w="20" w:type="dxa"/>
              <w:right w:w="20" w:type="dxa"/>
            </w:tcMar>
            <w:vAlign w:val="center"/>
          </w:tcPr>
          <w:p w14:paraId="47C0AB78" w14:textId="77777777" w:rsidR="00464E99" w:rsidRPr="000D67C6" w:rsidRDefault="00464E99">
            <w:pPr>
              <w:pStyle w:val="T1TableStyle"/>
              <w:jc w:val="right"/>
              <w:rPr>
                <w:rFonts w:ascii="Arial" w:eastAsia="Verdana" w:hAnsi="Arial" w:cs="Arial"/>
                <w:b/>
                <w:sz w:val="22"/>
                <w:szCs w:val="22"/>
                <w:lang w:val="en-GB"/>
              </w:rPr>
            </w:pPr>
          </w:p>
        </w:tc>
        <w:tc>
          <w:tcPr>
            <w:tcW w:w="1134" w:type="dxa"/>
            <w:gridSpan w:val="2"/>
            <w:shd w:val="clear" w:color="auto" w:fill="auto"/>
            <w:tcMar>
              <w:top w:w="20" w:type="dxa"/>
              <w:left w:w="20" w:type="dxa"/>
              <w:bottom w:w="20" w:type="dxa"/>
              <w:right w:w="20" w:type="dxa"/>
            </w:tcMar>
            <w:vAlign w:val="center"/>
          </w:tcPr>
          <w:p w14:paraId="457EE55F" w14:textId="77777777" w:rsidR="00464E99" w:rsidRPr="000D67C6" w:rsidRDefault="00464E99">
            <w:pPr>
              <w:pStyle w:val="T1TableStyle"/>
              <w:jc w:val="right"/>
              <w:rPr>
                <w:rFonts w:ascii="Arial" w:eastAsia="Verdana" w:hAnsi="Arial" w:cs="Arial"/>
                <w:b/>
                <w:sz w:val="22"/>
                <w:szCs w:val="22"/>
                <w:lang w:val="en-GB"/>
              </w:rPr>
            </w:pPr>
          </w:p>
        </w:tc>
      </w:tr>
      <w:tr w:rsidR="003D1BAB" w:rsidRPr="000D67C6" w14:paraId="268689C0" w14:textId="77777777" w:rsidTr="00631912">
        <w:trPr>
          <w:trHeight w:val="240"/>
        </w:trPr>
        <w:tc>
          <w:tcPr>
            <w:tcW w:w="1135" w:type="dxa"/>
            <w:gridSpan w:val="3"/>
            <w:tcBorders>
              <w:bottom w:val="single" w:sz="4" w:space="0" w:color="auto"/>
            </w:tcBorders>
            <w:shd w:val="clear" w:color="auto" w:fill="auto"/>
            <w:tcMar>
              <w:top w:w="20" w:type="dxa"/>
              <w:left w:w="20" w:type="dxa"/>
              <w:bottom w:w="20" w:type="dxa"/>
              <w:right w:w="20" w:type="dxa"/>
            </w:tcMar>
            <w:vAlign w:val="center"/>
          </w:tcPr>
          <w:p w14:paraId="15804701" w14:textId="77777777" w:rsidR="003D1BAB" w:rsidRPr="000D67C6" w:rsidRDefault="003D1BAB" w:rsidP="003D1BA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(2,251)</w:t>
            </w:r>
          </w:p>
        </w:tc>
        <w:tc>
          <w:tcPr>
            <w:tcW w:w="1275" w:type="dxa"/>
            <w:tcBorders>
              <w:bottom w:val="single" w:sz="4" w:space="0" w:color="auto"/>
            </w:tcBorders>
            <w:shd w:val="clear" w:color="auto" w:fill="auto"/>
            <w:tcMar>
              <w:top w:w="20" w:type="dxa"/>
              <w:left w:w="20" w:type="dxa"/>
              <w:bottom w:w="20" w:type="dxa"/>
              <w:right w:w="20" w:type="dxa"/>
            </w:tcMar>
            <w:vAlign w:val="center"/>
          </w:tcPr>
          <w:p w14:paraId="7530C102" w14:textId="77777777" w:rsidR="003D1BAB" w:rsidRPr="000D67C6" w:rsidRDefault="003D1BAB" w:rsidP="003D1BA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(23,670)</w:t>
            </w:r>
          </w:p>
        </w:tc>
        <w:tc>
          <w:tcPr>
            <w:tcW w:w="4678" w:type="dxa"/>
            <w:gridSpan w:val="3"/>
            <w:tcBorders>
              <w:bottom w:val="single" w:sz="4" w:space="0" w:color="auto"/>
            </w:tcBorders>
            <w:shd w:val="clear" w:color="auto" w:fill="auto"/>
            <w:tcMar>
              <w:top w:w="20" w:type="dxa"/>
              <w:left w:w="20" w:type="dxa"/>
              <w:bottom w:w="20" w:type="dxa"/>
              <w:right w:w="20" w:type="dxa"/>
            </w:tcMar>
            <w:vAlign w:val="center"/>
          </w:tcPr>
          <w:p w14:paraId="6A696D26" w14:textId="21DF441B" w:rsidR="003D1BAB" w:rsidRPr="000D67C6" w:rsidRDefault="003D1BAB" w:rsidP="003D1BAB">
            <w:pPr>
              <w:pStyle w:val="T1TableStyle"/>
              <w:ind w:left="123"/>
              <w:rPr>
                <w:rFonts w:ascii="Arial" w:eastAsia="Verdana" w:hAnsi="Arial" w:cs="Arial"/>
                <w:sz w:val="22"/>
                <w:szCs w:val="22"/>
                <w:lang w:val="en-GB"/>
              </w:rPr>
            </w:pPr>
            <w:r w:rsidRPr="000D67C6">
              <w:rPr>
                <w:rFonts w:ascii="Arial" w:eastAsia="Verdana" w:hAnsi="Arial" w:cs="Arial"/>
                <w:sz w:val="22"/>
                <w:szCs w:val="22"/>
                <w:lang w:val="en-GB"/>
              </w:rPr>
              <w:t>Reversal of net charges made to the Surplus or (Deficit) on the Provision of Services</w:t>
            </w:r>
          </w:p>
        </w:tc>
        <w:tc>
          <w:tcPr>
            <w:tcW w:w="851" w:type="dxa"/>
            <w:gridSpan w:val="3"/>
            <w:tcBorders>
              <w:bottom w:val="single" w:sz="4" w:space="0" w:color="auto"/>
            </w:tcBorders>
            <w:shd w:val="clear" w:color="auto" w:fill="auto"/>
            <w:tcMar>
              <w:top w:w="20" w:type="dxa"/>
              <w:left w:w="20" w:type="dxa"/>
              <w:bottom w:w="20" w:type="dxa"/>
              <w:right w:w="20" w:type="dxa"/>
            </w:tcMar>
            <w:vAlign w:val="center"/>
          </w:tcPr>
          <w:p w14:paraId="698D3BB8" w14:textId="4387A798" w:rsidR="003D1BAB" w:rsidRPr="000D67C6" w:rsidRDefault="003D1BAB" w:rsidP="003D1BA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(3,222)</w:t>
            </w:r>
          </w:p>
        </w:tc>
        <w:tc>
          <w:tcPr>
            <w:tcW w:w="1134" w:type="dxa"/>
            <w:gridSpan w:val="2"/>
            <w:tcBorders>
              <w:bottom w:val="single" w:sz="4" w:space="0" w:color="auto"/>
            </w:tcBorders>
            <w:shd w:val="clear" w:color="auto" w:fill="auto"/>
            <w:tcMar>
              <w:top w:w="20" w:type="dxa"/>
              <w:left w:w="20" w:type="dxa"/>
              <w:bottom w:w="20" w:type="dxa"/>
              <w:right w:w="20" w:type="dxa"/>
            </w:tcMar>
            <w:vAlign w:val="center"/>
          </w:tcPr>
          <w:p w14:paraId="6A38F7C7" w14:textId="237340EF" w:rsidR="003D1BAB" w:rsidRPr="000D67C6" w:rsidRDefault="003D1BAB" w:rsidP="003D1BA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w:t>
            </w:r>
            <w:r w:rsidR="00690943">
              <w:rPr>
                <w:rFonts w:ascii="Arial" w:eastAsia="Verdana" w:hAnsi="Arial" w:cs="Arial"/>
                <w:sz w:val="22"/>
                <w:szCs w:val="22"/>
                <w:lang w:val="en-GB"/>
              </w:rPr>
              <w:t>8</w:t>
            </w:r>
            <w:r w:rsidRPr="000D67C6">
              <w:rPr>
                <w:rFonts w:ascii="Arial" w:eastAsia="Verdana" w:hAnsi="Arial" w:cs="Arial"/>
                <w:sz w:val="22"/>
                <w:szCs w:val="22"/>
                <w:lang w:val="en-GB"/>
              </w:rPr>
              <w:t>,</w:t>
            </w:r>
            <w:r w:rsidR="00690943">
              <w:rPr>
                <w:rFonts w:ascii="Arial" w:eastAsia="Verdana" w:hAnsi="Arial" w:cs="Arial"/>
                <w:sz w:val="22"/>
                <w:szCs w:val="22"/>
                <w:lang w:val="en-GB"/>
              </w:rPr>
              <w:t>4</w:t>
            </w:r>
            <w:r w:rsidRPr="000D67C6">
              <w:rPr>
                <w:rFonts w:ascii="Arial" w:eastAsia="Verdana" w:hAnsi="Arial" w:cs="Arial"/>
                <w:sz w:val="22"/>
                <w:szCs w:val="22"/>
                <w:lang w:val="en-GB"/>
              </w:rPr>
              <w:t>37)</w:t>
            </w:r>
          </w:p>
        </w:tc>
      </w:tr>
      <w:tr w:rsidR="000F4679" w:rsidRPr="000D67C6" w14:paraId="4B6855B5" w14:textId="77777777" w:rsidTr="00631912">
        <w:trPr>
          <w:trHeight w:val="525"/>
        </w:trPr>
        <w:tc>
          <w:tcPr>
            <w:tcW w:w="1135" w:type="dxa"/>
            <w:gridSpan w:val="3"/>
            <w:tcBorders>
              <w:top w:val="single" w:sz="4" w:space="0" w:color="auto"/>
            </w:tcBorders>
            <w:shd w:val="clear" w:color="auto" w:fill="auto"/>
            <w:tcMar>
              <w:top w:w="20" w:type="dxa"/>
              <w:left w:w="20" w:type="dxa"/>
              <w:bottom w:w="20" w:type="dxa"/>
              <w:right w:w="20" w:type="dxa"/>
            </w:tcMar>
            <w:vAlign w:val="center"/>
          </w:tcPr>
          <w:p w14:paraId="125F5947" w14:textId="77777777" w:rsidR="000F4679" w:rsidRPr="000D67C6" w:rsidRDefault="000F4679" w:rsidP="000F4679">
            <w:pPr>
              <w:pStyle w:val="T1TableStyle"/>
              <w:jc w:val="center"/>
              <w:rPr>
                <w:rFonts w:ascii="Arial" w:eastAsia="Calibri" w:hAnsi="Arial" w:cs="Arial"/>
                <w:sz w:val="22"/>
                <w:szCs w:val="22"/>
                <w:lang w:val="en-GB"/>
              </w:rPr>
            </w:pPr>
            <w:r w:rsidRPr="000D67C6">
              <w:rPr>
                <w:rFonts w:ascii="Arial" w:eastAsia="Verdana" w:hAnsi="Arial" w:cs="Arial"/>
                <w:sz w:val="22"/>
                <w:szCs w:val="22"/>
                <w:lang w:val="en-GB"/>
              </w:rPr>
              <w:t xml:space="preserve"> </w:t>
            </w:r>
          </w:p>
        </w:tc>
        <w:tc>
          <w:tcPr>
            <w:tcW w:w="1275" w:type="dxa"/>
            <w:tcBorders>
              <w:top w:val="single" w:sz="4" w:space="0" w:color="auto"/>
            </w:tcBorders>
            <w:shd w:val="clear" w:color="auto" w:fill="auto"/>
            <w:tcMar>
              <w:top w:w="20" w:type="dxa"/>
              <w:left w:w="20" w:type="dxa"/>
              <w:bottom w:w="20" w:type="dxa"/>
              <w:right w:w="20" w:type="dxa"/>
            </w:tcMar>
            <w:vAlign w:val="center"/>
          </w:tcPr>
          <w:p w14:paraId="6EF0BA0E" w14:textId="77777777" w:rsidR="000F4679" w:rsidRPr="000D67C6" w:rsidRDefault="000F4679" w:rsidP="000F4679">
            <w:pPr>
              <w:pStyle w:val="T1TableStyle"/>
              <w:jc w:val="center"/>
              <w:rPr>
                <w:rFonts w:ascii="Arial" w:eastAsia="Calibri" w:hAnsi="Arial" w:cs="Arial"/>
                <w:sz w:val="22"/>
                <w:szCs w:val="22"/>
                <w:lang w:val="en-GB"/>
              </w:rPr>
            </w:pPr>
            <w:r w:rsidRPr="000D67C6">
              <w:rPr>
                <w:rFonts w:ascii="Arial" w:eastAsia="Verdana" w:hAnsi="Arial" w:cs="Arial"/>
                <w:sz w:val="22"/>
                <w:szCs w:val="22"/>
                <w:lang w:val="en-GB"/>
              </w:rPr>
              <w:t xml:space="preserve"> </w:t>
            </w:r>
          </w:p>
        </w:tc>
        <w:tc>
          <w:tcPr>
            <w:tcW w:w="4678" w:type="dxa"/>
            <w:gridSpan w:val="3"/>
            <w:tcBorders>
              <w:top w:val="single" w:sz="4" w:space="0" w:color="auto"/>
            </w:tcBorders>
            <w:shd w:val="clear" w:color="auto" w:fill="auto"/>
            <w:tcMar>
              <w:top w:w="20" w:type="dxa"/>
              <w:left w:w="20" w:type="dxa"/>
              <w:bottom w:w="20" w:type="dxa"/>
              <w:right w:w="20" w:type="dxa"/>
            </w:tcMar>
            <w:vAlign w:val="center"/>
          </w:tcPr>
          <w:p w14:paraId="241E8CF2" w14:textId="77777777" w:rsidR="000F4679" w:rsidRPr="000D67C6" w:rsidRDefault="000F4679" w:rsidP="000F4679">
            <w:pPr>
              <w:pStyle w:val="T1TableStyle"/>
              <w:ind w:left="123" w:hanging="123"/>
              <w:rPr>
                <w:rFonts w:ascii="Arial" w:eastAsia="Verdana" w:hAnsi="Arial" w:cs="Arial"/>
                <w:b/>
                <w:sz w:val="22"/>
                <w:szCs w:val="22"/>
                <w:lang w:val="en-GB"/>
              </w:rPr>
            </w:pPr>
            <w:r w:rsidRPr="000D67C6">
              <w:rPr>
                <w:rFonts w:ascii="Arial" w:eastAsia="Verdana" w:hAnsi="Arial" w:cs="Arial"/>
                <w:sz w:val="22"/>
                <w:szCs w:val="22"/>
                <w:lang w:val="en-GB"/>
              </w:rPr>
              <w:t xml:space="preserve">  </w:t>
            </w:r>
            <w:r w:rsidRPr="000D67C6">
              <w:rPr>
                <w:rFonts w:ascii="Arial" w:eastAsia="Verdana" w:hAnsi="Arial" w:cs="Arial"/>
                <w:b/>
                <w:sz w:val="22"/>
                <w:szCs w:val="22"/>
                <w:lang w:val="en-GB"/>
              </w:rPr>
              <w:t>Actual amount charged against the general fund balance for pensions in the year:</w:t>
            </w:r>
          </w:p>
        </w:tc>
        <w:tc>
          <w:tcPr>
            <w:tcW w:w="851" w:type="dxa"/>
            <w:gridSpan w:val="3"/>
            <w:tcBorders>
              <w:top w:val="single" w:sz="4" w:space="0" w:color="auto"/>
            </w:tcBorders>
            <w:shd w:val="clear" w:color="auto" w:fill="auto"/>
            <w:tcMar>
              <w:top w:w="20" w:type="dxa"/>
              <w:left w:w="20" w:type="dxa"/>
              <w:bottom w:w="20" w:type="dxa"/>
              <w:right w:w="20" w:type="dxa"/>
            </w:tcMar>
            <w:vAlign w:val="center"/>
          </w:tcPr>
          <w:p w14:paraId="4311DC15" w14:textId="77777777" w:rsidR="000F4679" w:rsidRPr="000D67C6" w:rsidRDefault="000F4679" w:rsidP="000F4679">
            <w:pPr>
              <w:pStyle w:val="T1TableStyle"/>
              <w:jc w:val="center"/>
              <w:rPr>
                <w:rFonts w:ascii="Arial" w:eastAsia="Verdana" w:hAnsi="Arial" w:cs="Arial"/>
                <w:sz w:val="22"/>
                <w:szCs w:val="22"/>
                <w:lang w:val="en-GB"/>
              </w:rPr>
            </w:pPr>
          </w:p>
        </w:tc>
        <w:tc>
          <w:tcPr>
            <w:tcW w:w="1134" w:type="dxa"/>
            <w:gridSpan w:val="2"/>
            <w:tcBorders>
              <w:top w:val="single" w:sz="4" w:space="0" w:color="auto"/>
            </w:tcBorders>
            <w:shd w:val="clear" w:color="auto" w:fill="auto"/>
            <w:tcMar>
              <w:top w:w="20" w:type="dxa"/>
              <w:left w:w="20" w:type="dxa"/>
              <w:bottom w:w="20" w:type="dxa"/>
              <w:right w:w="20" w:type="dxa"/>
            </w:tcMar>
            <w:vAlign w:val="center"/>
          </w:tcPr>
          <w:p w14:paraId="1F34E600" w14:textId="77777777" w:rsidR="000F4679" w:rsidRPr="000D67C6" w:rsidRDefault="000F4679" w:rsidP="000F4679">
            <w:pPr>
              <w:pStyle w:val="T1TableStyle"/>
              <w:jc w:val="center"/>
              <w:rPr>
                <w:rFonts w:ascii="Arial" w:eastAsia="Verdana" w:hAnsi="Arial" w:cs="Arial"/>
                <w:sz w:val="22"/>
                <w:szCs w:val="22"/>
                <w:lang w:val="en-GB"/>
              </w:rPr>
            </w:pPr>
          </w:p>
        </w:tc>
      </w:tr>
      <w:tr w:rsidR="000F4679" w:rsidRPr="000D67C6" w14:paraId="4DCB46E2" w14:textId="77777777" w:rsidTr="00631912">
        <w:trPr>
          <w:trHeight w:val="420"/>
        </w:trPr>
        <w:tc>
          <w:tcPr>
            <w:tcW w:w="1135" w:type="dxa"/>
            <w:gridSpan w:val="3"/>
            <w:shd w:val="clear" w:color="auto" w:fill="auto"/>
            <w:tcMar>
              <w:top w:w="20" w:type="dxa"/>
              <w:left w:w="20" w:type="dxa"/>
              <w:bottom w:w="20" w:type="dxa"/>
              <w:right w:w="20" w:type="dxa"/>
            </w:tcMar>
            <w:vAlign w:val="center"/>
          </w:tcPr>
          <w:p w14:paraId="7CACD412"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1,014</w:t>
            </w:r>
          </w:p>
        </w:tc>
        <w:tc>
          <w:tcPr>
            <w:tcW w:w="1275" w:type="dxa"/>
            <w:shd w:val="clear" w:color="auto" w:fill="auto"/>
            <w:tcMar>
              <w:top w:w="20" w:type="dxa"/>
              <w:left w:w="20" w:type="dxa"/>
              <w:bottom w:w="20" w:type="dxa"/>
              <w:right w:w="20" w:type="dxa"/>
            </w:tcMar>
            <w:vAlign w:val="center"/>
          </w:tcPr>
          <w:p w14:paraId="0D50B625" w14:textId="77777777" w:rsidR="000F4679" w:rsidRPr="000D67C6" w:rsidRDefault="000F4679" w:rsidP="000F4679">
            <w:pPr>
              <w:pStyle w:val="T1TableStyle"/>
              <w:jc w:val="right"/>
              <w:rPr>
                <w:rFonts w:ascii="Arial" w:eastAsia="Verdana" w:hAnsi="Arial" w:cs="Arial"/>
                <w:sz w:val="22"/>
                <w:szCs w:val="22"/>
                <w:lang w:val="en-GB"/>
              </w:rPr>
            </w:pPr>
          </w:p>
        </w:tc>
        <w:tc>
          <w:tcPr>
            <w:tcW w:w="4678" w:type="dxa"/>
            <w:gridSpan w:val="3"/>
            <w:shd w:val="clear" w:color="auto" w:fill="auto"/>
            <w:tcMar>
              <w:top w:w="20" w:type="dxa"/>
              <w:left w:w="20" w:type="dxa"/>
              <w:bottom w:w="20" w:type="dxa"/>
              <w:right w:w="20" w:type="dxa"/>
            </w:tcMar>
            <w:vAlign w:val="center"/>
          </w:tcPr>
          <w:p w14:paraId="6C6869CD" w14:textId="77777777" w:rsidR="000F4679" w:rsidRPr="000D67C6" w:rsidRDefault="000F4679" w:rsidP="000F4679">
            <w:pPr>
              <w:pStyle w:val="T1TableStyle"/>
              <w:ind w:left="123"/>
              <w:rPr>
                <w:rFonts w:ascii="Arial" w:eastAsia="Verdana" w:hAnsi="Arial" w:cs="Arial"/>
                <w:sz w:val="22"/>
                <w:szCs w:val="22"/>
                <w:lang w:val="en-GB"/>
              </w:rPr>
            </w:pPr>
            <w:r w:rsidRPr="000D67C6">
              <w:rPr>
                <w:rFonts w:ascii="Arial" w:eastAsia="Verdana" w:hAnsi="Arial" w:cs="Arial"/>
                <w:sz w:val="22"/>
                <w:szCs w:val="22"/>
                <w:lang w:val="en-GB"/>
              </w:rPr>
              <w:t>Employers' contributions payable to scheme</w:t>
            </w:r>
          </w:p>
        </w:tc>
        <w:tc>
          <w:tcPr>
            <w:tcW w:w="851" w:type="dxa"/>
            <w:gridSpan w:val="3"/>
            <w:shd w:val="clear" w:color="auto" w:fill="auto"/>
            <w:tcMar>
              <w:top w:w="20" w:type="dxa"/>
              <w:left w:w="20" w:type="dxa"/>
              <w:bottom w:w="20" w:type="dxa"/>
              <w:right w:w="20" w:type="dxa"/>
            </w:tcMar>
            <w:vAlign w:val="center"/>
          </w:tcPr>
          <w:p w14:paraId="7CAFDECC" w14:textId="77777777" w:rsidR="000F4679" w:rsidRPr="000D67C6" w:rsidRDefault="00423E1C"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969</w:t>
            </w:r>
          </w:p>
        </w:tc>
        <w:tc>
          <w:tcPr>
            <w:tcW w:w="1134" w:type="dxa"/>
            <w:gridSpan w:val="2"/>
            <w:shd w:val="clear" w:color="auto" w:fill="auto"/>
            <w:tcMar>
              <w:top w:w="20" w:type="dxa"/>
              <w:left w:w="20" w:type="dxa"/>
              <w:bottom w:w="20" w:type="dxa"/>
              <w:right w:w="20" w:type="dxa"/>
            </w:tcMar>
            <w:vAlign w:val="center"/>
          </w:tcPr>
          <w:p w14:paraId="020325BC" w14:textId="77777777" w:rsidR="000F4679" w:rsidRPr="000D67C6" w:rsidRDefault="000F4679" w:rsidP="000F4679">
            <w:pPr>
              <w:pStyle w:val="T1TableStyle"/>
              <w:jc w:val="right"/>
              <w:rPr>
                <w:rFonts w:ascii="Arial" w:eastAsia="Verdana" w:hAnsi="Arial" w:cs="Arial"/>
                <w:sz w:val="22"/>
                <w:szCs w:val="22"/>
                <w:lang w:val="en-GB"/>
              </w:rPr>
            </w:pPr>
          </w:p>
        </w:tc>
      </w:tr>
      <w:tr w:rsidR="000F4679" w:rsidRPr="000D67C6" w14:paraId="315BFD7A" w14:textId="77777777" w:rsidTr="00631912">
        <w:trPr>
          <w:trHeight w:val="420"/>
        </w:trPr>
        <w:tc>
          <w:tcPr>
            <w:tcW w:w="1135" w:type="dxa"/>
            <w:gridSpan w:val="3"/>
            <w:tcBorders>
              <w:bottom w:val="single" w:sz="4" w:space="0" w:color="auto"/>
            </w:tcBorders>
            <w:shd w:val="clear" w:color="auto" w:fill="auto"/>
            <w:tcMar>
              <w:top w:w="20" w:type="dxa"/>
              <w:left w:w="20" w:type="dxa"/>
              <w:bottom w:w="20" w:type="dxa"/>
              <w:right w:w="20" w:type="dxa"/>
            </w:tcMar>
            <w:vAlign w:val="center"/>
          </w:tcPr>
          <w:p w14:paraId="0A6B1EAE" w14:textId="77777777" w:rsidR="000F4679" w:rsidRPr="000D67C6" w:rsidRDefault="000F4679" w:rsidP="000F4679">
            <w:pPr>
              <w:pStyle w:val="T1TableStyle"/>
              <w:jc w:val="right"/>
              <w:rPr>
                <w:rFonts w:ascii="Arial" w:eastAsia="Verdana" w:hAnsi="Arial" w:cs="Arial"/>
                <w:sz w:val="22"/>
                <w:szCs w:val="22"/>
                <w:lang w:val="en-GB"/>
              </w:rPr>
            </w:pPr>
          </w:p>
        </w:tc>
        <w:tc>
          <w:tcPr>
            <w:tcW w:w="1275" w:type="dxa"/>
            <w:tcBorders>
              <w:bottom w:val="single" w:sz="4" w:space="0" w:color="auto"/>
            </w:tcBorders>
            <w:shd w:val="clear" w:color="auto" w:fill="auto"/>
            <w:tcMar>
              <w:top w:w="20" w:type="dxa"/>
              <w:left w:w="20" w:type="dxa"/>
              <w:bottom w:w="20" w:type="dxa"/>
              <w:right w:w="20" w:type="dxa"/>
            </w:tcMar>
            <w:vAlign w:val="center"/>
          </w:tcPr>
          <w:p w14:paraId="4A84A3C5" w14:textId="77777777" w:rsidR="000F4679" w:rsidRPr="000D67C6" w:rsidRDefault="000F4679"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13,990</w:t>
            </w:r>
          </w:p>
        </w:tc>
        <w:tc>
          <w:tcPr>
            <w:tcW w:w="4678" w:type="dxa"/>
            <w:gridSpan w:val="3"/>
            <w:tcBorders>
              <w:bottom w:val="single" w:sz="4" w:space="0" w:color="auto"/>
            </w:tcBorders>
            <w:shd w:val="clear" w:color="auto" w:fill="auto"/>
            <w:tcMar>
              <w:top w:w="20" w:type="dxa"/>
              <w:left w:w="20" w:type="dxa"/>
              <w:bottom w:w="20" w:type="dxa"/>
              <w:right w:w="20" w:type="dxa"/>
            </w:tcMar>
            <w:vAlign w:val="center"/>
          </w:tcPr>
          <w:p w14:paraId="5D8B9CFF" w14:textId="77777777" w:rsidR="000F4679" w:rsidRPr="000D67C6" w:rsidRDefault="000F4679" w:rsidP="000F4679">
            <w:pPr>
              <w:pStyle w:val="T1TableStyle"/>
              <w:ind w:left="123"/>
              <w:rPr>
                <w:rFonts w:ascii="Arial" w:eastAsia="Verdana" w:hAnsi="Arial" w:cs="Arial"/>
                <w:sz w:val="22"/>
                <w:szCs w:val="22"/>
                <w:lang w:val="en-GB"/>
              </w:rPr>
            </w:pPr>
            <w:r w:rsidRPr="000D67C6">
              <w:rPr>
                <w:rFonts w:ascii="Arial" w:eastAsia="Verdana" w:hAnsi="Arial" w:cs="Arial"/>
                <w:sz w:val="22"/>
                <w:szCs w:val="22"/>
                <w:lang w:val="en-GB"/>
              </w:rPr>
              <w:t>Retirement Benefits payable to pensioners</w:t>
            </w:r>
          </w:p>
        </w:tc>
        <w:tc>
          <w:tcPr>
            <w:tcW w:w="851" w:type="dxa"/>
            <w:gridSpan w:val="3"/>
            <w:tcBorders>
              <w:bottom w:val="single" w:sz="4" w:space="0" w:color="auto"/>
            </w:tcBorders>
            <w:shd w:val="clear" w:color="auto" w:fill="auto"/>
            <w:tcMar>
              <w:top w:w="20" w:type="dxa"/>
              <w:left w:w="20" w:type="dxa"/>
              <w:bottom w:w="20" w:type="dxa"/>
              <w:right w:w="20" w:type="dxa"/>
            </w:tcMar>
            <w:vAlign w:val="center"/>
          </w:tcPr>
          <w:p w14:paraId="5012DA12" w14:textId="77777777" w:rsidR="000F4679" w:rsidRPr="000D67C6" w:rsidRDefault="000F4679" w:rsidP="000F4679">
            <w:pPr>
              <w:pStyle w:val="T1TableStyle"/>
              <w:jc w:val="right"/>
              <w:rPr>
                <w:rFonts w:ascii="Arial" w:eastAsia="Verdana" w:hAnsi="Arial" w:cs="Arial"/>
                <w:sz w:val="22"/>
                <w:szCs w:val="22"/>
                <w:lang w:val="en-GB"/>
              </w:rPr>
            </w:pPr>
          </w:p>
        </w:tc>
        <w:tc>
          <w:tcPr>
            <w:tcW w:w="1134" w:type="dxa"/>
            <w:gridSpan w:val="2"/>
            <w:tcBorders>
              <w:bottom w:val="single" w:sz="4" w:space="0" w:color="auto"/>
            </w:tcBorders>
            <w:shd w:val="clear" w:color="auto" w:fill="auto"/>
            <w:tcMar>
              <w:top w:w="20" w:type="dxa"/>
              <w:left w:w="20" w:type="dxa"/>
              <w:bottom w:w="20" w:type="dxa"/>
              <w:right w:w="20" w:type="dxa"/>
            </w:tcMar>
            <w:vAlign w:val="center"/>
          </w:tcPr>
          <w:p w14:paraId="7E44D2E8" w14:textId="77777777" w:rsidR="000F4679" w:rsidRPr="000D67C6" w:rsidRDefault="00423E1C" w:rsidP="000F4679">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13,430</w:t>
            </w:r>
          </w:p>
        </w:tc>
      </w:tr>
      <w:tr w:rsidR="00464E99" w:rsidRPr="000D67C6" w14:paraId="1E8593D3" w14:textId="77777777" w:rsidTr="00631912">
        <w:trPr>
          <w:gridBefore w:val="1"/>
          <w:wBefore w:w="142" w:type="dxa"/>
          <w:trHeight w:val="300"/>
        </w:trPr>
        <w:tc>
          <w:tcPr>
            <w:tcW w:w="2268" w:type="dxa"/>
            <w:gridSpan w:val="3"/>
            <w:shd w:val="clear" w:color="auto" w:fill="auto"/>
            <w:tcMar>
              <w:top w:w="20" w:type="dxa"/>
              <w:left w:w="20" w:type="dxa"/>
              <w:bottom w:w="20" w:type="dxa"/>
              <w:right w:w="20" w:type="dxa"/>
            </w:tcMar>
            <w:vAlign w:val="bottom"/>
          </w:tcPr>
          <w:p w14:paraId="0BD345FF" w14:textId="11B4FF3D" w:rsidR="00464E99" w:rsidRPr="000D67C6" w:rsidRDefault="00890EB0">
            <w:pPr>
              <w:pStyle w:val="T1TableStyle"/>
              <w:jc w:val="center"/>
              <w:rPr>
                <w:rFonts w:ascii="Arial" w:eastAsia="Verdana" w:hAnsi="Arial" w:cs="Arial"/>
                <w:b/>
                <w:sz w:val="22"/>
                <w:szCs w:val="22"/>
                <w:lang w:val="en-GB"/>
              </w:rPr>
            </w:pPr>
            <w:r>
              <w:rPr>
                <w:rFonts w:ascii="Arial" w:eastAsia="Verdana" w:hAnsi="Arial" w:cs="Arial"/>
                <w:b/>
                <w:sz w:val="22"/>
                <w:szCs w:val="22"/>
                <w:lang w:val="en-GB"/>
              </w:rPr>
              <w:t>2</w:t>
            </w:r>
            <w:r w:rsidR="008F013B" w:rsidRPr="000D67C6">
              <w:rPr>
                <w:rFonts w:ascii="Arial" w:eastAsia="Verdana" w:hAnsi="Arial" w:cs="Arial"/>
                <w:b/>
                <w:sz w:val="22"/>
                <w:szCs w:val="22"/>
                <w:lang w:val="en-GB"/>
              </w:rPr>
              <w:t>01</w:t>
            </w:r>
            <w:r w:rsidR="000F4679" w:rsidRPr="000D67C6">
              <w:rPr>
                <w:rFonts w:ascii="Arial" w:eastAsia="Verdana" w:hAnsi="Arial" w:cs="Arial"/>
                <w:b/>
                <w:sz w:val="22"/>
                <w:szCs w:val="22"/>
                <w:lang w:val="en-GB"/>
              </w:rPr>
              <w:t>7</w:t>
            </w:r>
            <w:r w:rsidR="00EB2CB4"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4111" w:type="dxa"/>
            <w:shd w:val="clear" w:color="auto" w:fill="auto"/>
            <w:tcMar>
              <w:top w:w="20" w:type="dxa"/>
              <w:left w:w="20" w:type="dxa"/>
              <w:bottom w:w="20" w:type="dxa"/>
              <w:right w:w="20" w:type="dxa"/>
            </w:tcMar>
          </w:tcPr>
          <w:p w14:paraId="43310D3F" w14:textId="77777777" w:rsidR="00464E99" w:rsidRPr="000D67C6" w:rsidRDefault="00464E99" w:rsidP="007454BC">
            <w:pPr>
              <w:pStyle w:val="T1TableStyle"/>
              <w:jc w:val="center"/>
              <w:rPr>
                <w:rFonts w:ascii="Arial" w:eastAsia="Verdana" w:hAnsi="Arial" w:cs="Arial"/>
                <w:b/>
                <w:sz w:val="22"/>
                <w:szCs w:val="22"/>
                <w:lang w:val="en-GB"/>
              </w:rPr>
            </w:pPr>
          </w:p>
        </w:tc>
        <w:tc>
          <w:tcPr>
            <w:tcW w:w="2552" w:type="dxa"/>
            <w:gridSpan w:val="7"/>
            <w:shd w:val="clear" w:color="auto" w:fill="auto"/>
            <w:tcMar>
              <w:top w:w="20" w:type="dxa"/>
              <w:left w:w="20" w:type="dxa"/>
              <w:bottom w:w="20" w:type="dxa"/>
              <w:right w:w="20" w:type="dxa"/>
            </w:tcMar>
            <w:vAlign w:val="bottom"/>
          </w:tcPr>
          <w:p w14:paraId="5D5B9C3C" w14:textId="77777777" w:rsidR="00464E99" w:rsidRPr="000D67C6" w:rsidRDefault="00EB2CB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464E99" w:rsidRPr="000D67C6" w14:paraId="43027487" w14:textId="77777777" w:rsidTr="00631912">
        <w:trPr>
          <w:gridBefore w:val="1"/>
          <w:wBefore w:w="142" w:type="dxa"/>
          <w:trHeight w:val="540"/>
        </w:trPr>
        <w:tc>
          <w:tcPr>
            <w:tcW w:w="993" w:type="dxa"/>
            <w:gridSpan w:val="2"/>
            <w:shd w:val="clear" w:color="auto" w:fill="auto"/>
            <w:tcMar>
              <w:top w:w="20" w:type="dxa"/>
              <w:left w:w="20" w:type="dxa"/>
              <w:bottom w:w="20" w:type="dxa"/>
              <w:right w:w="20" w:type="dxa"/>
            </w:tcMar>
            <w:vAlign w:val="bottom"/>
          </w:tcPr>
          <w:p w14:paraId="0584B9F5" w14:textId="77777777" w:rsidR="00464E99" w:rsidRPr="000D67C6" w:rsidRDefault="008F013B" w:rsidP="00A278C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275" w:type="dxa"/>
            <w:shd w:val="clear" w:color="auto" w:fill="auto"/>
            <w:tcMar>
              <w:top w:w="20" w:type="dxa"/>
              <w:left w:w="20" w:type="dxa"/>
              <w:bottom w:w="20" w:type="dxa"/>
              <w:right w:w="20" w:type="dxa"/>
            </w:tcMar>
            <w:vAlign w:val="bottom"/>
          </w:tcPr>
          <w:p w14:paraId="4FDE973D" w14:textId="77777777" w:rsidR="00464E99" w:rsidRPr="000D67C6" w:rsidRDefault="008F013B" w:rsidP="00A278C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c>
          <w:tcPr>
            <w:tcW w:w="4111" w:type="dxa"/>
            <w:shd w:val="clear" w:color="auto" w:fill="auto"/>
            <w:tcMar>
              <w:top w:w="20" w:type="dxa"/>
              <w:left w:w="20" w:type="dxa"/>
              <w:bottom w:w="20" w:type="dxa"/>
              <w:right w:w="20" w:type="dxa"/>
            </w:tcMar>
          </w:tcPr>
          <w:p w14:paraId="295CD195" w14:textId="77777777" w:rsidR="00464E99" w:rsidRPr="000D67C6" w:rsidRDefault="00D60CB4" w:rsidP="00D60CB4">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Pensions Assets and Liabilities Recognised in the Balance Sheet</w:t>
            </w:r>
          </w:p>
        </w:tc>
        <w:tc>
          <w:tcPr>
            <w:tcW w:w="1134" w:type="dxa"/>
            <w:gridSpan w:val="3"/>
            <w:shd w:val="clear" w:color="auto" w:fill="auto"/>
            <w:tcMar>
              <w:top w:w="20" w:type="dxa"/>
              <w:left w:w="20" w:type="dxa"/>
              <w:bottom w:w="20" w:type="dxa"/>
              <w:right w:w="20" w:type="dxa"/>
            </w:tcMar>
            <w:vAlign w:val="bottom"/>
          </w:tcPr>
          <w:p w14:paraId="68E11379" w14:textId="77777777" w:rsidR="00464E99" w:rsidRPr="000D67C6" w:rsidRDefault="008F013B" w:rsidP="00A278C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418" w:type="dxa"/>
            <w:gridSpan w:val="4"/>
            <w:shd w:val="clear" w:color="auto" w:fill="auto"/>
            <w:tcMar>
              <w:top w:w="20" w:type="dxa"/>
              <w:left w:w="20" w:type="dxa"/>
              <w:bottom w:w="20" w:type="dxa"/>
              <w:right w:w="20" w:type="dxa"/>
            </w:tcMar>
            <w:vAlign w:val="bottom"/>
          </w:tcPr>
          <w:p w14:paraId="1DB4FAB3" w14:textId="77777777" w:rsidR="00464E99" w:rsidRPr="000D67C6" w:rsidRDefault="008F013B" w:rsidP="00A278CA">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r>
      <w:tr w:rsidR="00464E99" w:rsidRPr="000D67C6" w14:paraId="364C369C" w14:textId="77777777" w:rsidTr="00631912">
        <w:trPr>
          <w:gridBefore w:val="1"/>
          <w:wBefore w:w="142" w:type="dxa"/>
          <w:trHeight w:val="300"/>
        </w:trPr>
        <w:tc>
          <w:tcPr>
            <w:tcW w:w="993" w:type="dxa"/>
            <w:gridSpan w:val="2"/>
            <w:tcBorders>
              <w:bottom w:val="single" w:sz="2" w:space="0" w:color="000000"/>
            </w:tcBorders>
            <w:shd w:val="clear" w:color="auto" w:fill="auto"/>
            <w:tcMar>
              <w:top w:w="20" w:type="dxa"/>
              <w:left w:w="20" w:type="dxa"/>
              <w:bottom w:w="20" w:type="dxa"/>
              <w:right w:w="20" w:type="dxa"/>
            </w:tcMar>
            <w:vAlign w:val="bottom"/>
          </w:tcPr>
          <w:p w14:paraId="503D2E2B"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5" w:type="dxa"/>
            <w:tcBorders>
              <w:bottom w:val="single" w:sz="2" w:space="0" w:color="000000"/>
            </w:tcBorders>
            <w:shd w:val="clear" w:color="auto" w:fill="auto"/>
            <w:tcMar>
              <w:top w:w="20" w:type="dxa"/>
              <w:left w:w="20" w:type="dxa"/>
              <w:bottom w:w="20" w:type="dxa"/>
              <w:right w:w="20" w:type="dxa"/>
            </w:tcMar>
            <w:vAlign w:val="bottom"/>
          </w:tcPr>
          <w:p w14:paraId="5620FA44"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4111" w:type="dxa"/>
            <w:tcBorders>
              <w:bottom w:val="single" w:sz="2" w:space="0" w:color="000000"/>
            </w:tcBorders>
            <w:shd w:val="clear" w:color="auto" w:fill="auto"/>
            <w:tcMar>
              <w:top w:w="20" w:type="dxa"/>
              <w:left w:w="20" w:type="dxa"/>
              <w:bottom w:w="20" w:type="dxa"/>
              <w:right w:w="20" w:type="dxa"/>
            </w:tcMar>
            <w:vAlign w:val="bottom"/>
          </w:tcPr>
          <w:p w14:paraId="4A2DE9F4" w14:textId="77777777" w:rsidR="00464E99" w:rsidRPr="000D67C6" w:rsidRDefault="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gridSpan w:val="3"/>
            <w:tcBorders>
              <w:bottom w:val="single" w:sz="2" w:space="0" w:color="000000"/>
            </w:tcBorders>
            <w:shd w:val="clear" w:color="auto" w:fill="auto"/>
            <w:tcMar>
              <w:top w:w="20" w:type="dxa"/>
              <w:left w:w="20" w:type="dxa"/>
              <w:bottom w:w="20" w:type="dxa"/>
              <w:right w:w="20" w:type="dxa"/>
            </w:tcMar>
            <w:vAlign w:val="bottom"/>
          </w:tcPr>
          <w:p w14:paraId="5E751B04"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gridSpan w:val="4"/>
            <w:tcBorders>
              <w:bottom w:val="single" w:sz="2" w:space="0" w:color="000000"/>
            </w:tcBorders>
            <w:shd w:val="clear" w:color="auto" w:fill="auto"/>
            <w:tcMar>
              <w:top w:w="20" w:type="dxa"/>
              <w:left w:w="20" w:type="dxa"/>
              <w:bottom w:w="20" w:type="dxa"/>
              <w:right w:w="20" w:type="dxa"/>
            </w:tcMar>
            <w:vAlign w:val="bottom"/>
          </w:tcPr>
          <w:p w14:paraId="4D9A5F70"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27531B" w:rsidRPr="000D67C6" w14:paraId="095E85A6" w14:textId="77777777" w:rsidTr="00631912">
        <w:trPr>
          <w:gridBefore w:val="1"/>
          <w:wBefore w:w="142" w:type="dxa"/>
          <w:trHeight w:val="353"/>
        </w:trPr>
        <w:tc>
          <w:tcPr>
            <w:tcW w:w="993" w:type="dxa"/>
            <w:gridSpan w:val="2"/>
            <w:shd w:val="clear" w:color="auto" w:fill="auto"/>
            <w:tcMar>
              <w:top w:w="20" w:type="dxa"/>
              <w:left w:w="20" w:type="dxa"/>
              <w:bottom w:w="20" w:type="dxa"/>
              <w:right w:w="20" w:type="dxa"/>
            </w:tcMar>
            <w:vAlign w:val="center"/>
          </w:tcPr>
          <w:p w14:paraId="24D7E03B" w14:textId="77777777"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(57,586)</w:t>
            </w:r>
          </w:p>
        </w:tc>
        <w:tc>
          <w:tcPr>
            <w:tcW w:w="1275" w:type="dxa"/>
            <w:shd w:val="clear" w:color="auto" w:fill="auto"/>
            <w:tcMar>
              <w:top w:w="20" w:type="dxa"/>
              <w:left w:w="20" w:type="dxa"/>
              <w:bottom w:w="20" w:type="dxa"/>
              <w:right w:w="20" w:type="dxa"/>
            </w:tcMar>
            <w:vAlign w:val="center"/>
          </w:tcPr>
          <w:p w14:paraId="08C1FDF2" w14:textId="77777777"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(493,180)</w:t>
            </w:r>
          </w:p>
        </w:tc>
        <w:tc>
          <w:tcPr>
            <w:tcW w:w="4111" w:type="dxa"/>
            <w:shd w:val="clear" w:color="auto" w:fill="auto"/>
            <w:tcMar>
              <w:top w:w="20" w:type="dxa"/>
              <w:left w:w="20" w:type="dxa"/>
              <w:bottom w:w="20" w:type="dxa"/>
              <w:right w:w="20" w:type="dxa"/>
            </w:tcMar>
            <w:vAlign w:val="center"/>
          </w:tcPr>
          <w:p w14:paraId="1537DD78" w14:textId="77777777" w:rsidR="0027531B" w:rsidRPr="000D67C6" w:rsidRDefault="0027531B" w:rsidP="0027531B">
            <w:pPr>
              <w:pStyle w:val="T1TableStyle"/>
              <w:ind w:left="77"/>
              <w:rPr>
                <w:rFonts w:ascii="Arial" w:eastAsia="Verdana" w:hAnsi="Arial" w:cs="Arial"/>
                <w:sz w:val="22"/>
                <w:szCs w:val="22"/>
                <w:lang w:val="en-GB"/>
              </w:rPr>
            </w:pPr>
            <w:r w:rsidRPr="000D67C6">
              <w:rPr>
                <w:rFonts w:ascii="Arial" w:eastAsia="Verdana" w:hAnsi="Arial" w:cs="Arial"/>
                <w:sz w:val="22"/>
                <w:szCs w:val="22"/>
                <w:lang w:val="en-GB"/>
              </w:rPr>
              <w:t xml:space="preserve"> Present value of the defined obligation</w:t>
            </w:r>
          </w:p>
        </w:tc>
        <w:tc>
          <w:tcPr>
            <w:tcW w:w="1134" w:type="dxa"/>
            <w:gridSpan w:val="3"/>
            <w:shd w:val="clear" w:color="auto" w:fill="auto"/>
            <w:tcMar>
              <w:top w:w="20" w:type="dxa"/>
              <w:left w:w="20" w:type="dxa"/>
              <w:bottom w:w="20" w:type="dxa"/>
              <w:right w:w="20" w:type="dxa"/>
            </w:tcMar>
            <w:vAlign w:val="center"/>
          </w:tcPr>
          <w:p w14:paraId="1B38130C" w14:textId="49BDB60C"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(65,050)</w:t>
            </w:r>
          </w:p>
        </w:tc>
        <w:tc>
          <w:tcPr>
            <w:tcW w:w="1418" w:type="dxa"/>
            <w:gridSpan w:val="4"/>
            <w:shd w:val="clear" w:color="auto" w:fill="auto"/>
            <w:tcMar>
              <w:top w:w="20" w:type="dxa"/>
              <w:left w:w="20" w:type="dxa"/>
              <w:bottom w:w="20" w:type="dxa"/>
              <w:right w:w="20" w:type="dxa"/>
            </w:tcMar>
            <w:vAlign w:val="center"/>
          </w:tcPr>
          <w:p w14:paraId="513F6DA7" w14:textId="4F09EB90"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w:t>
            </w:r>
            <w:r w:rsidR="00C10D3E">
              <w:rPr>
                <w:rFonts w:ascii="Arial" w:eastAsia="Verdana" w:hAnsi="Arial" w:cs="Arial"/>
                <w:sz w:val="22"/>
                <w:szCs w:val="22"/>
                <w:lang w:val="en-GB"/>
              </w:rPr>
              <w:t>4</w:t>
            </w:r>
            <w:r w:rsidRPr="000D67C6">
              <w:rPr>
                <w:rFonts w:ascii="Arial" w:eastAsia="Verdana" w:hAnsi="Arial" w:cs="Arial"/>
                <w:sz w:val="22"/>
                <w:szCs w:val="22"/>
                <w:lang w:val="en-GB"/>
              </w:rPr>
              <w:t>,</w:t>
            </w:r>
            <w:r w:rsidR="00C10D3E">
              <w:rPr>
                <w:rFonts w:ascii="Arial" w:eastAsia="Verdana" w:hAnsi="Arial" w:cs="Arial"/>
                <w:sz w:val="22"/>
                <w:szCs w:val="22"/>
                <w:lang w:val="en-GB"/>
              </w:rPr>
              <w:t>2</w:t>
            </w:r>
            <w:r w:rsidRPr="000D67C6">
              <w:rPr>
                <w:rFonts w:ascii="Arial" w:eastAsia="Verdana" w:hAnsi="Arial" w:cs="Arial"/>
                <w:sz w:val="22"/>
                <w:szCs w:val="22"/>
                <w:lang w:val="en-GB"/>
              </w:rPr>
              <w:t>87)</w:t>
            </w:r>
          </w:p>
        </w:tc>
      </w:tr>
      <w:tr w:rsidR="0027531B" w:rsidRPr="000D67C6" w14:paraId="50FEF2BE" w14:textId="77777777" w:rsidTr="00631912">
        <w:trPr>
          <w:gridBefore w:val="1"/>
          <w:wBefore w:w="142" w:type="dxa"/>
          <w:trHeight w:val="359"/>
        </w:trPr>
        <w:tc>
          <w:tcPr>
            <w:tcW w:w="993" w:type="dxa"/>
            <w:gridSpan w:val="2"/>
            <w:tcBorders>
              <w:bottom w:val="single" w:sz="2" w:space="0" w:color="000000"/>
            </w:tcBorders>
            <w:shd w:val="clear" w:color="auto" w:fill="auto"/>
            <w:tcMar>
              <w:top w:w="20" w:type="dxa"/>
              <w:left w:w="20" w:type="dxa"/>
              <w:bottom w:w="20" w:type="dxa"/>
              <w:right w:w="20" w:type="dxa"/>
            </w:tcMar>
            <w:vAlign w:val="center"/>
          </w:tcPr>
          <w:p w14:paraId="0A39ECF4" w14:textId="77777777"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46,524</w:t>
            </w:r>
          </w:p>
        </w:tc>
        <w:tc>
          <w:tcPr>
            <w:tcW w:w="1275" w:type="dxa"/>
            <w:tcBorders>
              <w:bottom w:val="single" w:sz="2" w:space="0" w:color="000000"/>
            </w:tcBorders>
            <w:shd w:val="clear" w:color="auto" w:fill="auto"/>
            <w:tcMar>
              <w:top w:w="20" w:type="dxa"/>
              <w:left w:w="20" w:type="dxa"/>
              <w:bottom w:w="20" w:type="dxa"/>
              <w:right w:w="20" w:type="dxa"/>
            </w:tcMar>
            <w:vAlign w:val="center"/>
          </w:tcPr>
          <w:p w14:paraId="6B43F03B" w14:textId="77777777"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111" w:type="dxa"/>
            <w:tcBorders>
              <w:bottom w:val="single" w:sz="2" w:space="0" w:color="000000"/>
            </w:tcBorders>
            <w:shd w:val="clear" w:color="auto" w:fill="auto"/>
            <w:tcMar>
              <w:top w:w="20" w:type="dxa"/>
              <w:left w:w="20" w:type="dxa"/>
              <w:bottom w:w="20" w:type="dxa"/>
              <w:right w:w="20" w:type="dxa"/>
            </w:tcMar>
            <w:vAlign w:val="center"/>
          </w:tcPr>
          <w:p w14:paraId="2863EBFD" w14:textId="77777777" w:rsidR="0027531B" w:rsidRPr="000D67C6" w:rsidRDefault="0027531B" w:rsidP="0027531B">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Fair value of plan assets</w:t>
            </w:r>
          </w:p>
        </w:tc>
        <w:tc>
          <w:tcPr>
            <w:tcW w:w="1134" w:type="dxa"/>
            <w:gridSpan w:val="3"/>
            <w:tcBorders>
              <w:bottom w:val="single" w:sz="2" w:space="0" w:color="000000"/>
            </w:tcBorders>
            <w:shd w:val="clear" w:color="auto" w:fill="auto"/>
            <w:tcMar>
              <w:top w:w="20" w:type="dxa"/>
              <w:left w:w="20" w:type="dxa"/>
              <w:bottom w:w="20" w:type="dxa"/>
              <w:right w:w="20" w:type="dxa"/>
            </w:tcMar>
            <w:vAlign w:val="center"/>
          </w:tcPr>
          <w:p w14:paraId="1C6119C3" w14:textId="1842D1F7"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c>
          <w:tcPr>
            <w:tcW w:w="1418" w:type="dxa"/>
            <w:gridSpan w:val="4"/>
            <w:tcBorders>
              <w:bottom w:val="single" w:sz="2" w:space="0" w:color="000000"/>
            </w:tcBorders>
            <w:shd w:val="clear" w:color="auto" w:fill="auto"/>
            <w:tcMar>
              <w:top w:w="20" w:type="dxa"/>
              <w:left w:w="20" w:type="dxa"/>
              <w:bottom w:w="20" w:type="dxa"/>
              <w:right w:w="20" w:type="dxa"/>
            </w:tcMar>
            <w:vAlign w:val="center"/>
          </w:tcPr>
          <w:p w14:paraId="542600F1" w14:textId="2C875D23" w:rsidR="0027531B" w:rsidRPr="000D67C6" w:rsidRDefault="0027531B" w:rsidP="0027531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27531B" w:rsidRPr="000D67C6" w14:paraId="3BFF13C8" w14:textId="77777777" w:rsidTr="00631912">
        <w:trPr>
          <w:gridBefore w:val="1"/>
          <w:wBefore w:w="142" w:type="dxa"/>
          <w:trHeight w:val="727"/>
        </w:trPr>
        <w:tc>
          <w:tcPr>
            <w:tcW w:w="993" w:type="dxa"/>
            <w:gridSpan w:val="2"/>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FB35104" w14:textId="77777777" w:rsidR="0027531B" w:rsidRPr="000D67C6" w:rsidRDefault="0027531B" w:rsidP="0027531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(11,062)</w:t>
            </w:r>
          </w:p>
        </w:tc>
        <w:tc>
          <w:tcPr>
            <w:tcW w:w="127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D37F92A" w14:textId="77777777" w:rsidR="0027531B" w:rsidRPr="000D67C6" w:rsidRDefault="0027531B" w:rsidP="0027531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(493,180)</w:t>
            </w:r>
          </w:p>
        </w:tc>
        <w:tc>
          <w:tcPr>
            <w:tcW w:w="411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75EC3FB" w14:textId="77777777" w:rsidR="0027531B" w:rsidRPr="000D67C6" w:rsidRDefault="0027531B" w:rsidP="0027531B">
            <w:pPr>
              <w:pStyle w:val="T1TableStyle"/>
              <w:ind w:left="77"/>
              <w:rPr>
                <w:rFonts w:ascii="Arial" w:eastAsia="Verdana" w:hAnsi="Arial" w:cs="Arial"/>
                <w:b/>
                <w:sz w:val="22"/>
                <w:szCs w:val="22"/>
                <w:lang w:val="en-GB"/>
              </w:rPr>
            </w:pPr>
            <w:r w:rsidRPr="000D67C6">
              <w:rPr>
                <w:rFonts w:ascii="Arial" w:eastAsia="Verdana" w:hAnsi="Arial" w:cs="Arial"/>
                <w:b/>
                <w:sz w:val="22"/>
                <w:szCs w:val="22"/>
                <w:lang w:val="en-GB"/>
              </w:rPr>
              <w:t xml:space="preserve"> Net (liability) / asset arising from   </w:t>
            </w:r>
          </w:p>
          <w:p w14:paraId="39915A9C" w14:textId="77777777" w:rsidR="0027531B" w:rsidRPr="000D67C6" w:rsidRDefault="0027531B" w:rsidP="0027531B">
            <w:pPr>
              <w:pStyle w:val="T1TableStyle"/>
              <w:ind w:left="77"/>
              <w:rPr>
                <w:rFonts w:ascii="Arial" w:eastAsia="Verdana" w:hAnsi="Arial" w:cs="Arial"/>
                <w:b/>
                <w:sz w:val="22"/>
                <w:szCs w:val="22"/>
                <w:lang w:val="en-GB"/>
              </w:rPr>
            </w:pPr>
            <w:r w:rsidRPr="000D67C6">
              <w:rPr>
                <w:rFonts w:ascii="Arial" w:eastAsia="Verdana" w:hAnsi="Arial" w:cs="Arial"/>
                <w:b/>
                <w:sz w:val="22"/>
                <w:szCs w:val="22"/>
                <w:lang w:val="en-GB"/>
              </w:rPr>
              <w:t xml:space="preserve"> the defined benefit obligation</w:t>
            </w:r>
          </w:p>
        </w:tc>
        <w:tc>
          <w:tcPr>
            <w:tcW w:w="1134" w:type="dxa"/>
            <w:gridSpan w:val="3"/>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84DF821" w14:textId="644ACEE7" w:rsidR="0027531B" w:rsidRPr="000D67C6" w:rsidRDefault="0027531B" w:rsidP="0027531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(15,378)</w:t>
            </w:r>
          </w:p>
        </w:tc>
        <w:tc>
          <w:tcPr>
            <w:tcW w:w="1418" w:type="dxa"/>
            <w:gridSpan w:val="4"/>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234BB38" w14:textId="5DC02CBD" w:rsidR="0027531B" w:rsidRPr="000D67C6" w:rsidRDefault="0027531B" w:rsidP="0027531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(52</w:t>
            </w:r>
            <w:r w:rsidR="00005BFA">
              <w:rPr>
                <w:rFonts w:ascii="Arial" w:eastAsia="Verdana" w:hAnsi="Arial" w:cs="Arial"/>
                <w:b/>
                <w:sz w:val="22"/>
                <w:szCs w:val="22"/>
                <w:lang w:val="en-GB"/>
              </w:rPr>
              <w:t>4</w:t>
            </w:r>
            <w:r w:rsidRPr="000D67C6">
              <w:rPr>
                <w:rFonts w:ascii="Arial" w:eastAsia="Verdana" w:hAnsi="Arial" w:cs="Arial"/>
                <w:b/>
                <w:sz w:val="22"/>
                <w:szCs w:val="22"/>
                <w:lang w:val="en-GB"/>
              </w:rPr>
              <w:t>,</w:t>
            </w:r>
            <w:r w:rsidR="00005BFA">
              <w:rPr>
                <w:rFonts w:ascii="Arial" w:eastAsia="Verdana" w:hAnsi="Arial" w:cs="Arial"/>
                <w:b/>
                <w:sz w:val="22"/>
                <w:szCs w:val="22"/>
                <w:lang w:val="en-GB"/>
              </w:rPr>
              <w:t>2</w:t>
            </w:r>
            <w:r w:rsidRPr="000D67C6">
              <w:rPr>
                <w:rFonts w:ascii="Arial" w:eastAsia="Verdana" w:hAnsi="Arial" w:cs="Arial"/>
                <w:b/>
                <w:sz w:val="22"/>
                <w:szCs w:val="22"/>
                <w:lang w:val="en-GB"/>
              </w:rPr>
              <w:t>87)</w:t>
            </w:r>
          </w:p>
        </w:tc>
      </w:tr>
    </w:tbl>
    <w:p w14:paraId="43A6C197" w14:textId="77777777" w:rsidR="009A0F09" w:rsidRPr="000D67C6" w:rsidRDefault="009A0F09">
      <w:pPr>
        <w:rPr>
          <w:rFonts w:ascii="Arial" w:hAnsi="Arial" w:cs="Arial"/>
          <w:sz w:val="22"/>
          <w:szCs w:val="22"/>
        </w:rPr>
      </w:pPr>
    </w:p>
    <w:p w14:paraId="6F5D97D7" w14:textId="77777777" w:rsidR="008833CE" w:rsidRPr="000D67C6" w:rsidRDefault="008833CE">
      <w:pPr>
        <w:rPr>
          <w:rFonts w:ascii="Arial" w:hAnsi="Arial" w:cs="Arial"/>
          <w:sz w:val="22"/>
          <w:szCs w:val="22"/>
        </w:rPr>
      </w:pPr>
    </w:p>
    <w:tbl>
      <w:tblPr>
        <w:tblW w:w="0" w:type="auto"/>
        <w:tblLayout w:type="fixed"/>
        <w:tblLook w:val="04A0" w:firstRow="1" w:lastRow="0" w:firstColumn="1" w:lastColumn="0" w:noHBand="0" w:noVBand="1"/>
      </w:tblPr>
      <w:tblGrid>
        <w:gridCol w:w="1230"/>
        <w:gridCol w:w="1230"/>
        <w:gridCol w:w="4203"/>
        <w:gridCol w:w="992"/>
        <w:gridCol w:w="1276"/>
      </w:tblGrid>
      <w:tr w:rsidR="00464E99" w:rsidRPr="000D67C6" w14:paraId="404A53A1" w14:textId="77777777" w:rsidTr="00200C9B">
        <w:trPr>
          <w:trHeight w:val="300"/>
        </w:trPr>
        <w:tc>
          <w:tcPr>
            <w:tcW w:w="2460" w:type="dxa"/>
            <w:gridSpan w:val="2"/>
            <w:shd w:val="clear" w:color="auto" w:fill="auto"/>
            <w:tcMar>
              <w:top w:w="20" w:type="dxa"/>
              <w:left w:w="20" w:type="dxa"/>
              <w:bottom w:w="20" w:type="dxa"/>
              <w:right w:w="20" w:type="dxa"/>
            </w:tcMar>
            <w:vAlign w:val="bottom"/>
          </w:tcPr>
          <w:p w14:paraId="74971913" w14:textId="77777777" w:rsidR="00464E99" w:rsidRPr="000D67C6" w:rsidRDefault="009A0F09" w:rsidP="007454BC">
            <w:pPr>
              <w:pStyle w:val="T1TableStyle"/>
              <w:jc w:val="center"/>
              <w:rPr>
                <w:rFonts w:ascii="Arial" w:eastAsia="Verdana" w:hAnsi="Arial" w:cs="Arial"/>
                <w:b/>
                <w:sz w:val="22"/>
                <w:szCs w:val="22"/>
                <w:lang w:val="en-GB"/>
              </w:rPr>
            </w:pPr>
            <w:r w:rsidRPr="000D67C6">
              <w:rPr>
                <w:rFonts w:ascii="Arial" w:hAnsi="Arial" w:cs="Arial"/>
                <w:sz w:val="22"/>
                <w:szCs w:val="22"/>
              </w:rPr>
              <w:br w:type="page"/>
            </w:r>
            <w:r w:rsidR="00200C9B" w:rsidRPr="000D67C6">
              <w:rPr>
                <w:rFonts w:ascii="Arial" w:hAnsi="Arial" w:cs="Arial"/>
                <w:sz w:val="22"/>
                <w:szCs w:val="22"/>
              </w:rPr>
              <w:br w:type="page"/>
            </w:r>
            <w:r w:rsidR="008F013B"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00C15A6E"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4203" w:type="dxa"/>
            <w:shd w:val="clear" w:color="auto" w:fill="auto"/>
            <w:tcMar>
              <w:top w:w="20" w:type="dxa"/>
              <w:left w:w="20" w:type="dxa"/>
              <w:bottom w:w="20" w:type="dxa"/>
              <w:right w:w="20" w:type="dxa"/>
            </w:tcMar>
          </w:tcPr>
          <w:p w14:paraId="63A9E569" w14:textId="77777777" w:rsidR="00464E99" w:rsidRPr="000D67C6" w:rsidRDefault="00464E99" w:rsidP="007454BC">
            <w:pPr>
              <w:pStyle w:val="T1TableStyle"/>
              <w:jc w:val="center"/>
              <w:rPr>
                <w:rFonts w:ascii="Arial" w:eastAsia="Verdana" w:hAnsi="Arial" w:cs="Arial"/>
                <w:b/>
                <w:sz w:val="22"/>
                <w:szCs w:val="22"/>
                <w:lang w:val="en-GB"/>
              </w:rPr>
            </w:pPr>
          </w:p>
        </w:tc>
        <w:tc>
          <w:tcPr>
            <w:tcW w:w="2268" w:type="dxa"/>
            <w:gridSpan w:val="2"/>
            <w:shd w:val="clear" w:color="auto" w:fill="auto"/>
            <w:tcMar>
              <w:top w:w="20" w:type="dxa"/>
              <w:left w:w="20" w:type="dxa"/>
              <w:bottom w:w="20" w:type="dxa"/>
              <w:right w:w="20" w:type="dxa"/>
            </w:tcMar>
            <w:vAlign w:val="bottom"/>
          </w:tcPr>
          <w:p w14:paraId="07D2E290" w14:textId="77777777" w:rsidR="00464E99" w:rsidRPr="000D67C6" w:rsidRDefault="00C15A6E" w:rsidP="007454BC">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464E99" w:rsidRPr="000D67C6" w14:paraId="4A2AD7C8" w14:textId="77777777" w:rsidTr="00200C9B">
        <w:trPr>
          <w:trHeight w:val="540"/>
        </w:trPr>
        <w:tc>
          <w:tcPr>
            <w:tcW w:w="1230" w:type="dxa"/>
            <w:shd w:val="clear" w:color="auto" w:fill="auto"/>
            <w:tcMar>
              <w:top w:w="20" w:type="dxa"/>
              <w:left w:w="20" w:type="dxa"/>
              <w:bottom w:w="20" w:type="dxa"/>
              <w:right w:w="20" w:type="dxa"/>
            </w:tcMar>
            <w:vAlign w:val="bottom"/>
          </w:tcPr>
          <w:p w14:paraId="7E770C7E" w14:textId="77777777" w:rsidR="00464E99"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230" w:type="dxa"/>
            <w:shd w:val="clear" w:color="auto" w:fill="auto"/>
            <w:tcMar>
              <w:top w:w="20" w:type="dxa"/>
              <w:left w:w="20" w:type="dxa"/>
              <w:bottom w:w="20" w:type="dxa"/>
              <w:right w:w="20" w:type="dxa"/>
            </w:tcMar>
            <w:vAlign w:val="bottom"/>
          </w:tcPr>
          <w:p w14:paraId="38274924" w14:textId="77777777" w:rsidR="00464E99"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c>
          <w:tcPr>
            <w:tcW w:w="4203" w:type="dxa"/>
            <w:shd w:val="clear" w:color="auto" w:fill="auto"/>
            <w:tcMar>
              <w:top w:w="20" w:type="dxa"/>
              <w:left w:w="20" w:type="dxa"/>
              <w:bottom w:w="20" w:type="dxa"/>
              <w:right w:w="20" w:type="dxa"/>
            </w:tcMar>
          </w:tcPr>
          <w:p w14:paraId="562DBE39" w14:textId="77777777" w:rsidR="00464E99" w:rsidRPr="000D67C6" w:rsidRDefault="00C00AB7" w:rsidP="00C00AB7">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Movement in the Value of Scheme Assets</w:t>
            </w:r>
          </w:p>
        </w:tc>
        <w:tc>
          <w:tcPr>
            <w:tcW w:w="992" w:type="dxa"/>
            <w:shd w:val="clear" w:color="auto" w:fill="auto"/>
            <w:tcMar>
              <w:top w:w="20" w:type="dxa"/>
              <w:left w:w="20" w:type="dxa"/>
              <w:bottom w:w="20" w:type="dxa"/>
              <w:right w:w="20" w:type="dxa"/>
            </w:tcMar>
            <w:vAlign w:val="bottom"/>
          </w:tcPr>
          <w:p w14:paraId="33E769DF" w14:textId="77777777" w:rsidR="00464E99"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276" w:type="dxa"/>
            <w:shd w:val="clear" w:color="auto" w:fill="auto"/>
            <w:tcMar>
              <w:top w:w="20" w:type="dxa"/>
              <w:left w:w="20" w:type="dxa"/>
              <w:bottom w:w="20" w:type="dxa"/>
              <w:right w:w="20" w:type="dxa"/>
            </w:tcMar>
            <w:vAlign w:val="bottom"/>
          </w:tcPr>
          <w:p w14:paraId="4FD56FB2" w14:textId="77777777" w:rsidR="00464E99"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r>
      <w:tr w:rsidR="00464E99" w:rsidRPr="000D67C6" w14:paraId="77E2D24A" w14:textId="77777777" w:rsidTr="00200C9B">
        <w:trPr>
          <w:trHeight w:val="300"/>
        </w:trPr>
        <w:tc>
          <w:tcPr>
            <w:tcW w:w="1230" w:type="dxa"/>
            <w:tcBorders>
              <w:bottom w:val="single" w:sz="2" w:space="0" w:color="000000"/>
            </w:tcBorders>
            <w:shd w:val="clear" w:color="auto" w:fill="auto"/>
            <w:tcMar>
              <w:top w:w="20" w:type="dxa"/>
              <w:left w:w="20" w:type="dxa"/>
              <w:bottom w:w="20" w:type="dxa"/>
              <w:right w:w="20" w:type="dxa"/>
            </w:tcMar>
            <w:vAlign w:val="bottom"/>
          </w:tcPr>
          <w:p w14:paraId="68A4DE82"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14:paraId="17F90CAD"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4203" w:type="dxa"/>
            <w:tcBorders>
              <w:bottom w:val="single" w:sz="2" w:space="0" w:color="000000"/>
            </w:tcBorders>
            <w:shd w:val="clear" w:color="auto" w:fill="auto"/>
            <w:tcMar>
              <w:top w:w="20" w:type="dxa"/>
              <w:left w:w="20" w:type="dxa"/>
              <w:bottom w:w="20" w:type="dxa"/>
              <w:right w:w="20" w:type="dxa"/>
            </w:tcMar>
            <w:vAlign w:val="bottom"/>
          </w:tcPr>
          <w:p w14:paraId="48680E75" w14:textId="77777777" w:rsidR="00464E99" w:rsidRPr="000D67C6" w:rsidRDefault="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992" w:type="dxa"/>
            <w:tcBorders>
              <w:bottom w:val="single" w:sz="2" w:space="0" w:color="000000"/>
            </w:tcBorders>
            <w:shd w:val="clear" w:color="auto" w:fill="auto"/>
            <w:tcMar>
              <w:top w:w="20" w:type="dxa"/>
              <w:left w:w="20" w:type="dxa"/>
              <w:bottom w:w="20" w:type="dxa"/>
              <w:right w:w="20" w:type="dxa"/>
            </w:tcMar>
            <w:vAlign w:val="bottom"/>
          </w:tcPr>
          <w:p w14:paraId="5AFF6E87"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14400A96" w14:textId="77777777" w:rsidR="00464E99"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657967" w:rsidRPr="000D67C6" w14:paraId="43EEF39F" w14:textId="77777777" w:rsidTr="00386FB8">
        <w:trPr>
          <w:trHeight w:val="368"/>
        </w:trPr>
        <w:tc>
          <w:tcPr>
            <w:tcW w:w="1230" w:type="dxa"/>
            <w:shd w:val="clear" w:color="auto" w:fill="auto"/>
            <w:tcMar>
              <w:top w:w="20" w:type="dxa"/>
              <w:left w:w="20" w:type="dxa"/>
              <w:bottom w:w="20" w:type="dxa"/>
              <w:right w:w="20" w:type="dxa"/>
            </w:tcMar>
            <w:vAlign w:val="center"/>
          </w:tcPr>
          <w:p w14:paraId="53AA4AC1"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45,084</w:t>
            </w:r>
          </w:p>
        </w:tc>
        <w:tc>
          <w:tcPr>
            <w:tcW w:w="1230" w:type="dxa"/>
            <w:shd w:val="clear" w:color="auto" w:fill="auto"/>
            <w:tcMar>
              <w:top w:w="20" w:type="dxa"/>
              <w:left w:w="20" w:type="dxa"/>
              <w:bottom w:w="20" w:type="dxa"/>
              <w:right w:w="20" w:type="dxa"/>
            </w:tcMar>
            <w:vAlign w:val="center"/>
          </w:tcPr>
          <w:p w14:paraId="4702C147"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4FBDA19A"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Opening fair value of scheme assets</w:t>
            </w:r>
          </w:p>
        </w:tc>
        <w:tc>
          <w:tcPr>
            <w:tcW w:w="992" w:type="dxa"/>
            <w:shd w:val="clear" w:color="auto" w:fill="auto"/>
            <w:tcMar>
              <w:top w:w="20" w:type="dxa"/>
              <w:left w:w="20" w:type="dxa"/>
              <w:bottom w:w="20" w:type="dxa"/>
              <w:right w:w="20" w:type="dxa"/>
            </w:tcMar>
            <w:vAlign w:val="center"/>
          </w:tcPr>
          <w:p w14:paraId="38ED5E7F" w14:textId="698040BA"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46,524</w:t>
            </w:r>
          </w:p>
        </w:tc>
        <w:tc>
          <w:tcPr>
            <w:tcW w:w="1276" w:type="dxa"/>
            <w:shd w:val="clear" w:color="auto" w:fill="auto"/>
            <w:tcMar>
              <w:top w:w="20" w:type="dxa"/>
              <w:left w:w="20" w:type="dxa"/>
              <w:bottom w:w="20" w:type="dxa"/>
              <w:right w:w="20" w:type="dxa"/>
            </w:tcMar>
            <w:vAlign w:val="center"/>
          </w:tcPr>
          <w:p w14:paraId="054F07E8" w14:textId="4A07FA8A"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657967" w:rsidRPr="000D67C6" w14:paraId="455F21EC" w14:textId="77777777" w:rsidTr="00386FB8">
        <w:trPr>
          <w:trHeight w:val="368"/>
        </w:trPr>
        <w:tc>
          <w:tcPr>
            <w:tcW w:w="1230" w:type="dxa"/>
            <w:shd w:val="clear" w:color="auto" w:fill="auto"/>
            <w:tcMar>
              <w:top w:w="20" w:type="dxa"/>
              <w:left w:w="20" w:type="dxa"/>
              <w:bottom w:w="20" w:type="dxa"/>
              <w:right w:w="20" w:type="dxa"/>
            </w:tcMar>
            <w:vAlign w:val="center"/>
          </w:tcPr>
          <w:p w14:paraId="4104F846"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1,170</w:t>
            </w:r>
          </w:p>
        </w:tc>
        <w:tc>
          <w:tcPr>
            <w:tcW w:w="1230" w:type="dxa"/>
            <w:shd w:val="clear" w:color="auto" w:fill="auto"/>
            <w:tcMar>
              <w:top w:w="20" w:type="dxa"/>
              <w:left w:w="20" w:type="dxa"/>
              <w:bottom w:w="20" w:type="dxa"/>
              <w:right w:w="20" w:type="dxa"/>
            </w:tcMar>
            <w:vAlign w:val="center"/>
          </w:tcPr>
          <w:p w14:paraId="76B56347"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27AE906F"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Interest income</w:t>
            </w:r>
          </w:p>
        </w:tc>
        <w:tc>
          <w:tcPr>
            <w:tcW w:w="992" w:type="dxa"/>
            <w:shd w:val="clear" w:color="auto" w:fill="auto"/>
            <w:tcMar>
              <w:top w:w="20" w:type="dxa"/>
              <w:left w:w="20" w:type="dxa"/>
              <w:bottom w:w="20" w:type="dxa"/>
              <w:right w:w="20" w:type="dxa"/>
            </w:tcMar>
            <w:vAlign w:val="center"/>
          </w:tcPr>
          <w:p w14:paraId="6EE7ACB1" w14:textId="7AEBEF5E"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1,260</w:t>
            </w:r>
          </w:p>
        </w:tc>
        <w:tc>
          <w:tcPr>
            <w:tcW w:w="1276" w:type="dxa"/>
            <w:shd w:val="clear" w:color="auto" w:fill="auto"/>
            <w:tcMar>
              <w:top w:w="20" w:type="dxa"/>
              <w:left w:w="20" w:type="dxa"/>
              <w:bottom w:w="20" w:type="dxa"/>
              <w:right w:w="20" w:type="dxa"/>
            </w:tcMar>
            <w:vAlign w:val="center"/>
          </w:tcPr>
          <w:p w14:paraId="48D8EF3F" w14:textId="7A4651B3"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657967" w:rsidRPr="000D67C6" w14:paraId="4205B219" w14:textId="77777777" w:rsidTr="00386FB8">
        <w:trPr>
          <w:trHeight w:val="368"/>
        </w:trPr>
        <w:tc>
          <w:tcPr>
            <w:tcW w:w="1230" w:type="dxa"/>
            <w:shd w:val="clear" w:color="auto" w:fill="auto"/>
            <w:tcMar>
              <w:top w:w="20" w:type="dxa"/>
              <w:left w:w="20" w:type="dxa"/>
              <w:bottom w:w="20" w:type="dxa"/>
              <w:right w:w="20" w:type="dxa"/>
            </w:tcMar>
            <w:vAlign w:val="center"/>
          </w:tcPr>
          <w:p w14:paraId="6DA532FF" w14:textId="77777777" w:rsidR="00657967" w:rsidRPr="000D67C6" w:rsidRDefault="00657967" w:rsidP="00657967">
            <w:pPr>
              <w:pStyle w:val="T1TableStyle"/>
              <w:jc w:val="center"/>
              <w:rPr>
                <w:rFonts w:ascii="Arial" w:eastAsia="Verdana" w:hAnsi="Arial" w:cs="Arial"/>
                <w:sz w:val="22"/>
                <w:szCs w:val="22"/>
                <w:lang w:val="en-GB"/>
              </w:rPr>
            </w:pPr>
          </w:p>
        </w:tc>
        <w:tc>
          <w:tcPr>
            <w:tcW w:w="1230" w:type="dxa"/>
            <w:shd w:val="clear" w:color="auto" w:fill="auto"/>
            <w:tcMar>
              <w:top w:w="20" w:type="dxa"/>
              <w:left w:w="20" w:type="dxa"/>
              <w:bottom w:w="20" w:type="dxa"/>
              <w:right w:w="20" w:type="dxa"/>
            </w:tcMar>
            <w:vAlign w:val="center"/>
          </w:tcPr>
          <w:p w14:paraId="75A25FC9" w14:textId="77777777" w:rsidR="00657967" w:rsidRPr="000D67C6" w:rsidRDefault="00657967" w:rsidP="00657967">
            <w:pPr>
              <w:pStyle w:val="T1TableStyle"/>
              <w:jc w:val="center"/>
              <w:rPr>
                <w:rFonts w:ascii="Arial" w:eastAsia="Verdana" w:hAnsi="Arial" w:cs="Arial"/>
                <w:sz w:val="22"/>
                <w:szCs w:val="22"/>
                <w:lang w:val="en-GB"/>
              </w:rPr>
            </w:pPr>
          </w:p>
        </w:tc>
        <w:tc>
          <w:tcPr>
            <w:tcW w:w="4203" w:type="dxa"/>
            <w:shd w:val="clear" w:color="auto" w:fill="auto"/>
            <w:tcMar>
              <w:top w:w="20" w:type="dxa"/>
              <w:left w:w="20" w:type="dxa"/>
              <w:bottom w:w="20" w:type="dxa"/>
              <w:right w:w="20" w:type="dxa"/>
            </w:tcMar>
            <w:vAlign w:val="center"/>
          </w:tcPr>
          <w:p w14:paraId="7141ABA9"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Remeasurement gain / (loss):</w:t>
            </w:r>
          </w:p>
        </w:tc>
        <w:tc>
          <w:tcPr>
            <w:tcW w:w="992" w:type="dxa"/>
            <w:shd w:val="clear" w:color="auto" w:fill="auto"/>
            <w:tcMar>
              <w:top w:w="20" w:type="dxa"/>
              <w:left w:w="20" w:type="dxa"/>
              <w:bottom w:w="20" w:type="dxa"/>
              <w:right w:w="20" w:type="dxa"/>
            </w:tcMar>
            <w:vAlign w:val="center"/>
          </w:tcPr>
          <w:p w14:paraId="7F636628" w14:textId="77777777" w:rsidR="00657967" w:rsidRPr="000D67C6" w:rsidRDefault="00657967" w:rsidP="00657967">
            <w:pPr>
              <w:pStyle w:val="T1TableStyle"/>
              <w:jc w:val="center"/>
              <w:rPr>
                <w:rFonts w:ascii="Arial" w:eastAsia="Verdana" w:hAnsi="Arial" w:cs="Arial"/>
                <w:sz w:val="22"/>
                <w:szCs w:val="22"/>
                <w:lang w:val="en-GB"/>
              </w:rPr>
            </w:pPr>
          </w:p>
        </w:tc>
        <w:tc>
          <w:tcPr>
            <w:tcW w:w="1276" w:type="dxa"/>
            <w:shd w:val="clear" w:color="auto" w:fill="auto"/>
            <w:tcMar>
              <w:top w:w="20" w:type="dxa"/>
              <w:left w:w="20" w:type="dxa"/>
              <w:bottom w:w="20" w:type="dxa"/>
              <w:right w:w="20" w:type="dxa"/>
            </w:tcMar>
            <w:vAlign w:val="center"/>
          </w:tcPr>
          <w:p w14:paraId="2352FECD" w14:textId="77777777" w:rsidR="00657967" w:rsidRPr="000D67C6" w:rsidRDefault="00657967" w:rsidP="00657967">
            <w:pPr>
              <w:pStyle w:val="T1TableStyle"/>
              <w:jc w:val="center"/>
              <w:rPr>
                <w:rFonts w:ascii="Arial" w:eastAsia="Verdana" w:hAnsi="Arial" w:cs="Arial"/>
                <w:sz w:val="22"/>
                <w:szCs w:val="22"/>
                <w:lang w:val="en-GB"/>
              </w:rPr>
            </w:pPr>
          </w:p>
        </w:tc>
      </w:tr>
      <w:tr w:rsidR="00657967" w:rsidRPr="000D67C6" w14:paraId="055FC4C1" w14:textId="77777777" w:rsidTr="00386FB8">
        <w:trPr>
          <w:trHeight w:val="368"/>
        </w:trPr>
        <w:tc>
          <w:tcPr>
            <w:tcW w:w="1230" w:type="dxa"/>
            <w:shd w:val="clear" w:color="auto" w:fill="auto"/>
            <w:tcMar>
              <w:top w:w="20" w:type="dxa"/>
              <w:left w:w="20" w:type="dxa"/>
              <w:bottom w:w="20" w:type="dxa"/>
              <w:right w:w="20" w:type="dxa"/>
            </w:tcMar>
            <w:vAlign w:val="center"/>
          </w:tcPr>
          <w:p w14:paraId="6F8E48B0"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462</w:t>
            </w:r>
          </w:p>
        </w:tc>
        <w:tc>
          <w:tcPr>
            <w:tcW w:w="1230" w:type="dxa"/>
            <w:shd w:val="clear" w:color="auto" w:fill="auto"/>
            <w:tcMar>
              <w:top w:w="20" w:type="dxa"/>
              <w:left w:w="20" w:type="dxa"/>
              <w:bottom w:w="20" w:type="dxa"/>
              <w:right w:w="20" w:type="dxa"/>
            </w:tcMar>
            <w:vAlign w:val="center"/>
          </w:tcPr>
          <w:p w14:paraId="40877F73"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29312DD4"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i/>
                <w:sz w:val="22"/>
                <w:szCs w:val="22"/>
                <w:lang w:val="en-GB"/>
              </w:rPr>
              <w:t xml:space="preserve">  - </w:t>
            </w:r>
            <w:r w:rsidRPr="000D67C6">
              <w:rPr>
                <w:rFonts w:ascii="Arial" w:eastAsia="Verdana" w:hAnsi="Arial" w:cs="Arial"/>
                <w:sz w:val="22"/>
                <w:szCs w:val="22"/>
                <w:lang w:val="en-GB"/>
              </w:rPr>
              <w:t xml:space="preserve">The return on plan assets, excluding     </w:t>
            </w:r>
          </w:p>
          <w:p w14:paraId="5EB7E9B1"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the amount included in the net interest  </w:t>
            </w:r>
          </w:p>
          <w:p w14:paraId="508D16AC"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expense</w:t>
            </w:r>
          </w:p>
        </w:tc>
        <w:tc>
          <w:tcPr>
            <w:tcW w:w="992" w:type="dxa"/>
            <w:shd w:val="clear" w:color="auto" w:fill="auto"/>
            <w:tcMar>
              <w:top w:w="20" w:type="dxa"/>
              <w:left w:w="20" w:type="dxa"/>
              <w:bottom w:w="20" w:type="dxa"/>
              <w:right w:w="20" w:type="dxa"/>
            </w:tcMar>
            <w:vAlign w:val="center"/>
          </w:tcPr>
          <w:p w14:paraId="4FABA97D" w14:textId="3DA534CD"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1,646</w:t>
            </w:r>
          </w:p>
        </w:tc>
        <w:tc>
          <w:tcPr>
            <w:tcW w:w="1276" w:type="dxa"/>
            <w:shd w:val="clear" w:color="auto" w:fill="auto"/>
            <w:tcMar>
              <w:top w:w="20" w:type="dxa"/>
              <w:left w:w="20" w:type="dxa"/>
              <w:bottom w:w="20" w:type="dxa"/>
              <w:right w:w="20" w:type="dxa"/>
            </w:tcMar>
            <w:vAlign w:val="center"/>
          </w:tcPr>
          <w:p w14:paraId="0791F48F" w14:textId="1C6AA476"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657967" w:rsidRPr="000D67C6" w14:paraId="1C81DE52" w14:textId="77777777" w:rsidTr="00386FB8">
        <w:trPr>
          <w:trHeight w:val="368"/>
        </w:trPr>
        <w:tc>
          <w:tcPr>
            <w:tcW w:w="1230" w:type="dxa"/>
            <w:shd w:val="clear" w:color="auto" w:fill="auto"/>
            <w:tcMar>
              <w:top w:w="20" w:type="dxa"/>
              <w:left w:w="20" w:type="dxa"/>
              <w:bottom w:w="20" w:type="dxa"/>
              <w:right w:w="20" w:type="dxa"/>
            </w:tcMar>
            <w:vAlign w:val="center"/>
          </w:tcPr>
          <w:p w14:paraId="460BD96F"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1,014</w:t>
            </w:r>
          </w:p>
        </w:tc>
        <w:tc>
          <w:tcPr>
            <w:tcW w:w="1230" w:type="dxa"/>
            <w:shd w:val="clear" w:color="auto" w:fill="auto"/>
            <w:tcMar>
              <w:top w:w="20" w:type="dxa"/>
              <w:left w:w="20" w:type="dxa"/>
              <w:bottom w:w="20" w:type="dxa"/>
              <w:right w:w="20" w:type="dxa"/>
            </w:tcMar>
            <w:vAlign w:val="center"/>
          </w:tcPr>
          <w:p w14:paraId="4FA14F70"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13,990</w:t>
            </w:r>
          </w:p>
        </w:tc>
        <w:tc>
          <w:tcPr>
            <w:tcW w:w="4203" w:type="dxa"/>
            <w:shd w:val="clear" w:color="auto" w:fill="auto"/>
            <w:tcMar>
              <w:top w:w="20" w:type="dxa"/>
              <w:left w:w="20" w:type="dxa"/>
              <w:bottom w:w="20" w:type="dxa"/>
              <w:right w:w="20" w:type="dxa"/>
            </w:tcMar>
            <w:vAlign w:val="center"/>
          </w:tcPr>
          <w:p w14:paraId="7A716CE7"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Contributions from employer</w:t>
            </w:r>
          </w:p>
        </w:tc>
        <w:tc>
          <w:tcPr>
            <w:tcW w:w="992" w:type="dxa"/>
            <w:shd w:val="clear" w:color="auto" w:fill="auto"/>
            <w:tcMar>
              <w:top w:w="20" w:type="dxa"/>
              <w:left w:w="20" w:type="dxa"/>
              <w:bottom w:w="20" w:type="dxa"/>
              <w:right w:w="20" w:type="dxa"/>
            </w:tcMar>
            <w:vAlign w:val="center"/>
          </w:tcPr>
          <w:p w14:paraId="6C6BC55D" w14:textId="5F251823"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969</w:t>
            </w:r>
          </w:p>
        </w:tc>
        <w:tc>
          <w:tcPr>
            <w:tcW w:w="1276" w:type="dxa"/>
            <w:shd w:val="clear" w:color="auto" w:fill="auto"/>
            <w:tcMar>
              <w:top w:w="20" w:type="dxa"/>
              <w:left w:w="20" w:type="dxa"/>
              <w:bottom w:w="20" w:type="dxa"/>
              <w:right w:w="20" w:type="dxa"/>
            </w:tcMar>
            <w:vAlign w:val="center"/>
          </w:tcPr>
          <w:p w14:paraId="7D7F6CE7" w14:textId="2377F715"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13,430</w:t>
            </w:r>
          </w:p>
        </w:tc>
      </w:tr>
      <w:tr w:rsidR="00657967" w:rsidRPr="000D67C6" w14:paraId="2FE936CC" w14:textId="77777777" w:rsidTr="00386FB8">
        <w:trPr>
          <w:trHeight w:val="368"/>
        </w:trPr>
        <w:tc>
          <w:tcPr>
            <w:tcW w:w="1230" w:type="dxa"/>
            <w:shd w:val="clear" w:color="auto" w:fill="auto"/>
            <w:tcMar>
              <w:top w:w="20" w:type="dxa"/>
              <w:left w:w="20" w:type="dxa"/>
              <w:bottom w:w="20" w:type="dxa"/>
              <w:right w:w="20" w:type="dxa"/>
            </w:tcMar>
            <w:vAlign w:val="center"/>
          </w:tcPr>
          <w:p w14:paraId="3D3AA1C4"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389</w:t>
            </w:r>
          </w:p>
        </w:tc>
        <w:tc>
          <w:tcPr>
            <w:tcW w:w="1230" w:type="dxa"/>
            <w:shd w:val="clear" w:color="auto" w:fill="auto"/>
            <w:tcMar>
              <w:top w:w="20" w:type="dxa"/>
              <w:left w:w="20" w:type="dxa"/>
              <w:bottom w:w="20" w:type="dxa"/>
              <w:right w:w="20" w:type="dxa"/>
            </w:tcMar>
            <w:vAlign w:val="center"/>
          </w:tcPr>
          <w:p w14:paraId="0D5CBBF7"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39A3AB74"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Contributions from employees into the  </w:t>
            </w:r>
          </w:p>
          <w:p w14:paraId="56F547DF"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scheme</w:t>
            </w:r>
          </w:p>
        </w:tc>
        <w:tc>
          <w:tcPr>
            <w:tcW w:w="992" w:type="dxa"/>
            <w:shd w:val="clear" w:color="auto" w:fill="auto"/>
            <w:tcMar>
              <w:top w:w="20" w:type="dxa"/>
              <w:left w:w="20" w:type="dxa"/>
              <w:bottom w:w="20" w:type="dxa"/>
              <w:right w:w="20" w:type="dxa"/>
            </w:tcMar>
            <w:vAlign w:val="center"/>
          </w:tcPr>
          <w:p w14:paraId="1AD321D6" w14:textId="7F5ACD0B"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402</w:t>
            </w:r>
          </w:p>
        </w:tc>
        <w:tc>
          <w:tcPr>
            <w:tcW w:w="1276" w:type="dxa"/>
            <w:shd w:val="clear" w:color="auto" w:fill="auto"/>
            <w:tcMar>
              <w:top w:w="20" w:type="dxa"/>
              <w:left w:w="20" w:type="dxa"/>
              <w:bottom w:w="20" w:type="dxa"/>
              <w:right w:w="20" w:type="dxa"/>
            </w:tcMar>
            <w:vAlign w:val="center"/>
          </w:tcPr>
          <w:p w14:paraId="30C5D0D5" w14:textId="16C5B83E"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657967" w:rsidRPr="000D67C6" w14:paraId="23C25828" w14:textId="77777777" w:rsidTr="00386FB8">
        <w:trPr>
          <w:trHeight w:val="368"/>
        </w:trPr>
        <w:tc>
          <w:tcPr>
            <w:tcW w:w="1230" w:type="dxa"/>
            <w:shd w:val="clear" w:color="auto" w:fill="auto"/>
            <w:tcMar>
              <w:top w:w="20" w:type="dxa"/>
              <w:left w:w="20" w:type="dxa"/>
              <w:bottom w:w="20" w:type="dxa"/>
              <w:right w:w="20" w:type="dxa"/>
            </w:tcMar>
            <w:vAlign w:val="center"/>
          </w:tcPr>
          <w:p w14:paraId="20E80B86"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(1,560)</w:t>
            </w:r>
          </w:p>
        </w:tc>
        <w:tc>
          <w:tcPr>
            <w:tcW w:w="1230" w:type="dxa"/>
            <w:shd w:val="clear" w:color="auto" w:fill="auto"/>
            <w:tcMar>
              <w:top w:w="20" w:type="dxa"/>
              <w:left w:w="20" w:type="dxa"/>
              <w:bottom w:w="20" w:type="dxa"/>
              <w:right w:w="20" w:type="dxa"/>
            </w:tcMar>
            <w:vAlign w:val="center"/>
          </w:tcPr>
          <w:p w14:paraId="010EDE3D"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(13,990)</w:t>
            </w:r>
          </w:p>
        </w:tc>
        <w:tc>
          <w:tcPr>
            <w:tcW w:w="4203" w:type="dxa"/>
            <w:shd w:val="clear" w:color="auto" w:fill="auto"/>
            <w:tcMar>
              <w:top w:w="20" w:type="dxa"/>
              <w:left w:w="20" w:type="dxa"/>
              <w:bottom w:w="20" w:type="dxa"/>
              <w:right w:w="20" w:type="dxa"/>
            </w:tcMar>
            <w:vAlign w:val="center"/>
          </w:tcPr>
          <w:p w14:paraId="3270735F"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Benefits / transfers paid</w:t>
            </w:r>
          </w:p>
        </w:tc>
        <w:tc>
          <w:tcPr>
            <w:tcW w:w="992" w:type="dxa"/>
            <w:shd w:val="clear" w:color="auto" w:fill="auto"/>
            <w:tcMar>
              <w:top w:w="20" w:type="dxa"/>
              <w:left w:w="20" w:type="dxa"/>
              <w:bottom w:w="20" w:type="dxa"/>
              <w:right w:w="20" w:type="dxa"/>
            </w:tcMar>
            <w:vAlign w:val="center"/>
          </w:tcPr>
          <w:p w14:paraId="1F06D99C" w14:textId="599C9B1C"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(1,099)</w:t>
            </w:r>
          </w:p>
        </w:tc>
        <w:tc>
          <w:tcPr>
            <w:tcW w:w="1276" w:type="dxa"/>
            <w:shd w:val="clear" w:color="auto" w:fill="auto"/>
            <w:tcMar>
              <w:top w:w="20" w:type="dxa"/>
              <w:left w:w="20" w:type="dxa"/>
              <w:bottom w:w="20" w:type="dxa"/>
              <w:right w:w="20" w:type="dxa"/>
            </w:tcMar>
            <w:vAlign w:val="center"/>
          </w:tcPr>
          <w:p w14:paraId="64D6E955" w14:textId="16E439D8"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(13,430)</w:t>
            </w:r>
          </w:p>
        </w:tc>
      </w:tr>
      <w:tr w:rsidR="00657967" w:rsidRPr="000D67C6" w14:paraId="2BF3F340" w14:textId="77777777" w:rsidTr="00386FB8">
        <w:trPr>
          <w:trHeight w:val="368"/>
        </w:trPr>
        <w:tc>
          <w:tcPr>
            <w:tcW w:w="1230" w:type="dxa"/>
            <w:shd w:val="clear" w:color="auto" w:fill="auto"/>
            <w:tcMar>
              <w:top w:w="20" w:type="dxa"/>
              <w:left w:w="20" w:type="dxa"/>
              <w:bottom w:w="20" w:type="dxa"/>
              <w:right w:w="20" w:type="dxa"/>
            </w:tcMar>
            <w:vAlign w:val="center"/>
          </w:tcPr>
          <w:p w14:paraId="71BCB279"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(35)</w:t>
            </w:r>
          </w:p>
        </w:tc>
        <w:tc>
          <w:tcPr>
            <w:tcW w:w="1230" w:type="dxa"/>
            <w:shd w:val="clear" w:color="auto" w:fill="auto"/>
            <w:tcMar>
              <w:top w:w="20" w:type="dxa"/>
              <w:left w:w="20" w:type="dxa"/>
              <w:bottom w:w="20" w:type="dxa"/>
              <w:right w:w="20" w:type="dxa"/>
            </w:tcMar>
            <w:vAlign w:val="center"/>
          </w:tcPr>
          <w:p w14:paraId="6F17B1C8" w14:textId="77777777"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7B0C4029" w14:textId="77777777" w:rsidR="00657967" w:rsidRPr="000D67C6" w:rsidRDefault="00657967" w:rsidP="00657967">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Administration expenses</w:t>
            </w:r>
          </w:p>
        </w:tc>
        <w:tc>
          <w:tcPr>
            <w:tcW w:w="992" w:type="dxa"/>
            <w:shd w:val="clear" w:color="auto" w:fill="auto"/>
            <w:tcMar>
              <w:top w:w="20" w:type="dxa"/>
              <w:left w:w="20" w:type="dxa"/>
              <w:bottom w:w="20" w:type="dxa"/>
              <w:right w:w="20" w:type="dxa"/>
            </w:tcMar>
            <w:vAlign w:val="center"/>
          </w:tcPr>
          <w:p w14:paraId="20066480" w14:textId="2992A121"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w:t>
            </w:r>
          </w:p>
        </w:tc>
        <w:tc>
          <w:tcPr>
            <w:tcW w:w="1276" w:type="dxa"/>
            <w:shd w:val="clear" w:color="auto" w:fill="auto"/>
            <w:tcMar>
              <w:top w:w="20" w:type="dxa"/>
              <w:left w:w="20" w:type="dxa"/>
              <w:bottom w:w="20" w:type="dxa"/>
              <w:right w:w="20" w:type="dxa"/>
            </w:tcMar>
            <w:vAlign w:val="center"/>
          </w:tcPr>
          <w:p w14:paraId="304A42DD" w14:textId="1875222F" w:rsidR="00657967" w:rsidRPr="000D67C6" w:rsidRDefault="00657967" w:rsidP="0065796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657967" w:rsidRPr="000D67C6" w14:paraId="2C36EFB0" w14:textId="77777777" w:rsidTr="00386FB8">
        <w:trPr>
          <w:trHeight w:val="514"/>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C7A55B" w14:textId="77777777" w:rsidR="00657967" w:rsidRPr="000D67C6" w:rsidRDefault="00657967" w:rsidP="0065796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46,524</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E1F7C5C" w14:textId="77777777" w:rsidR="00657967" w:rsidRPr="000D67C6" w:rsidRDefault="00657967" w:rsidP="0065796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420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8F2A945" w14:textId="77777777" w:rsidR="00657967" w:rsidRPr="000D67C6" w:rsidRDefault="00657967" w:rsidP="00657967">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Closing value of scheme assets</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054795B" w14:textId="6AF2B222" w:rsidR="00657967" w:rsidRPr="000D67C6" w:rsidRDefault="00657967" w:rsidP="0065796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49,672</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3C0883A" w14:textId="14425314" w:rsidR="00657967" w:rsidRPr="000D67C6" w:rsidRDefault="00657967" w:rsidP="00657967">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r>
    </w:tbl>
    <w:p w14:paraId="52960BE0" w14:textId="77777777" w:rsidR="008F013B" w:rsidRPr="000D67C6" w:rsidRDefault="008F013B">
      <w:pPr>
        <w:pStyle w:val="T1TableStyle"/>
        <w:rPr>
          <w:rFonts w:ascii="Arial" w:eastAsia="Calibri" w:hAnsi="Arial" w:cs="Arial"/>
          <w:sz w:val="22"/>
          <w:szCs w:val="22"/>
          <w:lang w:val="en-GB"/>
        </w:rPr>
      </w:pPr>
    </w:p>
    <w:p w14:paraId="61528184" w14:textId="77777777" w:rsidR="00200C9B" w:rsidRPr="000D67C6" w:rsidRDefault="008833CE" w:rsidP="00386FB8">
      <w:pPr>
        <w:rPr>
          <w:rFonts w:ascii="Arial" w:eastAsia="Calibri" w:hAnsi="Arial" w:cs="Arial"/>
          <w:sz w:val="22"/>
          <w:szCs w:val="22"/>
          <w:lang w:val="en-GB"/>
        </w:rPr>
      </w:pPr>
      <w:r w:rsidRPr="000D67C6">
        <w:rPr>
          <w:rFonts w:ascii="Arial" w:eastAsia="Calibri" w:hAnsi="Arial" w:cs="Arial"/>
          <w:sz w:val="22"/>
          <w:szCs w:val="22"/>
          <w:lang w:val="en-GB"/>
        </w:rPr>
        <w:br w:type="page"/>
      </w:r>
    </w:p>
    <w:tbl>
      <w:tblPr>
        <w:tblW w:w="8931" w:type="dxa"/>
        <w:tblLayout w:type="fixed"/>
        <w:tblLook w:val="04A0" w:firstRow="1" w:lastRow="0" w:firstColumn="1" w:lastColumn="0" w:noHBand="0" w:noVBand="1"/>
      </w:tblPr>
      <w:tblGrid>
        <w:gridCol w:w="1230"/>
        <w:gridCol w:w="1230"/>
        <w:gridCol w:w="4203"/>
        <w:gridCol w:w="992"/>
        <w:gridCol w:w="1276"/>
      </w:tblGrid>
      <w:tr w:rsidR="00464E99" w:rsidRPr="000D67C6" w14:paraId="551ECA5B" w14:textId="77777777" w:rsidTr="002D1506">
        <w:trPr>
          <w:trHeight w:val="300"/>
        </w:trPr>
        <w:tc>
          <w:tcPr>
            <w:tcW w:w="2460" w:type="dxa"/>
            <w:gridSpan w:val="2"/>
            <w:shd w:val="clear" w:color="auto" w:fill="auto"/>
            <w:tcMar>
              <w:top w:w="20" w:type="dxa"/>
              <w:left w:w="20" w:type="dxa"/>
              <w:bottom w:w="20" w:type="dxa"/>
              <w:right w:w="20" w:type="dxa"/>
            </w:tcMar>
            <w:vAlign w:val="bottom"/>
          </w:tcPr>
          <w:p w14:paraId="353F896F" w14:textId="77777777" w:rsidR="00464E99" w:rsidRPr="000D67C6" w:rsidRDefault="00C15A6E" w:rsidP="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4203" w:type="dxa"/>
            <w:shd w:val="clear" w:color="auto" w:fill="auto"/>
            <w:tcMar>
              <w:top w:w="20" w:type="dxa"/>
              <w:left w:w="20" w:type="dxa"/>
              <w:bottom w:w="20" w:type="dxa"/>
              <w:right w:w="20" w:type="dxa"/>
            </w:tcMar>
          </w:tcPr>
          <w:p w14:paraId="6188310D" w14:textId="77777777" w:rsidR="00464E99" w:rsidRPr="000D67C6" w:rsidRDefault="00464E99" w:rsidP="00A91C81">
            <w:pPr>
              <w:pStyle w:val="T1TableStyle"/>
              <w:jc w:val="center"/>
              <w:rPr>
                <w:rFonts w:ascii="Arial" w:eastAsia="Verdana" w:hAnsi="Arial" w:cs="Arial"/>
                <w:b/>
                <w:sz w:val="22"/>
                <w:szCs w:val="22"/>
                <w:lang w:val="en-GB"/>
              </w:rPr>
            </w:pPr>
          </w:p>
        </w:tc>
        <w:tc>
          <w:tcPr>
            <w:tcW w:w="2268" w:type="dxa"/>
            <w:gridSpan w:val="2"/>
            <w:shd w:val="clear" w:color="auto" w:fill="auto"/>
            <w:tcMar>
              <w:top w:w="20" w:type="dxa"/>
              <w:left w:w="20" w:type="dxa"/>
              <w:bottom w:w="20" w:type="dxa"/>
              <w:right w:w="20" w:type="dxa"/>
            </w:tcMar>
            <w:vAlign w:val="bottom"/>
          </w:tcPr>
          <w:p w14:paraId="40CEB5BC" w14:textId="77777777" w:rsidR="00464E99" w:rsidRPr="000D67C6" w:rsidRDefault="00C15A6E" w:rsidP="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464E99" w:rsidRPr="000D67C6" w14:paraId="034C314F" w14:textId="77777777" w:rsidTr="002D1506">
        <w:trPr>
          <w:trHeight w:val="540"/>
        </w:trPr>
        <w:tc>
          <w:tcPr>
            <w:tcW w:w="1230" w:type="dxa"/>
            <w:shd w:val="clear" w:color="auto" w:fill="auto"/>
            <w:tcMar>
              <w:top w:w="20" w:type="dxa"/>
              <w:left w:w="20" w:type="dxa"/>
              <w:bottom w:w="20" w:type="dxa"/>
              <w:right w:w="20" w:type="dxa"/>
            </w:tcMar>
            <w:vAlign w:val="bottom"/>
          </w:tcPr>
          <w:p w14:paraId="1945F5D4" w14:textId="77777777" w:rsidR="00464E99" w:rsidRPr="000D67C6" w:rsidRDefault="008F013B" w:rsidP="00B05F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230" w:type="dxa"/>
            <w:shd w:val="clear" w:color="auto" w:fill="auto"/>
            <w:tcMar>
              <w:top w:w="20" w:type="dxa"/>
              <w:left w:w="20" w:type="dxa"/>
              <w:bottom w:w="20" w:type="dxa"/>
              <w:right w:w="20" w:type="dxa"/>
            </w:tcMar>
            <w:vAlign w:val="bottom"/>
          </w:tcPr>
          <w:p w14:paraId="2BF487A8" w14:textId="77777777" w:rsidR="00464E99" w:rsidRPr="000D67C6" w:rsidRDefault="008F013B" w:rsidP="00B05F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c>
          <w:tcPr>
            <w:tcW w:w="4203" w:type="dxa"/>
            <w:shd w:val="clear" w:color="auto" w:fill="auto"/>
            <w:tcMar>
              <w:top w:w="20" w:type="dxa"/>
              <w:left w:w="20" w:type="dxa"/>
              <w:bottom w:w="20" w:type="dxa"/>
              <w:right w:w="20" w:type="dxa"/>
            </w:tcMar>
          </w:tcPr>
          <w:p w14:paraId="5F04F000" w14:textId="77777777" w:rsidR="00464E99" w:rsidRPr="000D67C6" w:rsidRDefault="002D1506" w:rsidP="00B143B2">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r w:rsidR="00B143B2" w:rsidRPr="000D67C6">
              <w:rPr>
                <w:rFonts w:ascii="Arial" w:eastAsia="Verdana" w:hAnsi="Arial" w:cs="Arial"/>
                <w:b/>
                <w:sz w:val="22"/>
                <w:szCs w:val="22"/>
                <w:lang w:val="en-GB"/>
              </w:rPr>
              <w:t>Movements in the Fair Value of Scheme Liabilities</w:t>
            </w:r>
          </w:p>
        </w:tc>
        <w:tc>
          <w:tcPr>
            <w:tcW w:w="992" w:type="dxa"/>
            <w:shd w:val="clear" w:color="auto" w:fill="auto"/>
            <w:tcMar>
              <w:top w:w="20" w:type="dxa"/>
              <w:left w:w="20" w:type="dxa"/>
              <w:bottom w:w="20" w:type="dxa"/>
              <w:right w:w="20" w:type="dxa"/>
            </w:tcMar>
            <w:vAlign w:val="bottom"/>
          </w:tcPr>
          <w:p w14:paraId="5B782423" w14:textId="77777777" w:rsidR="00464E99" w:rsidRPr="000D67C6" w:rsidRDefault="008F013B" w:rsidP="00B05F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276" w:type="dxa"/>
            <w:shd w:val="clear" w:color="auto" w:fill="auto"/>
            <w:tcMar>
              <w:top w:w="20" w:type="dxa"/>
              <w:left w:w="20" w:type="dxa"/>
              <w:bottom w:w="20" w:type="dxa"/>
              <w:right w:w="20" w:type="dxa"/>
            </w:tcMar>
            <w:vAlign w:val="bottom"/>
          </w:tcPr>
          <w:p w14:paraId="2B0F4163" w14:textId="77777777" w:rsidR="00464E99" w:rsidRPr="000D67C6" w:rsidRDefault="008F013B" w:rsidP="00B05F79">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r>
      <w:tr w:rsidR="00464E99" w:rsidRPr="000D67C6" w14:paraId="0D789DEE" w14:textId="77777777" w:rsidTr="002D1506">
        <w:trPr>
          <w:trHeight w:val="300"/>
        </w:trPr>
        <w:tc>
          <w:tcPr>
            <w:tcW w:w="1230" w:type="dxa"/>
            <w:tcBorders>
              <w:bottom w:val="single" w:sz="2" w:space="0" w:color="000000"/>
            </w:tcBorders>
            <w:shd w:val="clear" w:color="auto" w:fill="auto"/>
            <w:tcMar>
              <w:top w:w="20" w:type="dxa"/>
              <w:left w:w="20" w:type="dxa"/>
              <w:bottom w:w="20" w:type="dxa"/>
              <w:right w:w="20" w:type="dxa"/>
            </w:tcMar>
            <w:vAlign w:val="bottom"/>
          </w:tcPr>
          <w:p w14:paraId="1D0C5BF9"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14:paraId="7E3122BE"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4203" w:type="dxa"/>
            <w:tcBorders>
              <w:bottom w:val="single" w:sz="2" w:space="0" w:color="000000"/>
            </w:tcBorders>
            <w:shd w:val="clear" w:color="auto" w:fill="auto"/>
            <w:tcMar>
              <w:top w:w="20" w:type="dxa"/>
              <w:left w:w="20" w:type="dxa"/>
              <w:bottom w:w="20" w:type="dxa"/>
              <w:right w:w="20" w:type="dxa"/>
            </w:tcMar>
            <w:vAlign w:val="bottom"/>
          </w:tcPr>
          <w:p w14:paraId="3E0EC836" w14:textId="77777777" w:rsidR="00464E99" w:rsidRPr="000D67C6" w:rsidRDefault="008F013B" w:rsidP="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992" w:type="dxa"/>
            <w:tcBorders>
              <w:bottom w:val="single" w:sz="2" w:space="0" w:color="000000"/>
            </w:tcBorders>
            <w:shd w:val="clear" w:color="auto" w:fill="auto"/>
            <w:tcMar>
              <w:top w:w="20" w:type="dxa"/>
              <w:left w:w="20" w:type="dxa"/>
              <w:bottom w:w="20" w:type="dxa"/>
              <w:right w:w="20" w:type="dxa"/>
            </w:tcMar>
            <w:vAlign w:val="bottom"/>
          </w:tcPr>
          <w:p w14:paraId="58239CC0"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vAlign w:val="bottom"/>
          </w:tcPr>
          <w:p w14:paraId="6941697C" w14:textId="77777777" w:rsidR="00464E99" w:rsidRPr="000D67C6" w:rsidRDefault="008F013B" w:rsidP="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30669C" w:rsidRPr="000D67C6" w14:paraId="771A51E4" w14:textId="77777777" w:rsidTr="00820E31">
        <w:trPr>
          <w:trHeight w:val="368"/>
        </w:trPr>
        <w:tc>
          <w:tcPr>
            <w:tcW w:w="1230" w:type="dxa"/>
            <w:shd w:val="clear" w:color="auto" w:fill="auto"/>
            <w:tcMar>
              <w:top w:w="20" w:type="dxa"/>
              <w:left w:w="20" w:type="dxa"/>
              <w:bottom w:w="20" w:type="dxa"/>
              <w:right w:w="20" w:type="dxa"/>
            </w:tcMar>
            <w:vAlign w:val="center"/>
          </w:tcPr>
          <w:p w14:paraId="674F6BCE"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(57,974)</w:t>
            </w:r>
          </w:p>
        </w:tc>
        <w:tc>
          <w:tcPr>
            <w:tcW w:w="1230" w:type="dxa"/>
            <w:shd w:val="clear" w:color="auto" w:fill="auto"/>
            <w:tcMar>
              <w:top w:w="20" w:type="dxa"/>
              <w:left w:w="20" w:type="dxa"/>
              <w:bottom w:w="20" w:type="dxa"/>
              <w:right w:w="20" w:type="dxa"/>
            </w:tcMar>
            <w:vAlign w:val="center"/>
          </w:tcPr>
          <w:p w14:paraId="6CE7AE73"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(461,880)</w:t>
            </w:r>
          </w:p>
        </w:tc>
        <w:tc>
          <w:tcPr>
            <w:tcW w:w="4203" w:type="dxa"/>
            <w:shd w:val="clear" w:color="auto" w:fill="auto"/>
            <w:tcMar>
              <w:top w:w="20" w:type="dxa"/>
              <w:left w:w="20" w:type="dxa"/>
              <w:bottom w:w="20" w:type="dxa"/>
              <w:right w:w="20" w:type="dxa"/>
            </w:tcMar>
            <w:vAlign w:val="center"/>
          </w:tcPr>
          <w:p w14:paraId="0F1C7235"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Opening balance at 1 April</w:t>
            </w:r>
          </w:p>
        </w:tc>
        <w:tc>
          <w:tcPr>
            <w:tcW w:w="992" w:type="dxa"/>
            <w:shd w:val="clear" w:color="auto" w:fill="auto"/>
            <w:tcMar>
              <w:top w:w="20" w:type="dxa"/>
              <w:left w:w="20" w:type="dxa"/>
              <w:bottom w:w="20" w:type="dxa"/>
              <w:right w:w="20" w:type="dxa"/>
            </w:tcMar>
            <w:vAlign w:val="center"/>
          </w:tcPr>
          <w:p w14:paraId="51561B9E" w14:textId="202A26B0"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(57,586)</w:t>
            </w:r>
          </w:p>
        </w:tc>
        <w:tc>
          <w:tcPr>
            <w:tcW w:w="1276" w:type="dxa"/>
            <w:shd w:val="clear" w:color="auto" w:fill="auto"/>
            <w:tcMar>
              <w:top w:w="20" w:type="dxa"/>
              <w:left w:w="20" w:type="dxa"/>
              <w:bottom w:w="20" w:type="dxa"/>
              <w:right w:w="20" w:type="dxa"/>
            </w:tcMar>
            <w:vAlign w:val="center"/>
          </w:tcPr>
          <w:p w14:paraId="6F6E575C" w14:textId="020965DC"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(493,180)</w:t>
            </w:r>
          </w:p>
        </w:tc>
      </w:tr>
      <w:tr w:rsidR="0030669C" w:rsidRPr="000D67C6" w14:paraId="230F2F68" w14:textId="77777777" w:rsidTr="00820E31">
        <w:trPr>
          <w:trHeight w:val="368"/>
        </w:trPr>
        <w:tc>
          <w:tcPr>
            <w:tcW w:w="1230" w:type="dxa"/>
            <w:shd w:val="clear" w:color="auto" w:fill="auto"/>
            <w:tcMar>
              <w:top w:w="20" w:type="dxa"/>
              <w:left w:w="20" w:type="dxa"/>
              <w:bottom w:w="20" w:type="dxa"/>
              <w:right w:w="20" w:type="dxa"/>
            </w:tcMar>
            <w:vAlign w:val="center"/>
          </w:tcPr>
          <w:p w14:paraId="47C48034"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(1,893)</w:t>
            </w:r>
          </w:p>
        </w:tc>
        <w:tc>
          <w:tcPr>
            <w:tcW w:w="1230" w:type="dxa"/>
            <w:shd w:val="clear" w:color="auto" w:fill="auto"/>
            <w:tcMar>
              <w:top w:w="20" w:type="dxa"/>
              <w:left w:w="20" w:type="dxa"/>
              <w:bottom w:w="20" w:type="dxa"/>
              <w:right w:w="20" w:type="dxa"/>
            </w:tcMar>
            <w:vAlign w:val="center"/>
          </w:tcPr>
          <w:p w14:paraId="587725C7"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(11,080)</w:t>
            </w:r>
          </w:p>
        </w:tc>
        <w:tc>
          <w:tcPr>
            <w:tcW w:w="4203" w:type="dxa"/>
            <w:shd w:val="clear" w:color="auto" w:fill="auto"/>
            <w:tcMar>
              <w:top w:w="20" w:type="dxa"/>
              <w:left w:w="20" w:type="dxa"/>
              <w:bottom w:w="20" w:type="dxa"/>
              <w:right w:w="20" w:type="dxa"/>
            </w:tcMar>
            <w:vAlign w:val="center"/>
          </w:tcPr>
          <w:p w14:paraId="6DF129CB"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Current service cost</w:t>
            </w:r>
          </w:p>
        </w:tc>
        <w:tc>
          <w:tcPr>
            <w:tcW w:w="992" w:type="dxa"/>
            <w:shd w:val="clear" w:color="auto" w:fill="auto"/>
            <w:tcMar>
              <w:top w:w="20" w:type="dxa"/>
              <w:left w:w="20" w:type="dxa"/>
              <w:bottom w:w="20" w:type="dxa"/>
              <w:right w:w="20" w:type="dxa"/>
            </w:tcMar>
            <w:vAlign w:val="center"/>
          </w:tcPr>
          <w:p w14:paraId="57DD3D2B" w14:textId="2609669A"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(1,816)</w:t>
            </w:r>
          </w:p>
        </w:tc>
        <w:tc>
          <w:tcPr>
            <w:tcW w:w="1276" w:type="dxa"/>
            <w:shd w:val="clear" w:color="auto" w:fill="auto"/>
            <w:tcMar>
              <w:top w:w="20" w:type="dxa"/>
              <w:left w:w="20" w:type="dxa"/>
              <w:bottom w:w="20" w:type="dxa"/>
              <w:right w:w="20" w:type="dxa"/>
            </w:tcMar>
            <w:vAlign w:val="center"/>
          </w:tcPr>
          <w:p w14:paraId="5D806E2A" w14:textId="31188218"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(12,190)</w:t>
            </w:r>
          </w:p>
        </w:tc>
      </w:tr>
      <w:tr w:rsidR="0030669C" w:rsidRPr="000D67C6" w14:paraId="178BD170" w14:textId="77777777" w:rsidTr="00820E31">
        <w:trPr>
          <w:trHeight w:val="368"/>
        </w:trPr>
        <w:tc>
          <w:tcPr>
            <w:tcW w:w="1230" w:type="dxa"/>
            <w:shd w:val="clear" w:color="auto" w:fill="auto"/>
            <w:tcMar>
              <w:top w:w="20" w:type="dxa"/>
              <w:left w:w="20" w:type="dxa"/>
              <w:bottom w:w="20" w:type="dxa"/>
              <w:right w:w="20" w:type="dxa"/>
            </w:tcMar>
            <w:vAlign w:val="center"/>
          </w:tcPr>
          <w:p w14:paraId="189A5CB6"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74E360DF"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(100)</w:t>
            </w:r>
          </w:p>
        </w:tc>
        <w:tc>
          <w:tcPr>
            <w:tcW w:w="4203" w:type="dxa"/>
            <w:shd w:val="clear" w:color="auto" w:fill="auto"/>
            <w:tcMar>
              <w:top w:w="20" w:type="dxa"/>
              <w:left w:w="20" w:type="dxa"/>
              <w:bottom w:w="20" w:type="dxa"/>
              <w:right w:w="20" w:type="dxa"/>
            </w:tcMar>
            <w:vAlign w:val="center"/>
          </w:tcPr>
          <w:p w14:paraId="5208320A" w14:textId="77777777" w:rsidR="0030669C" w:rsidRPr="000D67C6" w:rsidRDefault="0030669C" w:rsidP="0030669C">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Transfers In</w:t>
            </w:r>
          </w:p>
        </w:tc>
        <w:tc>
          <w:tcPr>
            <w:tcW w:w="992" w:type="dxa"/>
            <w:shd w:val="clear" w:color="auto" w:fill="auto"/>
            <w:tcMar>
              <w:top w:w="20" w:type="dxa"/>
              <w:left w:w="20" w:type="dxa"/>
              <w:bottom w:w="20" w:type="dxa"/>
              <w:right w:w="20" w:type="dxa"/>
            </w:tcMar>
            <w:vAlign w:val="center"/>
          </w:tcPr>
          <w:p w14:paraId="1F747A2F" w14:textId="00BBD898"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52801AAA" w14:textId="256624FA"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(157)</w:t>
            </w:r>
          </w:p>
        </w:tc>
      </w:tr>
      <w:tr w:rsidR="0030669C" w:rsidRPr="000D67C6" w14:paraId="70DE105F" w14:textId="77777777" w:rsidTr="00820E31">
        <w:trPr>
          <w:trHeight w:val="368"/>
        </w:trPr>
        <w:tc>
          <w:tcPr>
            <w:tcW w:w="1230" w:type="dxa"/>
            <w:shd w:val="clear" w:color="auto" w:fill="auto"/>
            <w:tcMar>
              <w:top w:w="20" w:type="dxa"/>
              <w:left w:w="20" w:type="dxa"/>
              <w:bottom w:w="20" w:type="dxa"/>
              <w:right w:w="20" w:type="dxa"/>
            </w:tcMar>
            <w:vAlign w:val="center"/>
          </w:tcPr>
          <w:p w14:paraId="69EE7BD1"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(1,493)</w:t>
            </w:r>
          </w:p>
        </w:tc>
        <w:tc>
          <w:tcPr>
            <w:tcW w:w="1230" w:type="dxa"/>
            <w:shd w:val="clear" w:color="auto" w:fill="auto"/>
            <w:tcMar>
              <w:top w:w="20" w:type="dxa"/>
              <w:left w:w="20" w:type="dxa"/>
              <w:bottom w:w="20" w:type="dxa"/>
              <w:right w:w="20" w:type="dxa"/>
            </w:tcMar>
            <w:vAlign w:val="center"/>
          </w:tcPr>
          <w:p w14:paraId="7D1101B9"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(12,200)</w:t>
            </w:r>
          </w:p>
        </w:tc>
        <w:tc>
          <w:tcPr>
            <w:tcW w:w="4203" w:type="dxa"/>
            <w:shd w:val="clear" w:color="auto" w:fill="auto"/>
            <w:tcMar>
              <w:top w:w="20" w:type="dxa"/>
              <w:left w:w="20" w:type="dxa"/>
              <w:bottom w:w="20" w:type="dxa"/>
              <w:right w:w="20" w:type="dxa"/>
            </w:tcMar>
            <w:vAlign w:val="center"/>
          </w:tcPr>
          <w:p w14:paraId="107C1FA1"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Interest cost</w:t>
            </w:r>
          </w:p>
        </w:tc>
        <w:tc>
          <w:tcPr>
            <w:tcW w:w="992" w:type="dxa"/>
            <w:shd w:val="clear" w:color="auto" w:fill="auto"/>
            <w:tcMar>
              <w:top w:w="20" w:type="dxa"/>
              <w:left w:w="20" w:type="dxa"/>
              <w:bottom w:w="20" w:type="dxa"/>
              <w:right w:w="20" w:type="dxa"/>
            </w:tcMar>
            <w:vAlign w:val="center"/>
          </w:tcPr>
          <w:p w14:paraId="04D61C10" w14:textId="132AFA91"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(1,545)</w:t>
            </w:r>
          </w:p>
        </w:tc>
        <w:tc>
          <w:tcPr>
            <w:tcW w:w="1276" w:type="dxa"/>
            <w:shd w:val="clear" w:color="auto" w:fill="auto"/>
            <w:tcMar>
              <w:top w:w="20" w:type="dxa"/>
              <w:left w:w="20" w:type="dxa"/>
              <w:bottom w:w="20" w:type="dxa"/>
              <w:right w:w="20" w:type="dxa"/>
            </w:tcMar>
            <w:vAlign w:val="center"/>
          </w:tcPr>
          <w:p w14:paraId="24FF4A9C" w14:textId="5F221662"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(12,560)</w:t>
            </w:r>
          </w:p>
        </w:tc>
      </w:tr>
      <w:tr w:rsidR="0030669C" w:rsidRPr="000D67C6" w14:paraId="56287BCC" w14:textId="77777777" w:rsidTr="00820E31">
        <w:trPr>
          <w:trHeight w:val="368"/>
        </w:trPr>
        <w:tc>
          <w:tcPr>
            <w:tcW w:w="1230" w:type="dxa"/>
            <w:shd w:val="clear" w:color="auto" w:fill="auto"/>
            <w:tcMar>
              <w:top w:w="20" w:type="dxa"/>
              <w:left w:w="20" w:type="dxa"/>
              <w:bottom w:w="20" w:type="dxa"/>
              <w:right w:w="20" w:type="dxa"/>
            </w:tcMar>
            <w:vAlign w:val="center"/>
          </w:tcPr>
          <w:p w14:paraId="1226F437"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(389)</w:t>
            </w:r>
          </w:p>
        </w:tc>
        <w:tc>
          <w:tcPr>
            <w:tcW w:w="1230" w:type="dxa"/>
            <w:shd w:val="clear" w:color="auto" w:fill="auto"/>
            <w:tcMar>
              <w:top w:w="20" w:type="dxa"/>
              <w:left w:w="20" w:type="dxa"/>
              <w:bottom w:w="20" w:type="dxa"/>
              <w:right w:w="20" w:type="dxa"/>
            </w:tcMar>
            <w:vAlign w:val="center"/>
          </w:tcPr>
          <w:p w14:paraId="7B73A470"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1E786150"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Contributions from scheme participants</w:t>
            </w:r>
          </w:p>
        </w:tc>
        <w:tc>
          <w:tcPr>
            <w:tcW w:w="992" w:type="dxa"/>
            <w:shd w:val="clear" w:color="auto" w:fill="auto"/>
            <w:tcMar>
              <w:top w:w="20" w:type="dxa"/>
              <w:left w:w="20" w:type="dxa"/>
              <w:bottom w:w="20" w:type="dxa"/>
              <w:right w:w="20" w:type="dxa"/>
            </w:tcMar>
            <w:vAlign w:val="center"/>
          </w:tcPr>
          <w:p w14:paraId="0B3A0106" w14:textId="52D17090"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(402)</w:t>
            </w:r>
          </w:p>
        </w:tc>
        <w:tc>
          <w:tcPr>
            <w:tcW w:w="1276" w:type="dxa"/>
            <w:shd w:val="clear" w:color="auto" w:fill="auto"/>
            <w:tcMar>
              <w:top w:w="20" w:type="dxa"/>
              <w:left w:w="20" w:type="dxa"/>
              <w:bottom w:w="20" w:type="dxa"/>
              <w:right w:w="20" w:type="dxa"/>
            </w:tcMar>
            <w:vAlign w:val="center"/>
          </w:tcPr>
          <w:p w14:paraId="4B45F72E" w14:textId="4B81F363"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30669C" w:rsidRPr="000D67C6" w14:paraId="6738FBA6" w14:textId="77777777" w:rsidTr="00820E31">
        <w:trPr>
          <w:trHeight w:val="368"/>
        </w:trPr>
        <w:tc>
          <w:tcPr>
            <w:tcW w:w="1230" w:type="dxa"/>
            <w:shd w:val="clear" w:color="auto" w:fill="auto"/>
            <w:tcMar>
              <w:top w:w="20" w:type="dxa"/>
              <w:left w:w="20" w:type="dxa"/>
              <w:bottom w:w="20" w:type="dxa"/>
              <w:right w:w="20" w:type="dxa"/>
            </w:tcMar>
            <w:vAlign w:val="center"/>
          </w:tcPr>
          <w:p w14:paraId="6A222403" w14:textId="77777777" w:rsidR="0030669C" w:rsidRPr="000D67C6" w:rsidRDefault="0030669C" w:rsidP="0030669C">
            <w:pPr>
              <w:pStyle w:val="T1TableStyle"/>
              <w:jc w:val="center"/>
              <w:rPr>
                <w:rFonts w:ascii="Arial" w:eastAsia="Verdana" w:hAnsi="Arial" w:cs="Arial"/>
                <w:i/>
                <w:sz w:val="22"/>
                <w:szCs w:val="22"/>
                <w:lang w:val="en-GB"/>
              </w:rPr>
            </w:pPr>
          </w:p>
        </w:tc>
        <w:tc>
          <w:tcPr>
            <w:tcW w:w="1230" w:type="dxa"/>
            <w:shd w:val="clear" w:color="auto" w:fill="auto"/>
            <w:tcMar>
              <w:top w:w="20" w:type="dxa"/>
              <w:left w:w="20" w:type="dxa"/>
              <w:bottom w:w="20" w:type="dxa"/>
              <w:right w:w="20" w:type="dxa"/>
            </w:tcMar>
            <w:vAlign w:val="center"/>
          </w:tcPr>
          <w:p w14:paraId="3ACC7E4D" w14:textId="77777777" w:rsidR="0030669C" w:rsidRPr="000D67C6" w:rsidRDefault="0030669C" w:rsidP="0030669C">
            <w:pPr>
              <w:pStyle w:val="T1TableStyle"/>
              <w:jc w:val="center"/>
              <w:rPr>
                <w:rFonts w:ascii="Arial" w:eastAsia="Verdana" w:hAnsi="Arial" w:cs="Arial"/>
                <w:i/>
                <w:sz w:val="22"/>
                <w:szCs w:val="22"/>
                <w:lang w:val="en-GB"/>
              </w:rPr>
            </w:pPr>
          </w:p>
        </w:tc>
        <w:tc>
          <w:tcPr>
            <w:tcW w:w="4203" w:type="dxa"/>
            <w:shd w:val="clear" w:color="auto" w:fill="auto"/>
            <w:tcMar>
              <w:top w:w="20" w:type="dxa"/>
              <w:left w:w="20" w:type="dxa"/>
              <w:bottom w:w="20" w:type="dxa"/>
              <w:right w:w="20" w:type="dxa"/>
            </w:tcMar>
            <w:vAlign w:val="center"/>
          </w:tcPr>
          <w:p w14:paraId="52162970" w14:textId="77777777" w:rsidR="0030669C" w:rsidRPr="000D67C6" w:rsidRDefault="0030669C" w:rsidP="0030669C">
            <w:pPr>
              <w:pStyle w:val="T1TableStyle"/>
              <w:ind w:left="68" w:hanging="68"/>
              <w:rPr>
                <w:rFonts w:ascii="Arial" w:eastAsia="Verdana" w:hAnsi="Arial" w:cs="Arial"/>
                <w:i/>
                <w:sz w:val="22"/>
                <w:szCs w:val="22"/>
                <w:lang w:val="en-GB"/>
              </w:rPr>
            </w:pPr>
            <w:r w:rsidRPr="000D67C6">
              <w:rPr>
                <w:rFonts w:ascii="Arial" w:eastAsia="Verdana" w:hAnsi="Arial" w:cs="Arial"/>
                <w:i/>
                <w:sz w:val="22"/>
                <w:szCs w:val="22"/>
                <w:lang w:val="en-GB"/>
              </w:rPr>
              <w:t xml:space="preserve">  Remeasurement gains and losses:</w:t>
            </w:r>
          </w:p>
        </w:tc>
        <w:tc>
          <w:tcPr>
            <w:tcW w:w="992" w:type="dxa"/>
            <w:shd w:val="clear" w:color="auto" w:fill="auto"/>
            <w:tcMar>
              <w:top w:w="20" w:type="dxa"/>
              <w:left w:w="20" w:type="dxa"/>
              <w:bottom w:w="20" w:type="dxa"/>
              <w:right w:w="20" w:type="dxa"/>
            </w:tcMar>
            <w:vAlign w:val="center"/>
          </w:tcPr>
          <w:p w14:paraId="374082E2" w14:textId="77777777" w:rsidR="0030669C" w:rsidRPr="000D67C6" w:rsidRDefault="0030669C" w:rsidP="0030669C">
            <w:pPr>
              <w:pStyle w:val="T1TableStyle"/>
              <w:jc w:val="center"/>
              <w:rPr>
                <w:rFonts w:ascii="Arial" w:eastAsia="Verdana" w:hAnsi="Arial" w:cs="Arial"/>
                <w:i/>
                <w:sz w:val="22"/>
                <w:szCs w:val="22"/>
                <w:lang w:val="en-GB"/>
              </w:rPr>
            </w:pPr>
          </w:p>
        </w:tc>
        <w:tc>
          <w:tcPr>
            <w:tcW w:w="1276" w:type="dxa"/>
            <w:shd w:val="clear" w:color="auto" w:fill="auto"/>
            <w:tcMar>
              <w:top w:w="20" w:type="dxa"/>
              <w:left w:w="20" w:type="dxa"/>
              <w:bottom w:w="20" w:type="dxa"/>
              <w:right w:w="20" w:type="dxa"/>
            </w:tcMar>
            <w:vAlign w:val="center"/>
          </w:tcPr>
          <w:p w14:paraId="40E9DFBC" w14:textId="77777777" w:rsidR="0030669C" w:rsidRPr="000D67C6" w:rsidRDefault="0030669C" w:rsidP="0030669C">
            <w:pPr>
              <w:pStyle w:val="T1TableStyle"/>
              <w:jc w:val="center"/>
              <w:rPr>
                <w:rFonts w:ascii="Arial" w:eastAsia="Verdana" w:hAnsi="Arial" w:cs="Arial"/>
                <w:i/>
                <w:sz w:val="22"/>
                <w:szCs w:val="22"/>
                <w:lang w:val="en-GB"/>
              </w:rPr>
            </w:pPr>
          </w:p>
        </w:tc>
      </w:tr>
      <w:tr w:rsidR="0030669C" w:rsidRPr="000D67C6" w14:paraId="306940DD" w14:textId="77777777" w:rsidTr="00820E31">
        <w:trPr>
          <w:trHeight w:val="457"/>
        </w:trPr>
        <w:tc>
          <w:tcPr>
            <w:tcW w:w="1230" w:type="dxa"/>
            <w:shd w:val="clear" w:color="auto" w:fill="auto"/>
            <w:tcMar>
              <w:top w:w="20" w:type="dxa"/>
              <w:left w:w="20" w:type="dxa"/>
              <w:bottom w:w="20" w:type="dxa"/>
              <w:right w:w="20" w:type="dxa"/>
            </w:tcMar>
            <w:vAlign w:val="center"/>
          </w:tcPr>
          <w:p w14:paraId="101AECAB"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73F61C08"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(21,140)</w:t>
            </w:r>
          </w:p>
        </w:tc>
        <w:tc>
          <w:tcPr>
            <w:tcW w:w="4203" w:type="dxa"/>
            <w:shd w:val="clear" w:color="auto" w:fill="auto"/>
            <w:tcMar>
              <w:top w:w="20" w:type="dxa"/>
              <w:left w:w="20" w:type="dxa"/>
              <w:bottom w:w="20" w:type="dxa"/>
              <w:right w:w="20" w:type="dxa"/>
            </w:tcMar>
            <w:vAlign w:val="center"/>
          </w:tcPr>
          <w:p w14:paraId="439E5CC9"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 Actuarial gains / (losses) - experience</w:t>
            </w:r>
          </w:p>
        </w:tc>
        <w:tc>
          <w:tcPr>
            <w:tcW w:w="992" w:type="dxa"/>
            <w:shd w:val="clear" w:color="auto" w:fill="auto"/>
            <w:tcMar>
              <w:top w:w="20" w:type="dxa"/>
              <w:left w:w="20" w:type="dxa"/>
              <w:bottom w:w="20" w:type="dxa"/>
              <w:right w:w="20" w:type="dxa"/>
            </w:tcMar>
            <w:vAlign w:val="center"/>
          </w:tcPr>
          <w:p w14:paraId="2D5A6ADB" w14:textId="18AE36F9"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00C21340" w14:textId="33F8028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17,830</w:t>
            </w:r>
          </w:p>
        </w:tc>
      </w:tr>
      <w:tr w:rsidR="0030669C" w:rsidRPr="000D67C6" w14:paraId="16E9A3F5" w14:textId="77777777" w:rsidTr="008070E5">
        <w:trPr>
          <w:trHeight w:val="663"/>
        </w:trPr>
        <w:tc>
          <w:tcPr>
            <w:tcW w:w="1230" w:type="dxa"/>
            <w:shd w:val="clear" w:color="auto" w:fill="auto"/>
            <w:tcMar>
              <w:top w:w="20" w:type="dxa"/>
              <w:left w:w="20" w:type="dxa"/>
              <w:bottom w:w="20" w:type="dxa"/>
              <w:right w:w="20" w:type="dxa"/>
            </w:tcMar>
            <w:vAlign w:val="center"/>
          </w:tcPr>
          <w:p w14:paraId="50EA241E"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41788354"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13,500</w:t>
            </w:r>
          </w:p>
        </w:tc>
        <w:tc>
          <w:tcPr>
            <w:tcW w:w="4203" w:type="dxa"/>
            <w:shd w:val="clear" w:color="auto" w:fill="auto"/>
            <w:tcMar>
              <w:top w:w="20" w:type="dxa"/>
              <w:left w:w="20" w:type="dxa"/>
              <w:bottom w:w="20" w:type="dxa"/>
              <w:right w:w="20" w:type="dxa"/>
            </w:tcMar>
            <w:vAlign w:val="center"/>
          </w:tcPr>
          <w:p w14:paraId="47530961"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 Actuarial gains / (losses) from changes  </w:t>
            </w:r>
          </w:p>
          <w:p w14:paraId="579B9C3D"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in demographic assumptions</w:t>
            </w:r>
          </w:p>
        </w:tc>
        <w:tc>
          <w:tcPr>
            <w:tcW w:w="992" w:type="dxa"/>
            <w:shd w:val="clear" w:color="auto" w:fill="auto"/>
            <w:tcMar>
              <w:top w:w="20" w:type="dxa"/>
              <w:left w:w="20" w:type="dxa"/>
              <w:bottom w:w="20" w:type="dxa"/>
              <w:right w:w="20" w:type="dxa"/>
            </w:tcMar>
            <w:vAlign w:val="center"/>
          </w:tcPr>
          <w:p w14:paraId="07C5AD60" w14:textId="43F70A6E"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4598EDDA" w14:textId="03F58EB8"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30669C" w:rsidRPr="000D67C6" w14:paraId="4EC4FBB9" w14:textId="77777777" w:rsidTr="00820E31">
        <w:trPr>
          <w:trHeight w:val="368"/>
        </w:trPr>
        <w:tc>
          <w:tcPr>
            <w:tcW w:w="1230" w:type="dxa"/>
            <w:shd w:val="clear" w:color="auto" w:fill="auto"/>
            <w:tcMar>
              <w:top w:w="20" w:type="dxa"/>
              <w:left w:w="20" w:type="dxa"/>
              <w:bottom w:w="20" w:type="dxa"/>
              <w:right w:w="20" w:type="dxa"/>
            </w:tcMar>
            <w:vAlign w:val="center"/>
          </w:tcPr>
          <w:p w14:paraId="1C43A6BA"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2,603</w:t>
            </w:r>
          </w:p>
        </w:tc>
        <w:tc>
          <w:tcPr>
            <w:tcW w:w="1230" w:type="dxa"/>
            <w:shd w:val="clear" w:color="auto" w:fill="auto"/>
            <w:tcMar>
              <w:top w:w="20" w:type="dxa"/>
              <w:left w:w="20" w:type="dxa"/>
              <w:bottom w:w="20" w:type="dxa"/>
              <w:right w:w="20" w:type="dxa"/>
            </w:tcMar>
            <w:vAlign w:val="center"/>
          </w:tcPr>
          <w:p w14:paraId="6A5FF44D"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(13,980)</w:t>
            </w:r>
          </w:p>
        </w:tc>
        <w:tc>
          <w:tcPr>
            <w:tcW w:w="4203" w:type="dxa"/>
            <w:shd w:val="clear" w:color="auto" w:fill="auto"/>
            <w:tcMar>
              <w:top w:w="20" w:type="dxa"/>
              <w:left w:w="20" w:type="dxa"/>
              <w:bottom w:w="20" w:type="dxa"/>
              <w:right w:w="20" w:type="dxa"/>
            </w:tcMar>
            <w:vAlign w:val="center"/>
          </w:tcPr>
          <w:p w14:paraId="7E2C19CA"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 Actuarial gains / (losses) from changes  </w:t>
            </w:r>
          </w:p>
          <w:p w14:paraId="7CE66931"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in financial assumptions</w:t>
            </w:r>
          </w:p>
        </w:tc>
        <w:tc>
          <w:tcPr>
            <w:tcW w:w="992" w:type="dxa"/>
            <w:shd w:val="clear" w:color="auto" w:fill="auto"/>
            <w:tcMar>
              <w:top w:w="20" w:type="dxa"/>
              <w:left w:w="20" w:type="dxa"/>
              <w:bottom w:w="20" w:type="dxa"/>
              <w:right w:w="20" w:type="dxa"/>
            </w:tcMar>
            <w:vAlign w:val="center"/>
          </w:tcPr>
          <w:p w14:paraId="2E5E8519" w14:textId="4A650B99"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(3,709)</w:t>
            </w:r>
          </w:p>
        </w:tc>
        <w:tc>
          <w:tcPr>
            <w:tcW w:w="1276" w:type="dxa"/>
            <w:shd w:val="clear" w:color="auto" w:fill="auto"/>
            <w:tcMar>
              <w:top w:w="20" w:type="dxa"/>
              <w:left w:w="20" w:type="dxa"/>
              <w:bottom w:w="20" w:type="dxa"/>
              <w:right w:w="20" w:type="dxa"/>
            </w:tcMar>
            <w:vAlign w:val="center"/>
          </w:tcPr>
          <w:p w14:paraId="7B24D324" w14:textId="00935275"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(13,930)</w:t>
            </w:r>
          </w:p>
        </w:tc>
      </w:tr>
      <w:tr w:rsidR="0030669C" w:rsidRPr="000D67C6" w14:paraId="0EEEFF70" w14:textId="77777777" w:rsidTr="00820E31">
        <w:trPr>
          <w:trHeight w:val="368"/>
        </w:trPr>
        <w:tc>
          <w:tcPr>
            <w:tcW w:w="1230" w:type="dxa"/>
            <w:shd w:val="clear" w:color="auto" w:fill="auto"/>
            <w:tcMar>
              <w:top w:w="20" w:type="dxa"/>
              <w:left w:w="20" w:type="dxa"/>
              <w:bottom w:w="20" w:type="dxa"/>
              <w:right w:w="20" w:type="dxa"/>
            </w:tcMar>
            <w:vAlign w:val="center"/>
          </w:tcPr>
          <w:p w14:paraId="75F9B48E"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0790AF50"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54A25020"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 Other</w:t>
            </w:r>
          </w:p>
        </w:tc>
        <w:tc>
          <w:tcPr>
            <w:tcW w:w="992" w:type="dxa"/>
            <w:shd w:val="clear" w:color="auto" w:fill="auto"/>
            <w:tcMar>
              <w:top w:w="20" w:type="dxa"/>
              <w:left w:w="20" w:type="dxa"/>
              <w:bottom w:w="20" w:type="dxa"/>
              <w:right w:w="20" w:type="dxa"/>
            </w:tcMar>
            <w:vAlign w:val="center"/>
          </w:tcPr>
          <w:p w14:paraId="71E8C113" w14:textId="59306851"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0943F3DC" w14:textId="08BFB298"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30669C" w:rsidRPr="000D67C6" w14:paraId="63A52B84" w14:textId="77777777" w:rsidTr="00820E31">
        <w:trPr>
          <w:trHeight w:val="368"/>
        </w:trPr>
        <w:tc>
          <w:tcPr>
            <w:tcW w:w="1230" w:type="dxa"/>
            <w:shd w:val="clear" w:color="auto" w:fill="auto"/>
            <w:tcMar>
              <w:top w:w="20" w:type="dxa"/>
              <w:left w:w="20" w:type="dxa"/>
              <w:bottom w:w="20" w:type="dxa"/>
              <w:right w:w="20" w:type="dxa"/>
            </w:tcMar>
            <w:vAlign w:val="center"/>
          </w:tcPr>
          <w:p w14:paraId="01CA2E3A"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445C25EF"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(290)</w:t>
            </w:r>
          </w:p>
        </w:tc>
        <w:tc>
          <w:tcPr>
            <w:tcW w:w="4203" w:type="dxa"/>
            <w:shd w:val="clear" w:color="auto" w:fill="auto"/>
            <w:tcMar>
              <w:top w:w="20" w:type="dxa"/>
              <w:left w:w="20" w:type="dxa"/>
              <w:bottom w:w="20" w:type="dxa"/>
              <w:right w:w="20" w:type="dxa"/>
            </w:tcMar>
            <w:vAlign w:val="center"/>
          </w:tcPr>
          <w:p w14:paraId="1E282AE1"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Past service cost</w:t>
            </w:r>
          </w:p>
        </w:tc>
        <w:tc>
          <w:tcPr>
            <w:tcW w:w="992" w:type="dxa"/>
            <w:shd w:val="clear" w:color="auto" w:fill="auto"/>
            <w:tcMar>
              <w:top w:w="20" w:type="dxa"/>
              <w:left w:w="20" w:type="dxa"/>
              <w:bottom w:w="20" w:type="dxa"/>
              <w:right w:w="20" w:type="dxa"/>
            </w:tcMar>
            <w:vAlign w:val="center"/>
          </w:tcPr>
          <w:p w14:paraId="0601B72F" w14:textId="711BAF6A"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(1,091)</w:t>
            </w:r>
          </w:p>
        </w:tc>
        <w:tc>
          <w:tcPr>
            <w:tcW w:w="1276" w:type="dxa"/>
            <w:shd w:val="clear" w:color="auto" w:fill="auto"/>
            <w:tcMar>
              <w:top w:w="20" w:type="dxa"/>
              <w:left w:w="20" w:type="dxa"/>
              <w:bottom w:w="20" w:type="dxa"/>
              <w:right w:w="20" w:type="dxa"/>
            </w:tcMar>
            <w:vAlign w:val="center"/>
          </w:tcPr>
          <w:p w14:paraId="0ADD3775" w14:textId="48EFE96E"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w:t>
            </w:r>
            <w:r w:rsidR="009B73A8">
              <w:rPr>
                <w:rFonts w:ascii="Arial" w:eastAsia="Verdana" w:hAnsi="Arial" w:cs="Arial"/>
                <w:sz w:val="22"/>
                <w:szCs w:val="22"/>
                <w:lang w:val="en-GB"/>
              </w:rPr>
              <w:t>3</w:t>
            </w:r>
            <w:r w:rsidRPr="000D67C6">
              <w:rPr>
                <w:rFonts w:ascii="Arial" w:eastAsia="Verdana" w:hAnsi="Arial" w:cs="Arial"/>
                <w:sz w:val="22"/>
                <w:szCs w:val="22"/>
                <w:lang w:val="en-GB"/>
              </w:rPr>
              <w:t>,</w:t>
            </w:r>
            <w:r w:rsidR="009B73A8">
              <w:rPr>
                <w:rFonts w:ascii="Arial" w:eastAsia="Verdana" w:hAnsi="Arial" w:cs="Arial"/>
                <w:sz w:val="22"/>
                <w:szCs w:val="22"/>
                <w:lang w:val="en-GB"/>
              </w:rPr>
              <w:t>5</w:t>
            </w:r>
            <w:r w:rsidRPr="000D67C6">
              <w:rPr>
                <w:rFonts w:ascii="Arial" w:eastAsia="Verdana" w:hAnsi="Arial" w:cs="Arial"/>
                <w:sz w:val="22"/>
                <w:szCs w:val="22"/>
                <w:lang w:val="en-GB"/>
              </w:rPr>
              <w:t>30)</w:t>
            </w:r>
          </w:p>
        </w:tc>
      </w:tr>
      <w:tr w:rsidR="0030669C" w:rsidRPr="000D67C6" w14:paraId="28A73EDE" w14:textId="77777777" w:rsidTr="00820E31">
        <w:trPr>
          <w:trHeight w:val="368"/>
        </w:trPr>
        <w:tc>
          <w:tcPr>
            <w:tcW w:w="1230" w:type="dxa"/>
            <w:shd w:val="clear" w:color="auto" w:fill="auto"/>
            <w:tcMar>
              <w:top w:w="20" w:type="dxa"/>
              <w:left w:w="20" w:type="dxa"/>
              <w:bottom w:w="20" w:type="dxa"/>
              <w:right w:w="20" w:type="dxa"/>
            </w:tcMar>
            <w:vAlign w:val="center"/>
          </w:tcPr>
          <w:p w14:paraId="528340A4"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1053BDAE"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77A0777A" w14:textId="77777777" w:rsidR="0030669C" w:rsidRPr="000D67C6" w:rsidRDefault="0030669C" w:rsidP="0030669C">
            <w:pPr>
              <w:pStyle w:val="T1TableStyle"/>
              <w:ind w:left="68" w:hanging="68"/>
              <w:rPr>
                <w:rFonts w:ascii="Arial" w:eastAsia="Verdana" w:hAnsi="Arial" w:cs="Arial"/>
                <w:sz w:val="22"/>
                <w:szCs w:val="22"/>
                <w:lang w:val="en-GB"/>
              </w:rPr>
            </w:pPr>
            <w:r w:rsidRPr="000D67C6">
              <w:rPr>
                <w:rFonts w:ascii="Arial" w:eastAsia="Verdana" w:hAnsi="Arial" w:cs="Arial"/>
                <w:sz w:val="22"/>
                <w:szCs w:val="22"/>
                <w:lang w:val="en-GB"/>
              </w:rPr>
              <w:t xml:space="preserve">  Gains / (losses) on curtailments</w:t>
            </w:r>
          </w:p>
        </w:tc>
        <w:tc>
          <w:tcPr>
            <w:tcW w:w="992" w:type="dxa"/>
            <w:shd w:val="clear" w:color="auto" w:fill="auto"/>
            <w:tcMar>
              <w:top w:w="20" w:type="dxa"/>
              <w:left w:w="20" w:type="dxa"/>
              <w:bottom w:w="20" w:type="dxa"/>
              <w:right w:w="20" w:type="dxa"/>
            </w:tcMar>
            <w:vAlign w:val="center"/>
          </w:tcPr>
          <w:p w14:paraId="62147728" w14:textId="01C4A06D"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462C32D7" w14:textId="339E569E"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30669C" w:rsidRPr="000D67C6" w14:paraId="300632CB" w14:textId="77777777" w:rsidTr="00820E31">
        <w:trPr>
          <w:trHeight w:val="368"/>
        </w:trPr>
        <w:tc>
          <w:tcPr>
            <w:tcW w:w="1230" w:type="dxa"/>
            <w:shd w:val="clear" w:color="auto" w:fill="auto"/>
            <w:tcMar>
              <w:top w:w="20" w:type="dxa"/>
              <w:left w:w="20" w:type="dxa"/>
              <w:bottom w:w="20" w:type="dxa"/>
              <w:right w:w="20" w:type="dxa"/>
            </w:tcMar>
            <w:vAlign w:val="center"/>
          </w:tcPr>
          <w:p w14:paraId="33239F8B"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30" w:type="dxa"/>
            <w:shd w:val="clear" w:color="auto" w:fill="auto"/>
            <w:tcMar>
              <w:top w:w="20" w:type="dxa"/>
              <w:left w:w="20" w:type="dxa"/>
              <w:bottom w:w="20" w:type="dxa"/>
              <w:right w:w="20" w:type="dxa"/>
            </w:tcMar>
            <w:vAlign w:val="center"/>
          </w:tcPr>
          <w:p w14:paraId="78AC699D"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4203" w:type="dxa"/>
            <w:shd w:val="clear" w:color="auto" w:fill="auto"/>
            <w:tcMar>
              <w:top w:w="20" w:type="dxa"/>
              <w:left w:w="20" w:type="dxa"/>
              <w:bottom w:w="20" w:type="dxa"/>
              <w:right w:w="20" w:type="dxa"/>
            </w:tcMar>
            <w:vAlign w:val="center"/>
          </w:tcPr>
          <w:p w14:paraId="095CAF3D" w14:textId="77777777" w:rsidR="0030669C" w:rsidRPr="000D67C6" w:rsidRDefault="0030669C" w:rsidP="0030669C">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Other Movement</w:t>
            </w:r>
          </w:p>
        </w:tc>
        <w:tc>
          <w:tcPr>
            <w:tcW w:w="992" w:type="dxa"/>
            <w:shd w:val="clear" w:color="auto" w:fill="auto"/>
            <w:tcMar>
              <w:top w:w="20" w:type="dxa"/>
              <w:left w:w="20" w:type="dxa"/>
              <w:bottom w:w="20" w:type="dxa"/>
              <w:right w:w="20" w:type="dxa"/>
            </w:tcMar>
            <w:vAlign w:val="center"/>
          </w:tcPr>
          <w:p w14:paraId="43BB6CBC" w14:textId="795FD066"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276" w:type="dxa"/>
            <w:shd w:val="clear" w:color="auto" w:fill="auto"/>
            <w:tcMar>
              <w:top w:w="20" w:type="dxa"/>
              <w:left w:w="20" w:type="dxa"/>
              <w:bottom w:w="20" w:type="dxa"/>
              <w:right w:w="20" w:type="dxa"/>
            </w:tcMar>
            <w:vAlign w:val="center"/>
          </w:tcPr>
          <w:p w14:paraId="08473D45" w14:textId="5FA18EDC"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30669C" w:rsidRPr="000D67C6" w14:paraId="144C193E" w14:textId="77777777" w:rsidTr="00820E31">
        <w:trPr>
          <w:trHeight w:val="368"/>
        </w:trPr>
        <w:tc>
          <w:tcPr>
            <w:tcW w:w="1230" w:type="dxa"/>
            <w:shd w:val="clear" w:color="auto" w:fill="auto"/>
            <w:tcMar>
              <w:top w:w="20" w:type="dxa"/>
              <w:left w:w="20" w:type="dxa"/>
              <w:bottom w:w="20" w:type="dxa"/>
              <w:right w:w="20" w:type="dxa"/>
            </w:tcMar>
            <w:vAlign w:val="center"/>
          </w:tcPr>
          <w:p w14:paraId="78D76E75"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1,560</w:t>
            </w:r>
          </w:p>
        </w:tc>
        <w:tc>
          <w:tcPr>
            <w:tcW w:w="1230" w:type="dxa"/>
            <w:shd w:val="clear" w:color="auto" w:fill="auto"/>
            <w:tcMar>
              <w:top w:w="20" w:type="dxa"/>
              <w:left w:w="20" w:type="dxa"/>
              <w:bottom w:w="20" w:type="dxa"/>
              <w:right w:w="20" w:type="dxa"/>
            </w:tcMar>
            <w:vAlign w:val="center"/>
          </w:tcPr>
          <w:p w14:paraId="7BB5811A" w14:textId="77777777"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13,990</w:t>
            </w:r>
          </w:p>
        </w:tc>
        <w:tc>
          <w:tcPr>
            <w:tcW w:w="4203" w:type="dxa"/>
            <w:shd w:val="clear" w:color="auto" w:fill="auto"/>
            <w:tcMar>
              <w:top w:w="20" w:type="dxa"/>
              <w:left w:w="20" w:type="dxa"/>
              <w:bottom w:w="20" w:type="dxa"/>
              <w:right w:w="20" w:type="dxa"/>
            </w:tcMar>
            <w:vAlign w:val="center"/>
          </w:tcPr>
          <w:p w14:paraId="7D26B35C" w14:textId="77777777" w:rsidR="0030669C" w:rsidRPr="000D67C6" w:rsidRDefault="0030669C" w:rsidP="0030669C">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  Benefits / transfers paid</w:t>
            </w:r>
          </w:p>
        </w:tc>
        <w:tc>
          <w:tcPr>
            <w:tcW w:w="992" w:type="dxa"/>
            <w:shd w:val="clear" w:color="auto" w:fill="auto"/>
            <w:tcMar>
              <w:top w:w="20" w:type="dxa"/>
              <w:left w:w="20" w:type="dxa"/>
              <w:bottom w:w="20" w:type="dxa"/>
              <w:right w:w="20" w:type="dxa"/>
            </w:tcMar>
            <w:vAlign w:val="center"/>
          </w:tcPr>
          <w:p w14:paraId="50BBC66F" w14:textId="19044D2A"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1,099</w:t>
            </w:r>
          </w:p>
        </w:tc>
        <w:tc>
          <w:tcPr>
            <w:tcW w:w="1276" w:type="dxa"/>
            <w:shd w:val="clear" w:color="auto" w:fill="auto"/>
            <w:tcMar>
              <w:top w:w="20" w:type="dxa"/>
              <w:left w:w="20" w:type="dxa"/>
              <w:bottom w:w="20" w:type="dxa"/>
              <w:right w:w="20" w:type="dxa"/>
            </w:tcMar>
            <w:vAlign w:val="center"/>
          </w:tcPr>
          <w:p w14:paraId="4EB86D76" w14:textId="09B459AD" w:rsidR="0030669C" w:rsidRPr="000D67C6" w:rsidRDefault="0030669C" w:rsidP="0030669C">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13,430</w:t>
            </w:r>
          </w:p>
        </w:tc>
      </w:tr>
      <w:tr w:rsidR="0030669C" w:rsidRPr="000D67C6" w14:paraId="5BCBFB82" w14:textId="77777777" w:rsidTr="00343EB0">
        <w:trPr>
          <w:trHeight w:val="504"/>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711D0A" w14:textId="77777777" w:rsidR="0030669C" w:rsidRPr="000D67C6" w:rsidRDefault="0030669C" w:rsidP="0030669C">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(57,586)</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C73E757" w14:textId="77777777" w:rsidR="0030669C" w:rsidRPr="000D67C6" w:rsidRDefault="0030669C" w:rsidP="0030669C">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(493,180)</w:t>
            </w:r>
          </w:p>
        </w:tc>
        <w:tc>
          <w:tcPr>
            <w:tcW w:w="4203"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57EE53A" w14:textId="77777777" w:rsidR="0030669C" w:rsidRPr="000D67C6" w:rsidRDefault="0030669C" w:rsidP="0030669C">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  Balance as at 31 March</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02C95D8" w14:textId="5F24C357" w:rsidR="0030669C" w:rsidRPr="000D67C6" w:rsidRDefault="0030669C" w:rsidP="0030669C">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(65,050)</w:t>
            </w:r>
          </w:p>
        </w:tc>
        <w:tc>
          <w:tcPr>
            <w:tcW w:w="1276"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97D6D03" w14:textId="09D6348E" w:rsidR="0030669C" w:rsidRPr="000D67C6" w:rsidRDefault="0030669C" w:rsidP="0030669C">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(52</w:t>
            </w:r>
            <w:r w:rsidR="00B36BD6">
              <w:rPr>
                <w:rFonts w:ascii="Arial" w:eastAsia="Verdana" w:hAnsi="Arial" w:cs="Arial"/>
                <w:b/>
                <w:sz w:val="22"/>
                <w:szCs w:val="22"/>
                <w:lang w:val="en-GB"/>
              </w:rPr>
              <w:t>4</w:t>
            </w:r>
            <w:r w:rsidRPr="000D67C6">
              <w:rPr>
                <w:rFonts w:ascii="Arial" w:eastAsia="Verdana" w:hAnsi="Arial" w:cs="Arial"/>
                <w:b/>
                <w:sz w:val="22"/>
                <w:szCs w:val="22"/>
                <w:lang w:val="en-GB"/>
              </w:rPr>
              <w:t>,</w:t>
            </w:r>
            <w:r w:rsidR="00833C09">
              <w:rPr>
                <w:rFonts w:ascii="Arial" w:eastAsia="Verdana" w:hAnsi="Arial" w:cs="Arial"/>
                <w:b/>
                <w:sz w:val="22"/>
                <w:szCs w:val="22"/>
                <w:lang w:val="en-GB"/>
              </w:rPr>
              <w:t>2</w:t>
            </w:r>
            <w:r w:rsidRPr="000D67C6">
              <w:rPr>
                <w:rFonts w:ascii="Arial" w:eastAsia="Verdana" w:hAnsi="Arial" w:cs="Arial"/>
                <w:b/>
                <w:sz w:val="22"/>
                <w:szCs w:val="22"/>
                <w:lang w:val="en-GB"/>
              </w:rPr>
              <w:t>87)</w:t>
            </w:r>
          </w:p>
        </w:tc>
      </w:tr>
    </w:tbl>
    <w:p w14:paraId="3B7C87F6" w14:textId="77777777" w:rsidR="008833CE" w:rsidRPr="000D67C6" w:rsidRDefault="008833CE">
      <w:r w:rsidRPr="000D67C6">
        <w:br w:type="page"/>
      </w:r>
    </w:p>
    <w:tbl>
      <w:tblPr>
        <w:tblW w:w="8931" w:type="dxa"/>
        <w:tblLayout w:type="fixed"/>
        <w:tblLook w:val="04A0" w:firstRow="1" w:lastRow="0" w:firstColumn="1" w:lastColumn="0" w:noHBand="0" w:noVBand="1"/>
      </w:tblPr>
      <w:tblGrid>
        <w:gridCol w:w="851"/>
        <w:gridCol w:w="1134"/>
        <w:gridCol w:w="850"/>
        <w:gridCol w:w="284"/>
        <w:gridCol w:w="2835"/>
        <w:gridCol w:w="992"/>
        <w:gridCol w:w="1134"/>
        <w:gridCol w:w="851"/>
      </w:tblGrid>
      <w:tr w:rsidR="00464E99" w:rsidRPr="000D67C6" w14:paraId="184C627B" w14:textId="77777777" w:rsidTr="00B143B2">
        <w:trPr>
          <w:trHeight w:val="330"/>
        </w:trPr>
        <w:tc>
          <w:tcPr>
            <w:tcW w:w="8931" w:type="dxa"/>
            <w:gridSpan w:val="8"/>
            <w:shd w:val="clear" w:color="auto" w:fill="auto"/>
            <w:tcMar>
              <w:top w:w="20" w:type="dxa"/>
              <w:left w:w="20" w:type="dxa"/>
              <w:bottom w:w="20" w:type="dxa"/>
              <w:right w:w="20" w:type="dxa"/>
            </w:tcMar>
            <w:vAlign w:val="bottom"/>
          </w:tcPr>
          <w:p w14:paraId="3378CB20" w14:textId="77777777" w:rsidR="008F013B" w:rsidRPr="000D67C6" w:rsidRDefault="00A91C81">
            <w:pPr>
              <w:pStyle w:val="T1TableStyle"/>
              <w:rPr>
                <w:rFonts w:ascii="Arial" w:eastAsia="Verdana" w:hAnsi="Arial" w:cs="Arial"/>
                <w:b/>
                <w:sz w:val="22"/>
                <w:szCs w:val="22"/>
                <w:lang w:val="en-GB"/>
              </w:rPr>
            </w:pPr>
            <w:r w:rsidRPr="000D67C6">
              <w:rPr>
                <w:rFonts w:ascii="Arial" w:hAnsi="Arial" w:cs="Arial"/>
                <w:sz w:val="22"/>
                <w:szCs w:val="22"/>
              </w:rPr>
              <w:br w:type="page"/>
            </w:r>
            <w:r w:rsidR="008F013B" w:rsidRPr="000D67C6">
              <w:rPr>
                <w:rFonts w:ascii="Arial" w:eastAsia="Verdana" w:hAnsi="Arial" w:cs="Arial"/>
                <w:b/>
                <w:sz w:val="22"/>
                <w:szCs w:val="22"/>
                <w:lang w:val="en-GB"/>
              </w:rPr>
              <w:t>LGPS - Pension Scheme - Assets comprised of:</w:t>
            </w:r>
          </w:p>
          <w:p w14:paraId="3C154D89" w14:textId="77777777" w:rsidR="00820805" w:rsidRPr="000D67C6" w:rsidRDefault="00820805">
            <w:pPr>
              <w:pStyle w:val="T1TableStyle"/>
              <w:rPr>
                <w:rFonts w:ascii="Arial" w:eastAsia="Verdana" w:hAnsi="Arial" w:cs="Arial"/>
                <w:b/>
                <w:sz w:val="22"/>
                <w:szCs w:val="22"/>
                <w:lang w:val="en-GB"/>
              </w:rPr>
            </w:pPr>
          </w:p>
        </w:tc>
      </w:tr>
      <w:tr w:rsidR="00820805" w:rsidRPr="000D67C6" w14:paraId="528FD89A" w14:textId="77777777" w:rsidTr="00663C72">
        <w:trPr>
          <w:trHeight w:val="300"/>
        </w:trPr>
        <w:tc>
          <w:tcPr>
            <w:tcW w:w="2835" w:type="dxa"/>
            <w:gridSpan w:val="3"/>
            <w:shd w:val="clear" w:color="auto" w:fill="auto"/>
            <w:tcMar>
              <w:top w:w="20" w:type="dxa"/>
              <w:left w:w="20" w:type="dxa"/>
              <w:bottom w:w="20" w:type="dxa"/>
              <w:right w:w="20" w:type="dxa"/>
            </w:tcMar>
            <w:vAlign w:val="bottom"/>
          </w:tcPr>
          <w:p w14:paraId="456AB6C4" w14:textId="77777777" w:rsidR="00820805" w:rsidRPr="000D67C6" w:rsidRDefault="00820805" w:rsidP="00820805">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 xml:space="preserve"> </w:t>
            </w:r>
          </w:p>
        </w:tc>
        <w:tc>
          <w:tcPr>
            <w:tcW w:w="284" w:type="dxa"/>
            <w:shd w:val="clear" w:color="auto" w:fill="auto"/>
            <w:tcMar>
              <w:top w:w="20" w:type="dxa"/>
              <w:left w:w="20" w:type="dxa"/>
              <w:bottom w:w="20" w:type="dxa"/>
              <w:right w:w="20" w:type="dxa"/>
            </w:tcMar>
            <w:vAlign w:val="bottom"/>
          </w:tcPr>
          <w:p w14:paraId="29F24BE1" w14:textId="77777777" w:rsidR="00820805" w:rsidRPr="000D67C6" w:rsidRDefault="00820805">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bottom"/>
          </w:tcPr>
          <w:p w14:paraId="4F55C5F0" w14:textId="77777777" w:rsidR="00820805" w:rsidRPr="000D67C6" w:rsidRDefault="00820805">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977" w:type="dxa"/>
            <w:gridSpan w:val="3"/>
            <w:shd w:val="clear" w:color="auto" w:fill="auto"/>
            <w:tcMar>
              <w:top w:w="20" w:type="dxa"/>
              <w:left w:w="20" w:type="dxa"/>
              <w:bottom w:w="20" w:type="dxa"/>
              <w:right w:w="20" w:type="dxa"/>
            </w:tcMar>
            <w:vAlign w:val="bottom"/>
          </w:tcPr>
          <w:p w14:paraId="289761CE" w14:textId="77777777" w:rsidR="00820805" w:rsidRPr="000D67C6" w:rsidRDefault="00820805" w:rsidP="00820805">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r w:rsidRPr="000D67C6">
              <w:rPr>
                <w:rFonts w:ascii="Arial" w:eastAsia="Verdana" w:hAnsi="Arial" w:cs="Arial"/>
                <w:b/>
                <w:sz w:val="22"/>
                <w:szCs w:val="22"/>
                <w:lang w:val="en-GB"/>
              </w:rPr>
              <w:t xml:space="preserve"> </w:t>
            </w:r>
          </w:p>
        </w:tc>
      </w:tr>
      <w:tr w:rsidR="00464E99" w:rsidRPr="000D67C6" w14:paraId="37D01CC0" w14:textId="77777777" w:rsidTr="00B143B2">
        <w:trPr>
          <w:trHeight w:val="300"/>
        </w:trPr>
        <w:tc>
          <w:tcPr>
            <w:tcW w:w="851" w:type="dxa"/>
            <w:shd w:val="clear" w:color="auto" w:fill="auto"/>
            <w:tcMar>
              <w:top w:w="20" w:type="dxa"/>
              <w:left w:w="20" w:type="dxa"/>
              <w:bottom w:w="20" w:type="dxa"/>
              <w:right w:w="20" w:type="dxa"/>
            </w:tcMar>
            <w:vAlign w:val="bottom"/>
          </w:tcPr>
          <w:p w14:paraId="737571B2"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Quoted</w:t>
            </w:r>
          </w:p>
        </w:tc>
        <w:tc>
          <w:tcPr>
            <w:tcW w:w="1134" w:type="dxa"/>
            <w:shd w:val="clear" w:color="auto" w:fill="auto"/>
            <w:tcMar>
              <w:top w:w="20" w:type="dxa"/>
              <w:left w:w="20" w:type="dxa"/>
              <w:bottom w:w="20" w:type="dxa"/>
              <w:right w:w="20" w:type="dxa"/>
            </w:tcMar>
            <w:vAlign w:val="bottom"/>
          </w:tcPr>
          <w:p w14:paraId="7B97AD20"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Unquoted</w:t>
            </w:r>
          </w:p>
        </w:tc>
        <w:tc>
          <w:tcPr>
            <w:tcW w:w="850" w:type="dxa"/>
            <w:shd w:val="clear" w:color="auto" w:fill="auto"/>
            <w:tcMar>
              <w:top w:w="20" w:type="dxa"/>
              <w:left w:w="20" w:type="dxa"/>
              <w:bottom w:w="20" w:type="dxa"/>
              <w:right w:w="20" w:type="dxa"/>
            </w:tcMar>
            <w:vAlign w:val="bottom"/>
          </w:tcPr>
          <w:p w14:paraId="04D9A162"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Total</w:t>
            </w:r>
          </w:p>
        </w:tc>
        <w:tc>
          <w:tcPr>
            <w:tcW w:w="284" w:type="dxa"/>
            <w:shd w:val="clear" w:color="auto" w:fill="auto"/>
            <w:tcMar>
              <w:top w:w="20" w:type="dxa"/>
              <w:left w:w="20" w:type="dxa"/>
              <w:bottom w:w="20" w:type="dxa"/>
              <w:right w:w="20" w:type="dxa"/>
            </w:tcMar>
            <w:vAlign w:val="bottom"/>
          </w:tcPr>
          <w:p w14:paraId="2C10F0B7" w14:textId="77777777" w:rsidR="008F013B" w:rsidRPr="000D67C6" w:rsidRDefault="008F013B">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bottom"/>
          </w:tcPr>
          <w:p w14:paraId="20EF543B" w14:textId="77777777" w:rsidR="008F013B" w:rsidRPr="000D67C6" w:rsidRDefault="00B05F79" w:rsidP="00B05F79">
            <w:pPr>
              <w:pStyle w:val="T1TableStyle"/>
              <w:jc w:val="center"/>
              <w:rPr>
                <w:rFonts w:ascii="Arial" w:eastAsia="Verdana" w:hAnsi="Arial" w:cs="Arial"/>
                <w:sz w:val="22"/>
                <w:szCs w:val="22"/>
                <w:lang w:val="en-GB"/>
              </w:rPr>
            </w:pPr>
            <w:r w:rsidRPr="000D67C6">
              <w:rPr>
                <w:rFonts w:ascii="Arial" w:eastAsia="Verdana" w:hAnsi="Arial" w:cs="Arial"/>
                <w:b/>
                <w:sz w:val="22"/>
                <w:szCs w:val="22"/>
                <w:lang w:val="en-GB"/>
              </w:rPr>
              <w:t>Fair value of scheme assets</w:t>
            </w:r>
          </w:p>
        </w:tc>
        <w:tc>
          <w:tcPr>
            <w:tcW w:w="992" w:type="dxa"/>
            <w:shd w:val="clear" w:color="auto" w:fill="auto"/>
            <w:tcMar>
              <w:top w:w="20" w:type="dxa"/>
              <w:left w:w="20" w:type="dxa"/>
              <w:bottom w:w="20" w:type="dxa"/>
              <w:right w:w="20" w:type="dxa"/>
            </w:tcMar>
            <w:vAlign w:val="bottom"/>
          </w:tcPr>
          <w:p w14:paraId="187F144F"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Quoted</w:t>
            </w:r>
          </w:p>
        </w:tc>
        <w:tc>
          <w:tcPr>
            <w:tcW w:w="1134" w:type="dxa"/>
            <w:shd w:val="clear" w:color="auto" w:fill="auto"/>
            <w:tcMar>
              <w:top w:w="20" w:type="dxa"/>
              <w:left w:w="20" w:type="dxa"/>
              <w:bottom w:w="20" w:type="dxa"/>
              <w:right w:w="20" w:type="dxa"/>
            </w:tcMar>
            <w:vAlign w:val="bottom"/>
          </w:tcPr>
          <w:p w14:paraId="5E3AC901"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Unquoted</w:t>
            </w:r>
          </w:p>
        </w:tc>
        <w:tc>
          <w:tcPr>
            <w:tcW w:w="851" w:type="dxa"/>
            <w:shd w:val="clear" w:color="auto" w:fill="auto"/>
            <w:tcMar>
              <w:top w:w="20" w:type="dxa"/>
              <w:left w:w="20" w:type="dxa"/>
              <w:bottom w:w="20" w:type="dxa"/>
              <w:right w:w="20" w:type="dxa"/>
            </w:tcMar>
            <w:vAlign w:val="bottom"/>
          </w:tcPr>
          <w:p w14:paraId="103E0EF2"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Total</w:t>
            </w:r>
          </w:p>
        </w:tc>
      </w:tr>
      <w:tr w:rsidR="00464E99" w:rsidRPr="000D67C6" w14:paraId="0971E2A7" w14:textId="77777777" w:rsidTr="00B143B2">
        <w:trPr>
          <w:trHeight w:val="300"/>
        </w:trPr>
        <w:tc>
          <w:tcPr>
            <w:tcW w:w="851" w:type="dxa"/>
            <w:tcBorders>
              <w:bottom w:val="single" w:sz="2" w:space="0" w:color="000000"/>
            </w:tcBorders>
            <w:shd w:val="clear" w:color="auto" w:fill="auto"/>
            <w:tcMar>
              <w:top w:w="20" w:type="dxa"/>
              <w:left w:w="20" w:type="dxa"/>
              <w:bottom w:w="20" w:type="dxa"/>
              <w:right w:w="20" w:type="dxa"/>
            </w:tcMar>
            <w:vAlign w:val="bottom"/>
          </w:tcPr>
          <w:p w14:paraId="45EBCC7D"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134" w:type="dxa"/>
            <w:tcBorders>
              <w:bottom w:val="single" w:sz="2" w:space="0" w:color="000000"/>
            </w:tcBorders>
            <w:shd w:val="clear" w:color="auto" w:fill="auto"/>
            <w:tcMar>
              <w:top w:w="20" w:type="dxa"/>
              <w:left w:w="20" w:type="dxa"/>
              <w:bottom w:w="20" w:type="dxa"/>
              <w:right w:w="20" w:type="dxa"/>
            </w:tcMar>
            <w:vAlign w:val="bottom"/>
          </w:tcPr>
          <w:p w14:paraId="0210AFFB"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850" w:type="dxa"/>
            <w:tcBorders>
              <w:bottom w:val="single" w:sz="2" w:space="0" w:color="000000"/>
            </w:tcBorders>
            <w:shd w:val="clear" w:color="auto" w:fill="auto"/>
            <w:tcMar>
              <w:top w:w="20" w:type="dxa"/>
              <w:left w:w="20" w:type="dxa"/>
              <w:bottom w:w="20" w:type="dxa"/>
              <w:right w:w="20" w:type="dxa"/>
            </w:tcMar>
            <w:vAlign w:val="bottom"/>
          </w:tcPr>
          <w:p w14:paraId="553BD81F"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284" w:type="dxa"/>
            <w:tcBorders>
              <w:bottom w:val="single" w:sz="2" w:space="0" w:color="000000"/>
            </w:tcBorders>
            <w:shd w:val="clear" w:color="auto" w:fill="auto"/>
            <w:tcMar>
              <w:top w:w="20" w:type="dxa"/>
              <w:left w:w="20" w:type="dxa"/>
              <w:bottom w:w="20" w:type="dxa"/>
              <w:right w:w="20" w:type="dxa"/>
            </w:tcMar>
            <w:vAlign w:val="bottom"/>
          </w:tcPr>
          <w:p w14:paraId="73DEEFFB"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bottom w:val="single" w:sz="2" w:space="0" w:color="000000"/>
            </w:tcBorders>
            <w:shd w:val="clear" w:color="auto" w:fill="auto"/>
            <w:tcMar>
              <w:top w:w="20" w:type="dxa"/>
              <w:left w:w="20" w:type="dxa"/>
              <w:bottom w:w="20" w:type="dxa"/>
              <w:right w:w="20" w:type="dxa"/>
            </w:tcMar>
            <w:vAlign w:val="bottom"/>
          </w:tcPr>
          <w:p w14:paraId="4AA97568"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992" w:type="dxa"/>
            <w:tcBorders>
              <w:bottom w:val="single" w:sz="2" w:space="0" w:color="000000"/>
            </w:tcBorders>
            <w:shd w:val="clear" w:color="auto" w:fill="auto"/>
            <w:tcMar>
              <w:top w:w="20" w:type="dxa"/>
              <w:left w:w="20" w:type="dxa"/>
              <w:bottom w:w="20" w:type="dxa"/>
              <w:right w:w="20" w:type="dxa"/>
            </w:tcMar>
            <w:vAlign w:val="bottom"/>
          </w:tcPr>
          <w:p w14:paraId="6209EF1F"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134" w:type="dxa"/>
            <w:tcBorders>
              <w:bottom w:val="single" w:sz="2" w:space="0" w:color="000000"/>
            </w:tcBorders>
            <w:shd w:val="clear" w:color="auto" w:fill="auto"/>
            <w:tcMar>
              <w:top w:w="20" w:type="dxa"/>
              <w:left w:w="20" w:type="dxa"/>
              <w:bottom w:w="20" w:type="dxa"/>
              <w:right w:w="20" w:type="dxa"/>
            </w:tcMar>
            <w:vAlign w:val="bottom"/>
          </w:tcPr>
          <w:p w14:paraId="32275805"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851" w:type="dxa"/>
            <w:tcBorders>
              <w:bottom w:val="single" w:sz="2" w:space="0" w:color="000000"/>
            </w:tcBorders>
            <w:shd w:val="clear" w:color="auto" w:fill="auto"/>
            <w:tcMar>
              <w:top w:w="20" w:type="dxa"/>
              <w:left w:w="20" w:type="dxa"/>
              <w:bottom w:w="20" w:type="dxa"/>
              <w:right w:w="20" w:type="dxa"/>
            </w:tcMar>
            <w:vAlign w:val="bottom"/>
          </w:tcPr>
          <w:p w14:paraId="2A6896E7"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464E99" w:rsidRPr="000D67C6" w14:paraId="52FF0638" w14:textId="77777777" w:rsidTr="00820805">
        <w:trPr>
          <w:trHeight w:val="300"/>
        </w:trPr>
        <w:tc>
          <w:tcPr>
            <w:tcW w:w="851" w:type="dxa"/>
            <w:shd w:val="clear" w:color="auto" w:fill="auto"/>
            <w:tcMar>
              <w:top w:w="20" w:type="dxa"/>
              <w:left w:w="20" w:type="dxa"/>
              <w:bottom w:w="20" w:type="dxa"/>
              <w:right w:w="20" w:type="dxa"/>
            </w:tcMar>
            <w:vAlign w:val="center"/>
          </w:tcPr>
          <w:p w14:paraId="7110E620"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shd w:val="clear" w:color="auto" w:fill="auto"/>
            <w:tcMar>
              <w:top w:w="20" w:type="dxa"/>
              <w:left w:w="20" w:type="dxa"/>
              <w:bottom w:w="20" w:type="dxa"/>
              <w:right w:w="20" w:type="dxa"/>
            </w:tcMar>
            <w:vAlign w:val="center"/>
          </w:tcPr>
          <w:p w14:paraId="30594214"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850" w:type="dxa"/>
            <w:shd w:val="clear" w:color="auto" w:fill="auto"/>
            <w:tcMar>
              <w:top w:w="20" w:type="dxa"/>
              <w:left w:w="20" w:type="dxa"/>
              <w:bottom w:w="20" w:type="dxa"/>
              <w:right w:w="20" w:type="dxa"/>
            </w:tcMar>
            <w:vAlign w:val="center"/>
          </w:tcPr>
          <w:p w14:paraId="6B48B4D5"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4" w:type="dxa"/>
            <w:shd w:val="clear" w:color="auto" w:fill="auto"/>
            <w:tcMar>
              <w:top w:w="20" w:type="dxa"/>
              <w:left w:w="20" w:type="dxa"/>
              <w:bottom w:w="20" w:type="dxa"/>
              <w:right w:w="20" w:type="dxa"/>
            </w:tcMar>
            <w:vAlign w:val="center"/>
          </w:tcPr>
          <w:p w14:paraId="5F4E38BA" w14:textId="77777777" w:rsidR="008F013B" w:rsidRPr="000D67C6" w:rsidRDefault="008F013B">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2835" w:type="dxa"/>
            <w:shd w:val="clear" w:color="auto" w:fill="auto"/>
            <w:tcMar>
              <w:top w:w="20" w:type="dxa"/>
              <w:left w:w="20" w:type="dxa"/>
              <w:bottom w:w="20" w:type="dxa"/>
              <w:right w:w="20" w:type="dxa"/>
            </w:tcMar>
            <w:vAlign w:val="center"/>
          </w:tcPr>
          <w:p w14:paraId="56E32065" w14:textId="77777777" w:rsidR="008F013B" w:rsidRPr="000D67C6" w:rsidRDefault="008F013B">
            <w:pPr>
              <w:pStyle w:val="T1TableStyle"/>
              <w:rPr>
                <w:rFonts w:ascii="Arial" w:eastAsia="Verdana" w:hAnsi="Arial" w:cs="Arial"/>
                <w:b/>
                <w:sz w:val="22"/>
                <w:szCs w:val="22"/>
                <w:lang w:val="en-GB"/>
              </w:rPr>
            </w:pPr>
            <w:r w:rsidRPr="000D67C6">
              <w:rPr>
                <w:rFonts w:ascii="Arial" w:eastAsia="Verdana" w:hAnsi="Arial" w:cs="Arial"/>
                <w:b/>
                <w:sz w:val="22"/>
                <w:szCs w:val="22"/>
                <w:lang w:val="en-GB"/>
              </w:rPr>
              <w:t>Cash and cash equivalents</w:t>
            </w:r>
          </w:p>
        </w:tc>
        <w:tc>
          <w:tcPr>
            <w:tcW w:w="992" w:type="dxa"/>
            <w:shd w:val="clear" w:color="auto" w:fill="auto"/>
            <w:tcMar>
              <w:top w:w="20" w:type="dxa"/>
              <w:left w:w="20" w:type="dxa"/>
              <w:bottom w:w="20" w:type="dxa"/>
              <w:right w:w="20" w:type="dxa"/>
            </w:tcMar>
            <w:vAlign w:val="center"/>
          </w:tcPr>
          <w:p w14:paraId="625EA0F3"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shd w:val="clear" w:color="auto" w:fill="auto"/>
            <w:tcMar>
              <w:top w:w="20" w:type="dxa"/>
              <w:left w:w="20" w:type="dxa"/>
              <w:bottom w:w="20" w:type="dxa"/>
              <w:right w:w="20" w:type="dxa"/>
            </w:tcMar>
            <w:vAlign w:val="center"/>
          </w:tcPr>
          <w:p w14:paraId="63517772"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851" w:type="dxa"/>
            <w:shd w:val="clear" w:color="auto" w:fill="auto"/>
            <w:tcMar>
              <w:top w:w="20" w:type="dxa"/>
              <w:left w:w="20" w:type="dxa"/>
              <w:bottom w:w="20" w:type="dxa"/>
              <w:right w:w="20" w:type="dxa"/>
            </w:tcMar>
            <w:vAlign w:val="center"/>
          </w:tcPr>
          <w:p w14:paraId="47604334" w14:textId="77777777" w:rsidR="008F013B" w:rsidRPr="000D67C6" w:rsidRDefault="008F013B">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r>
      <w:tr w:rsidR="00EB0FB8" w:rsidRPr="000D67C6" w14:paraId="7D2BB9F2" w14:textId="77777777" w:rsidTr="00820805">
        <w:trPr>
          <w:trHeight w:val="300"/>
        </w:trPr>
        <w:tc>
          <w:tcPr>
            <w:tcW w:w="851" w:type="dxa"/>
            <w:shd w:val="clear" w:color="auto" w:fill="auto"/>
            <w:tcMar>
              <w:top w:w="20" w:type="dxa"/>
              <w:left w:w="20" w:type="dxa"/>
              <w:bottom w:w="20" w:type="dxa"/>
              <w:right w:w="20" w:type="dxa"/>
            </w:tcMar>
            <w:vAlign w:val="center"/>
          </w:tcPr>
          <w:p w14:paraId="1C9E748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05E82A65"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36AF1AA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4" w:type="dxa"/>
            <w:shd w:val="clear" w:color="auto" w:fill="auto"/>
            <w:tcMar>
              <w:top w:w="20" w:type="dxa"/>
              <w:left w:w="20" w:type="dxa"/>
              <w:bottom w:w="20" w:type="dxa"/>
              <w:right w:w="20" w:type="dxa"/>
            </w:tcMar>
            <w:vAlign w:val="center"/>
          </w:tcPr>
          <w:p w14:paraId="769DD706"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204EEC08"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Cash instruments</w:t>
            </w:r>
          </w:p>
        </w:tc>
        <w:tc>
          <w:tcPr>
            <w:tcW w:w="992" w:type="dxa"/>
            <w:shd w:val="clear" w:color="auto" w:fill="auto"/>
            <w:tcMar>
              <w:top w:w="20" w:type="dxa"/>
              <w:left w:w="20" w:type="dxa"/>
              <w:bottom w:w="20" w:type="dxa"/>
              <w:right w:w="20" w:type="dxa"/>
            </w:tcMar>
            <w:vAlign w:val="center"/>
          </w:tcPr>
          <w:p w14:paraId="0EC1A349" w14:textId="47D264E0"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5A1D9B9" w14:textId="342BA365"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1D2A5C82" w14:textId="6259E799"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25177DBD" w14:textId="77777777" w:rsidTr="00820805">
        <w:trPr>
          <w:trHeight w:val="300"/>
        </w:trPr>
        <w:tc>
          <w:tcPr>
            <w:tcW w:w="851" w:type="dxa"/>
            <w:shd w:val="clear" w:color="auto" w:fill="auto"/>
            <w:tcMar>
              <w:top w:w="20" w:type="dxa"/>
              <w:left w:w="20" w:type="dxa"/>
              <w:bottom w:w="20" w:type="dxa"/>
              <w:right w:w="20" w:type="dxa"/>
            </w:tcMar>
            <w:vAlign w:val="center"/>
          </w:tcPr>
          <w:p w14:paraId="11896723"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140</w:t>
            </w:r>
          </w:p>
        </w:tc>
        <w:tc>
          <w:tcPr>
            <w:tcW w:w="1134" w:type="dxa"/>
            <w:shd w:val="clear" w:color="auto" w:fill="auto"/>
            <w:tcMar>
              <w:top w:w="20" w:type="dxa"/>
              <w:left w:w="20" w:type="dxa"/>
              <w:bottom w:w="20" w:type="dxa"/>
              <w:right w:w="20" w:type="dxa"/>
            </w:tcMar>
            <w:vAlign w:val="center"/>
          </w:tcPr>
          <w:p w14:paraId="5F4664AF"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2A91658B"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140</w:t>
            </w:r>
          </w:p>
        </w:tc>
        <w:tc>
          <w:tcPr>
            <w:tcW w:w="284" w:type="dxa"/>
            <w:shd w:val="clear" w:color="auto" w:fill="auto"/>
            <w:tcMar>
              <w:top w:w="20" w:type="dxa"/>
              <w:left w:w="20" w:type="dxa"/>
              <w:bottom w:w="20" w:type="dxa"/>
              <w:right w:w="20" w:type="dxa"/>
            </w:tcMar>
            <w:vAlign w:val="center"/>
          </w:tcPr>
          <w:p w14:paraId="26F1426A"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108DA9D6"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Cash accounts</w:t>
            </w:r>
          </w:p>
        </w:tc>
        <w:tc>
          <w:tcPr>
            <w:tcW w:w="992" w:type="dxa"/>
            <w:shd w:val="clear" w:color="auto" w:fill="auto"/>
            <w:tcMar>
              <w:top w:w="20" w:type="dxa"/>
              <w:left w:w="20" w:type="dxa"/>
              <w:bottom w:w="20" w:type="dxa"/>
              <w:right w:w="20" w:type="dxa"/>
            </w:tcMar>
            <w:vAlign w:val="center"/>
          </w:tcPr>
          <w:p w14:paraId="25B93B9A" w14:textId="3C6235E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298</w:t>
            </w:r>
          </w:p>
        </w:tc>
        <w:tc>
          <w:tcPr>
            <w:tcW w:w="1134" w:type="dxa"/>
            <w:shd w:val="clear" w:color="auto" w:fill="auto"/>
            <w:tcMar>
              <w:top w:w="20" w:type="dxa"/>
              <w:left w:w="20" w:type="dxa"/>
              <w:bottom w:w="20" w:type="dxa"/>
              <w:right w:w="20" w:type="dxa"/>
            </w:tcMar>
            <w:vAlign w:val="center"/>
          </w:tcPr>
          <w:p w14:paraId="4E305A03" w14:textId="5F3F8AD8"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2FFA017A" w14:textId="58959AA1"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298</w:t>
            </w:r>
          </w:p>
        </w:tc>
      </w:tr>
      <w:tr w:rsidR="00EB0FB8" w:rsidRPr="000D67C6" w14:paraId="67DA4A50" w14:textId="77777777" w:rsidTr="00820805">
        <w:trPr>
          <w:trHeight w:val="300"/>
        </w:trPr>
        <w:tc>
          <w:tcPr>
            <w:tcW w:w="851" w:type="dxa"/>
            <w:shd w:val="clear" w:color="auto" w:fill="auto"/>
            <w:tcMar>
              <w:top w:w="20" w:type="dxa"/>
              <w:left w:w="20" w:type="dxa"/>
              <w:bottom w:w="20" w:type="dxa"/>
              <w:right w:w="20" w:type="dxa"/>
            </w:tcMar>
            <w:vAlign w:val="center"/>
          </w:tcPr>
          <w:p w14:paraId="113F7C07"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4B85CD2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140</w:t>
            </w:r>
          </w:p>
        </w:tc>
        <w:tc>
          <w:tcPr>
            <w:tcW w:w="850" w:type="dxa"/>
            <w:shd w:val="clear" w:color="auto" w:fill="auto"/>
            <w:tcMar>
              <w:top w:w="20" w:type="dxa"/>
              <w:left w:w="20" w:type="dxa"/>
              <w:bottom w:w="20" w:type="dxa"/>
              <w:right w:w="20" w:type="dxa"/>
            </w:tcMar>
            <w:vAlign w:val="center"/>
          </w:tcPr>
          <w:p w14:paraId="671BCB8C"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140</w:t>
            </w:r>
          </w:p>
        </w:tc>
        <w:tc>
          <w:tcPr>
            <w:tcW w:w="284" w:type="dxa"/>
            <w:shd w:val="clear" w:color="auto" w:fill="auto"/>
            <w:tcMar>
              <w:top w:w="20" w:type="dxa"/>
              <w:left w:w="20" w:type="dxa"/>
              <w:bottom w:w="20" w:type="dxa"/>
              <w:right w:w="20" w:type="dxa"/>
            </w:tcMar>
            <w:vAlign w:val="center"/>
          </w:tcPr>
          <w:p w14:paraId="305CA229"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6CC5D2BD"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Net current assets</w:t>
            </w:r>
          </w:p>
        </w:tc>
        <w:tc>
          <w:tcPr>
            <w:tcW w:w="992" w:type="dxa"/>
            <w:shd w:val="clear" w:color="auto" w:fill="auto"/>
            <w:tcMar>
              <w:top w:w="20" w:type="dxa"/>
              <w:left w:w="20" w:type="dxa"/>
              <w:bottom w:w="20" w:type="dxa"/>
              <w:right w:w="20" w:type="dxa"/>
            </w:tcMar>
            <w:vAlign w:val="center"/>
          </w:tcPr>
          <w:p w14:paraId="7C328050" w14:textId="5BF716BC"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8716D61" w14:textId="1ED2CE1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727E06DD" w14:textId="45653D7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1E128786" w14:textId="77777777" w:rsidTr="00820805">
        <w:trPr>
          <w:trHeight w:val="315"/>
        </w:trPr>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C61CCFC"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140</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F01A4EF"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140</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D211FF1"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280</w:t>
            </w:r>
          </w:p>
        </w:tc>
        <w:tc>
          <w:tcPr>
            <w:tcW w:w="28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AD34675" w14:textId="77777777" w:rsidR="00EB0FB8" w:rsidRPr="000D67C6" w:rsidRDefault="00EB0FB8" w:rsidP="00EB0FB8">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642AB2D"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Subtotal Cash and cash equivalents</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6ADD1CA" w14:textId="2469421D"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298</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555F032" w14:textId="065F04FC"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CECA8BE" w14:textId="3D0E2D51"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29</w:t>
            </w:r>
            <w:r w:rsidR="00526314">
              <w:rPr>
                <w:rFonts w:ascii="Arial" w:eastAsia="Verdana" w:hAnsi="Arial" w:cs="Arial"/>
                <w:b/>
                <w:sz w:val="22"/>
                <w:szCs w:val="22"/>
                <w:lang w:val="en-GB"/>
              </w:rPr>
              <w:t>8</w:t>
            </w:r>
          </w:p>
        </w:tc>
      </w:tr>
      <w:tr w:rsidR="00EB0FB8" w:rsidRPr="000D67C6" w14:paraId="195BDBBB" w14:textId="77777777" w:rsidTr="00820805">
        <w:trPr>
          <w:trHeight w:val="300"/>
        </w:trPr>
        <w:tc>
          <w:tcPr>
            <w:tcW w:w="851" w:type="dxa"/>
            <w:shd w:val="clear" w:color="auto" w:fill="auto"/>
            <w:tcMar>
              <w:top w:w="20" w:type="dxa"/>
              <w:left w:w="20" w:type="dxa"/>
              <w:bottom w:w="20" w:type="dxa"/>
              <w:right w:w="20" w:type="dxa"/>
            </w:tcMar>
            <w:vAlign w:val="center"/>
          </w:tcPr>
          <w:p w14:paraId="47E5D4F4" w14:textId="77777777" w:rsidR="00EB0FB8" w:rsidRPr="000D67C6" w:rsidRDefault="00EB0FB8" w:rsidP="00EB0FB8">
            <w:pPr>
              <w:pStyle w:val="T1TableStyle"/>
              <w:jc w:val="center"/>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vAlign w:val="center"/>
          </w:tcPr>
          <w:p w14:paraId="57277419" w14:textId="77777777" w:rsidR="00EB0FB8" w:rsidRPr="000D67C6" w:rsidRDefault="00EB0FB8" w:rsidP="00EB0FB8">
            <w:pPr>
              <w:pStyle w:val="T1TableStyle"/>
              <w:jc w:val="center"/>
              <w:rPr>
                <w:rFonts w:ascii="Arial" w:eastAsia="Verdana" w:hAnsi="Arial" w:cs="Arial"/>
                <w:sz w:val="22"/>
                <w:szCs w:val="22"/>
                <w:lang w:val="en-GB"/>
              </w:rPr>
            </w:pPr>
          </w:p>
        </w:tc>
        <w:tc>
          <w:tcPr>
            <w:tcW w:w="850" w:type="dxa"/>
            <w:shd w:val="clear" w:color="auto" w:fill="auto"/>
            <w:tcMar>
              <w:top w:w="20" w:type="dxa"/>
              <w:left w:w="20" w:type="dxa"/>
              <w:bottom w:w="20" w:type="dxa"/>
              <w:right w:w="20" w:type="dxa"/>
            </w:tcMar>
            <w:vAlign w:val="center"/>
          </w:tcPr>
          <w:p w14:paraId="1F9DCCA9" w14:textId="77777777" w:rsidR="00EB0FB8" w:rsidRPr="000D67C6" w:rsidRDefault="00EB0FB8" w:rsidP="00EB0FB8">
            <w:pPr>
              <w:pStyle w:val="T1TableStyle"/>
              <w:jc w:val="center"/>
              <w:rPr>
                <w:rFonts w:ascii="Arial" w:eastAsia="Verdana" w:hAnsi="Arial" w:cs="Arial"/>
                <w:sz w:val="22"/>
                <w:szCs w:val="22"/>
                <w:lang w:val="en-GB"/>
              </w:rPr>
            </w:pPr>
          </w:p>
        </w:tc>
        <w:tc>
          <w:tcPr>
            <w:tcW w:w="284" w:type="dxa"/>
            <w:shd w:val="clear" w:color="auto" w:fill="auto"/>
            <w:tcMar>
              <w:top w:w="20" w:type="dxa"/>
              <w:left w:w="20" w:type="dxa"/>
              <w:bottom w:w="20" w:type="dxa"/>
              <w:right w:w="20" w:type="dxa"/>
            </w:tcMar>
            <w:vAlign w:val="center"/>
          </w:tcPr>
          <w:p w14:paraId="03C12040" w14:textId="77777777" w:rsidR="00EB0FB8" w:rsidRPr="000D67C6" w:rsidRDefault="00EB0FB8" w:rsidP="00EB0FB8">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2835" w:type="dxa"/>
            <w:shd w:val="clear" w:color="auto" w:fill="auto"/>
            <w:tcMar>
              <w:top w:w="20" w:type="dxa"/>
              <w:left w:w="20" w:type="dxa"/>
              <w:bottom w:w="20" w:type="dxa"/>
              <w:right w:w="20" w:type="dxa"/>
            </w:tcMar>
            <w:vAlign w:val="center"/>
          </w:tcPr>
          <w:p w14:paraId="22FEFB36"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Equities</w:t>
            </w:r>
          </w:p>
        </w:tc>
        <w:tc>
          <w:tcPr>
            <w:tcW w:w="992" w:type="dxa"/>
            <w:shd w:val="clear" w:color="auto" w:fill="auto"/>
            <w:tcMar>
              <w:top w:w="20" w:type="dxa"/>
              <w:left w:w="20" w:type="dxa"/>
              <w:bottom w:w="20" w:type="dxa"/>
              <w:right w:w="20" w:type="dxa"/>
            </w:tcMar>
            <w:vAlign w:val="center"/>
          </w:tcPr>
          <w:p w14:paraId="2AF816CB" w14:textId="77777777" w:rsidR="00EB0FB8" w:rsidRPr="000D67C6" w:rsidRDefault="00EB0FB8" w:rsidP="00EB0FB8">
            <w:pPr>
              <w:pStyle w:val="T1TableStyle"/>
              <w:jc w:val="center"/>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vAlign w:val="center"/>
          </w:tcPr>
          <w:p w14:paraId="0A8F2ADD" w14:textId="77777777" w:rsidR="00EB0FB8" w:rsidRPr="000D67C6" w:rsidRDefault="00EB0FB8" w:rsidP="00EB0FB8">
            <w:pPr>
              <w:pStyle w:val="T1TableStyle"/>
              <w:jc w:val="center"/>
              <w:rPr>
                <w:rFonts w:ascii="Arial" w:eastAsia="Verdana" w:hAnsi="Arial" w:cs="Arial"/>
                <w:sz w:val="22"/>
                <w:szCs w:val="22"/>
                <w:lang w:val="en-GB"/>
              </w:rPr>
            </w:pPr>
          </w:p>
        </w:tc>
        <w:tc>
          <w:tcPr>
            <w:tcW w:w="851" w:type="dxa"/>
            <w:shd w:val="clear" w:color="auto" w:fill="auto"/>
            <w:tcMar>
              <w:top w:w="20" w:type="dxa"/>
              <w:left w:w="20" w:type="dxa"/>
              <w:bottom w:w="20" w:type="dxa"/>
              <w:right w:w="20" w:type="dxa"/>
            </w:tcMar>
            <w:vAlign w:val="center"/>
          </w:tcPr>
          <w:p w14:paraId="316C0DD8" w14:textId="77777777" w:rsidR="00EB0FB8" w:rsidRPr="000D67C6" w:rsidRDefault="00EB0FB8" w:rsidP="00EB0FB8">
            <w:pPr>
              <w:pStyle w:val="T1TableStyle"/>
              <w:jc w:val="center"/>
              <w:rPr>
                <w:rFonts w:ascii="Arial" w:eastAsia="Verdana" w:hAnsi="Arial" w:cs="Arial"/>
                <w:sz w:val="22"/>
                <w:szCs w:val="22"/>
                <w:lang w:val="en-GB"/>
              </w:rPr>
            </w:pPr>
          </w:p>
        </w:tc>
      </w:tr>
      <w:tr w:rsidR="00EB0FB8" w:rsidRPr="000D67C6" w14:paraId="3BBDC77D" w14:textId="77777777" w:rsidTr="00820805">
        <w:trPr>
          <w:trHeight w:val="300"/>
        </w:trPr>
        <w:tc>
          <w:tcPr>
            <w:tcW w:w="851" w:type="dxa"/>
            <w:shd w:val="clear" w:color="auto" w:fill="auto"/>
            <w:tcMar>
              <w:top w:w="20" w:type="dxa"/>
              <w:left w:w="20" w:type="dxa"/>
              <w:bottom w:w="20" w:type="dxa"/>
              <w:right w:w="20" w:type="dxa"/>
            </w:tcMar>
            <w:vAlign w:val="center"/>
          </w:tcPr>
          <w:p w14:paraId="74095A9D"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9,444</w:t>
            </w:r>
          </w:p>
        </w:tc>
        <w:tc>
          <w:tcPr>
            <w:tcW w:w="1134" w:type="dxa"/>
            <w:shd w:val="clear" w:color="auto" w:fill="auto"/>
            <w:tcMar>
              <w:top w:w="20" w:type="dxa"/>
              <w:left w:w="20" w:type="dxa"/>
              <w:bottom w:w="20" w:type="dxa"/>
              <w:right w:w="20" w:type="dxa"/>
            </w:tcMar>
            <w:vAlign w:val="center"/>
          </w:tcPr>
          <w:p w14:paraId="25E6366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0BC16FD3"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9,444</w:t>
            </w:r>
          </w:p>
        </w:tc>
        <w:tc>
          <w:tcPr>
            <w:tcW w:w="284" w:type="dxa"/>
            <w:shd w:val="clear" w:color="auto" w:fill="auto"/>
            <w:tcMar>
              <w:top w:w="20" w:type="dxa"/>
              <w:left w:w="20" w:type="dxa"/>
              <w:bottom w:w="20" w:type="dxa"/>
              <w:right w:w="20" w:type="dxa"/>
            </w:tcMar>
            <w:vAlign w:val="center"/>
          </w:tcPr>
          <w:p w14:paraId="16EBAECC"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6A9D83FA"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UK Quoted</w:t>
            </w:r>
          </w:p>
        </w:tc>
        <w:tc>
          <w:tcPr>
            <w:tcW w:w="992" w:type="dxa"/>
            <w:shd w:val="clear" w:color="auto" w:fill="auto"/>
            <w:tcMar>
              <w:top w:w="20" w:type="dxa"/>
              <w:left w:w="20" w:type="dxa"/>
              <w:bottom w:w="20" w:type="dxa"/>
              <w:right w:w="20" w:type="dxa"/>
            </w:tcMar>
            <w:vAlign w:val="center"/>
          </w:tcPr>
          <w:p w14:paraId="37DCECAE" w14:textId="59503EA9"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9,687</w:t>
            </w:r>
          </w:p>
        </w:tc>
        <w:tc>
          <w:tcPr>
            <w:tcW w:w="1134" w:type="dxa"/>
            <w:shd w:val="clear" w:color="auto" w:fill="auto"/>
            <w:tcMar>
              <w:top w:w="20" w:type="dxa"/>
              <w:left w:w="20" w:type="dxa"/>
              <w:bottom w:w="20" w:type="dxa"/>
              <w:right w:w="20" w:type="dxa"/>
            </w:tcMar>
            <w:vAlign w:val="center"/>
          </w:tcPr>
          <w:p w14:paraId="3170A767" w14:textId="451AB76E"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49D2EC3D" w14:textId="54BC8C2D"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9,687</w:t>
            </w:r>
          </w:p>
        </w:tc>
      </w:tr>
      <w:tr w:rsidR="00EB0FB8" w:rsidRPr="000D67C6" w14:paraId="2FD2AC68" w14:textId="77777777" w:rsidTr="00820805">
        <w:trPr>
          <w:trHeight w:val="300"/>
        </w:trPr>
        <w:tc>
          <w:tcPr>
            <w:tcW w:w="851" w:type="dxa"/>
            <w:shd w:val="clear" w:color="auto" w:fill="auto"/>
            <w:tcMar>
              <w:top w:w="20" w:type="dxa"/>
              <w:left w:w="20" w:type="dxa"/>
              <w:bottom w:w="20" w:type="dxa"/>
              <w:right w:w="20" w:type="dxa"/>
            </w:tcMar>
            <w:vAlign w:val="center"/>
          </w:tcPr>
          <w:p w14:paraId="7A9ACC6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1FA00B32"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10,468</w:t>
            </w:r>
          </w:p>
        </w:tc>
        <w:tc>
          <w:tcPr>
            <w:tcW w:w="850" w:type="dxa"/>
            <w:shd w:val="clear" w:color="auto" w:fill="auto"/>
            <w:tcMar>
              <w:top w:w="20" w:type="dxa"/>
              <w:left w:w="20" w:type="dxa"/>
              <w:bottom w:w="20" w:type="dxa"/>
              <w:right w:w="20" w:type="dxa"/>
            </w:tcMar>
            <w:vAlign w:val="center"/>
          </w:tcPr>
          <w:p w14:paraId="59DA422C"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10,468</w:t>
            </w:r>
          </w:p>
        </w:tc>
        <w:tc>
          <w:tcPr>
            <w:tcW w:w="284" w:type="dxa"/>
            <w:shd w:val="clear" w:color="auto" w:fill="auto"/>
            <w:tcMar>
              <w:top w:w="20" w:type="dxa"/>
              <w:left w:w="20" w:type="dxa"/>
              <w:bottom w:w="20" w:type="dxa"/>
              <w:right w:w="20" w:type="dxa"/>
            </w:tcMar>
            <w:vAlign w:val="center"/>
          </w:tcPr>
          <w:p w14:paraId="252976FD"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42C69C0E"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Overseas Pooled-unquoted</w:t>
            </w:r>
          </w:p>
        </w:tc>
        <w:tc>
          <w:tcPr>
            <w:tcW w:w="992" w:type="dxa"/>
            <w:shd w:val="clear" w:color="auto" w:fill="auto"/>
            <w:tcMar>
              <w:top w:w="20" w:type="dxa"/>
              <w:left w:w="20" w:type="dxa"/>
              <w:bottom w:w="20" w:type="dxa"/>
              <w:right w:w="20" w:type="dxa"/>
            </w:tcMar>
            <w:vAlign w:val="center"/>
          </w:tcPr>
          <w:p w14:paraId="585D9E40" w14:textId="0B614D8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1A8CDCF0" w14:textId="734D08AF"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11,176</w:t>
            </w:r>
          </w:p>
        </w:tc>
        <w:tc>
          <w:tcPr>
            <w:tcW w:w="851" w:type="dxa"/>
            <w:shd w:val="clear" w:color="auto" w:fill="auto"/>
            <w:tcMar>
              <w:top w:w="20" w:type="dxa"/>
              <w:left w:w="20" w:type="dxa"/>
              <w:bottom w:w="20" w:type="dxa"/>
              <w:right w:w="20" w:type="dxa"/>
            </w:tcMar>
            <w:vAlign w:val="center"/>
          </w:tcPr>
          <w:p w14:paraId="290494F1" w14:textId="262484FF"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11,176</w:t>
            </w:r>
          </w:p>
        </w:tc>
      </w:tr>
      <w:tr w:rsidR="00EB0FB8" w:rsidRPr="000D67C6" w14:paraId="067F2CAA" w14:textId="77777777" w:rsidTr="00820805">
        <w:trPr>
          <w:trHeight w:val="300"/>
        </w:trPr>
        <w:tc>
          <w:tcPr>
            <w:tcW w:w="851" w:type="dxa"/>
            <w:shd w:val="clear" w:color="auto" w:fill="auto"/>
            <w:tcMar>
              <w:top w:w="20" w:type="dxa"/>
              <w:left w:w="20" w:type="dxa"/>
              <w:bottom w:w="20" w:type="dxa"/>
              <w:right w:w="20" w:type="dxa"/>
            </w:tcMar>
            <w:vAlign w:val="center"/>
          </w:tcPr>
          <w:p w14:paraId="402CD6DE"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4,652</w:t>
            </w:r>
          </w:p>
        </w:tc>
        <w:tc>
          <w:tcPr>
            <w:tcW w:w="1134" w:type="dxa"/>
            <w:shd w:val="clear" w:color="auto" w:fill="auto"/>
            <w:tcMar>
              <w:top w:w="20" w:type="dxa"/>
              <w:left w:w="20" w:type="dxa"/>
              <w:bottom w:w="20" w:type="dxa"/>
              <w:right w:w="20" w:type="dxa"/>
            </w:tcMar>
            <w:vAlign w:val="center"/>
          </w:tcPr>
          <w:p w14:paraId="133BC843"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777E5BFF"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4,652</w:t>
            </w:r>
          </w:p>
        </w:tc>
        <w:tc>
          <w:tcPr>
            <w:tcW w:w="284" w:type="dxa"/>
            <w:shd w:val="clear" w:color="auto" w:fill="auto"/>
            <w:tcMar>
              <w:top w:w="20" w:type="dxa"/>
              <w:left w:w="20" w:type="dxa"/>
              <w:bottom w:w="20" w:type="dxa"/>
              <w:right w:w="20" w:type="dxa"/>
            </w:tcMar>
            <w:vAlign w:val="center"/>
          </w:tcPr>
          <w:p w14:paraId="459C458A"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17249B5F"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US</w:t>
            </w:r>
          </w:p>
        </w:tc>
        <w:tc>
          <w:tcPr>
            <w:tcW w:w="992" w:type="dxa"/>
            <w:shd w:val="clear" w:color="auto" w:fill="auto"/>
            <w:tcMar>
              <w:top w:w="20" w:type="dxa"/>
              <w:left w:w="20" w:type="dxa"/>
              <w:bottom w:w="20" w:type="dxa"/>
              <w:right w:w="20" w:type="dxa"/>
            </w:tcMar>
            <w:vAlign w:val="center"/>
          </w:tcPr>
          <w:p w14:paraId="726955FD" w14:textId="6F9F8DE0"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5,315</w:t>
            </w:r>
          </w:p>
        </w:tc>
        <w:tc>
          <w:tcPr>
            <w:tcW w:w="1134" w:type="dxa"/>
            <w:shd w:val="clear" w:color="auto" w:fill="auto"/>
            <w:tcMar>
              <w:top w:w="20" w:type="dxa"/>
              <w:left w:w="20" w:type="dxa"/>
              <w:bottom w:w="20" w:type="dxa"/>
              <w:right w:w="20" w:type="dxa"/>
            </w:tcMar>
            <w:vAlign w:val="center"/>
          </w:tcPr>
          <w:p w14:paraId="4E14B9E1" w14:textId="0742DDE5"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0C2BC708" w14:textId="6A6A000E"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5,315</w:t>
            </w:r>
          </w:p>
        </w:tc>
      </w:tr>
      <w:tr w:rsidR="00EB0FB8" w:rsidRPr="000D67C6" w14:paraId="3DD6FC60" w14:textId="77777777" w:rsidTr="00820805">
        <w:trPr>
          <w:trHeight w:val="300"/>
        </w:trPr>
        <w:tc>
          <w:tcPr>
            <w:tcW w:w="851" w:type="dxa"/>
            <w:shd w:val="clear" w:color="auto" w:fill="auto"/>
            <w:tcMar>
              <w:top w:w="20" w:type="dxa"/>
              <w:left w:w="20" w:type="dxa"/>
              <w:bottom w:w="20" w:type="dxa"/>
              <w:right w:w="20" w:type="dxa"/>
            </w:tcMar>
            <w:vAlign w:val="center"/>
          </w:tcPr>
          <w:p w14:paraId="57E1366B"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233</w:t>
            </w:r>
          </w:p>
        </w:tc>
        <w:tc>
          <w:tcPr>
            <w:tcW w:w="1134" w:type="dxa"/>
            <w:shd w:val="clear" w:color="auto" w:fill="auto"/>
            <w:tcMar>
              <w:top w:w="20" w:type="dxa"/>
              <w:left w:w="20" w:type="dxa"/>
              <w:bottom w:w="20" w:type="dxa"/>
              <w:right w:w="20" w:type="dxa"/>
            </w:tcMar>
            <w:vAlign w:val="center"/>
          </w:tcPr>
          <w:p w14:paraId="75F19DB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513C05BD"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233</w:t>
            </w:r>
          </w:p>
        </w:tc>
        <w:tc>
          <w:tcPr>
            <w:tcW w:w="284" w:type="dxa"/>
            <w:shd w:val="clear" w:color="auto" w:fill="auto"/>
            <w:tcMar>
              <w:top w:w="20" w:type="dxa"/>
              <w:left w:w="20" w:type="dxa"/>
              <w:bottom w:w="20" w:type="dxa"/>
              <w:right w:w="20" w:type="dxa"/>
            </w:tcMar>
            <w:vAlign w:val="center"/>
          </w:tcPr>
          <w:p w14:paraId="06B50D8A"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6AD50D7E"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Canada</w:t>
            </w:r>
          </w:p>
        </w:tc>
        <w:tc>
          <w:tcPr>
            <w:tcW w:w="992" w:type="dxa"/>
            <w:shd w:val="clear" w:color="auto" w:fill="auto"/>
            <w:tcMar>
              <w:top w:w="20" w:type="dxa"/>
              <w:left w:w="20" w:type="dxa"/>
              <w:bottom w:w="20" w:type="dxa"/>
              <w:right w:w="20" w:type="dxa"/>
            </w:tcMar>
            <w:vAlign w:val="center"/>
          </w:tcPr>
          <w:p w14:paraId="0A739AFB" w14:textId="7CEE58C4"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199</w:t>
            </w:r>
          </w:p>
        </w:tc>
        <w:tc>
          <w:tcPr>
            <w:tcW w:w="1134" w:type="dxa"/>
            <w:shd w:val="clear" w:color="auto" w:fill="auto"/>
            <w:tcMar>
              <w:top w:w="20" w:type="dxa"/>
              <w:left w:w="20" w:type="dxa"/>
              <w:bottom w:w="20" w:type="dxa"/>
              <w:right w:w="20" w:type="dxa"/>
            </w:tcMar>
            <w:vAlign w:val="center"/>
          </w:tcPr>
          <w:p w14:paraId="100D3A92" w14:textId="79CD017D"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668CAD08" w14:textId="67E91C4B"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199</w:t>
            </w:r>
          </w:p>
        </w:tc>
      </w:tr>
      <w:tr w:rsidR="00EB0FB8" w:rsidRPr="000D67C6" w14:paraId="764AE2AA" w14:textId="77777777" w:rsidTr="00820805">
        <w:trPr>
          <w:trHeight w:val="300"/>
        </w:trPr>
        <w:tc>
          <w:tcPr>
            <w:tcW w:w="851" w:type="dxa"/>
            <w:shd w:val="clear" w:color="auto" w:fill="auto"/>
            <w:tcMar>
              <w:top w:w="20" w:type="dxa"/>
              <w:left w:w="20" w:type="dxa"/>
              <w:bottom w:w="20" w:type="dxa"/>
              <w:right w:w="20" w:type="dxa"/>
            </w:tcMar>
            <w:vAlign w:val="center"/>
          </w:tcPr>
          <w:p w14:paraId="7B9CBB00"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1,582</w:t>
            </w:r>
          </w:p>
        </w:tc>
        <w:tc>
          <w:tcPr>
            <w:tcW w:w="1134" w:type="dxa"/>
            <w:shd w:val="clear" w:color="auto" w:fill="auto"/>
            <w:tcMar>
              <w:top w:w="20" w:type="dxa"/>
              <w:left w:w="20" w:type="dxa"/>
              <w:bottom w:w="20" w:type="dxa"/>
              <w:right w:w="20" w:type="dxa"/>
            </w:tcMar>
            <w:vAlign w:val="center"/>
          </w:tcPr>
          <w:p w14:paraId="46BEDDD2"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23508DA5"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1,582</w:t>
            </w:r>
          </w:p>
        </w:tc>
        <w:tc>
          <w:tcPr>
            <w:tcW w:w="284" w:type="dxa"/>
            <w:shd w:val="clear" w:color="auto" w:fill="auto"/>
            <w:tcMar>
              <w:top w:w="20" w:type="dxa"/>
              <w:left w:w="20" w:type="dxa"/>
              <w:bottom w:w="20" w:type="dxa"/>
              <w:right w:w="20" w:type="dxa"/>
            </w:tcMar>
            <w:vAlign w:val="center"/>
          </w:tcPr>
          <w:p w14:paraId="6456A9F0"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6BC24276"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Japan</w:t>
            </w:r>
          </w:p>
        </w:tc>
        <w:tc>
          <w:tcPr>
            <w:tcW w:w="992" w:type="dxa"/>
            <w:shd w:val="clear" w:color="auto" w:fill="auto"/>
            <w:tcMar>
              <w:top w:w="20" w:type="dxa"/>
              <w:left w:w="20" w:type="dxa"/>
              <w:bottom w:w="20" w:type="dxa"/>
              <w:right w:w="20" w:type="dxa"/>
            </w:tcMar>
            <w:vAlign w:val="center"/>
          </w:tcPr>
          <w:p w14:paraId="167CA6C0" w14:textId="1B7D02B1"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1,639</w:t>
            </w:r>
          </w:p>
        </w:tc>
        <w:tc>
          <w:tcPr>
            <w:tcW w:w="1134" w:type="dxa"/>
            <w:shd w:val="clear" w:color="auto" w:fill="auto"/>
            <w:tcMar>
              <w:top w:w="20" w:type="dxa"/>
              <w:left w:w="20" w:type="dxa"/>
              <w:bottom w:w="20" w:type="dxa"/>
              <w:right w:w="20" w:type="dxa"/>
            </w:tcMar>
            <w:vAlign w:val="center"/>
          </w:tcPr>
          <w:p w14:paraId="4715CD38" w14:textId="28D72716"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2A6EC366" w14:textId="55E7DC9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1,639</w:t>
            </w:r>
          </w:p>
        </w:tc>
      </w:tr>
      <w:tr w:rsidR="00EB0FB8" w:rsidRPr="000D67C6" w14:paraId="49416380" w14:textId="77777777" w:rsidTr="00820805">
        <w:trPr>
          <w:trHeight w:val="300"/>
        </w:trPr>
        <w:tc>
          <w:tcPr>
            <w:tcW w:w="851" w:type="dxa"/>
            <w:shd w:val="clear" w:color="auto" w:fill="auto"/>
            <w:tcMar>
              <w:top w:w="20" w:type="dxa"/>
              <w:left w:w="20" w:type="dxa"/>
              <w:bottom w:w="20" w:type="dxa"/>
              <w:right w:w="20" w:type="dxa"/>
            </w:tcMar>
            <w:vAlign w:val="center"/>
          </w:tcPr>
          <w:p w14:paraId="31E67FF5"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72C7989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1,210</w:t>
            </w:r>
          </w:p>
        </w:tc>
        <w:tc>
          <w:tcPr>
            <w:tcW w:w="850" w:type="dxa"/>
            <w:shd w:val="clear" w:color="auto" w:fill="auto"/>
            <w:tcMar>
              <w:top w:w="20" w:type="dxa"/>
              <w:left w:w="20" w:type="dxa"/>
              <w:bottom w:w="20" w:type="dxa"/>
              <w:right w:w="20" w:type="dxa"/>
            </w:tcMar>
            <w:vAlign w:val="center"/>
          </w:tcPr>
          <w:p w14:paraId="6E34E636"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1,210</w:t>
            </w:r>
          </w:p>
        </w:tc>
        <w:tc>
          <w:tcPr>
            <w:tcW w:w="284" w:type="dxa"/>
            <w:shd w:val="clear" w:color="auto" w:fill="auto"/>
            <w:tcMar>
              <w:top w:w="20" w:type="dxa"/>
              <w:left w:w="20" w:type="dxa"/>
              <w:bottom w:w="20" w:type="dxa"/>
              <w:right w:w="20" w:type="dxa"/>
            </w:tcMar>
            <w:vAlign w:val="center"/>
          </w:tcPr>
          <w:p w14:paraId="7E70A96A"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432034D4"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Pacific</w:t>
            </w:r>
          </w:p>
        </w:tc>
        <w:tc>
          <w:tcPr>
            <w:tcW w:w="992" w:type="dxa"/>
            <w:shd w:val="clear" w:color="auto" w:fill="auto"/>
            <w:tcMar>
              <w:top w:w="20" w:type="dxa"/>
              <w:left w:w="20" w:type="dxa"/>
              <w:bottom w:w="20" w:type="dxa"/>
              <w:right w:w="20" w:type="dxa"/>
            </w:tcMar>
            <w:vAlign w:val="center"/>
          </w:tcPr>
          <w:p w14:paraId="45978374" w14:textId="622D9F6D"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609ADC32" w14:textId="32A0D96D"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546</w:t>
            </w:r>
          </w:p>
        </w:tc>
        <w:tc>
          <w:tcPr>
            <w:tcW w:w="851" w:type="dxa"/>
            <w:shd w:val="clear" w:color="auto" w:fill="auto"/>
            <w:tcMar>
              <w:top w:w="20" w:type="dxa"/>
              <w:left w:w="20" w:type="dxa"/>
              <w:bottom w:w="20" w:type="dxa"/>
              <w:right w:w="20" w:type="dxa"/>
            </w:tcMar>
            <w:vAlign w:val="center"/>
          </w:tcPr>
          <w:p w14:paraId="2FFE48F3" w14:textId="2D4E7B1C"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546</w:t>
            </w:r>
          </w:p>
        </w:tc>
      </w:tr>
      <w:tr w:rsidR="00EB0FB8" w:rsidRPr="000D67C6" w14:paraId="0F7894F7" w14:textId="77777777" w:rsidTr="00820805">
        <w:trPr>
          <w:trHeight w:val="300"/>
        </w:trPr>
        <w:tc>
          <w:tcPr>
            <w:tcW w:w="851" w:type="dxa"/>
            <w:shd w:val="clear" w:color="auto" w:fill="auto"/>
            <w:tcMar>
              <w:top w:w="20" w:type="dxa"/>
              <w:left w:w="20" w:type="dxa"/>
              <w:bottom w:w="20" w:type="dxa"/>
              <w:right w:w="20" w:type="dxa"/>
            </w:tcMar>
            <w:vAlign w:val="center"/>
          </w:tcPr>
          <w:p w14:paraId="6C92FB7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5DC50500"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3,675</w:t>
            </w:r>
          </w:p>
        </w:tc>
        <w:tc>
          <w:tcPr>
            <w:tcW w:w="850" w:type="dxa"/>
            <w:shd w:val="clear" w:color="auto" w:fill="auto"/>
            <w:tcMar>
              <w:top w:w="20" w:type="dxa"/>
              <w:left w:w="20" w:type="dxa"/>
              <w:bottom w:w="20" w:type="dxa"/>
              <w:right w:w="20" w:type="dxa"/>
            </w:tcMar>
            <w:vAlign w:val="center"/>
          </w:tcPr>
          <w:p w14:paraId="6A5DC10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3,675</w:t>
            </w:r>
          </w:p>
        </w:tc>
        <w:tc>
          <w:tcPr>
            <w:tcW w:w="284" w:type="dxa"/>
            <w:shd w:val="clear" w:color="auto" w:fill="auto"/>
            <w:tcMar>
              <w:top w:w="20" w:type="dxa"/>
              <w:left w:w="20" w:type="dxa"/>
              <w:bottom w:w="20" w:type="dxa"/>
              <w:right w:w="20" w:type="dxa"/>
            </w:tcMar>
            <w:vAlign w:val="center"/>
          </w:tcPr>
          <w:p w14:paraId="29C2A580"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2B53DA52"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Emerging markets</w:t>
            </w:r>
          </w:p>
        </w:tc>
        <w:tc>
          <w:tcPr>
            <w:tcW w:w="992" w:type="dxa"/>
            <w:shd w:val="clear" w:color="auto" w:fill="auto"/>
            <w:tcMar>
              <w:top w:w="20" w:type="dxa"/>
              <w:left w:w="20" w:type="dxa"/>
              <w:bottom w:w="20" w:type="dxa"/>
              <w:right w:w="20" w:type="dxa"/>
            </w:tcMar>
            <w:vAlign w:val="center"/>
          </w:tcPr>
          <w:p w14:paraId="4AEB45D1" w14:textId="3B9A6BA2"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EE24E73" w14:textId="1925E311"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4,371</w:t>
            </w:r>
          </w:p>
        </w:tc>
        <w:tc>
          <w:tcPr>
            <w:tcW w:w="851" w:type="dxa"/>
            <w:shd w:val="clear" w:color="auto" w:fill="auto"/>
            <w:tcMar>
              <w:top w:w="20" w:type="dxa"/>
              <w:left w:w="20" w:type="dxa"/>
              <w:bottom w:w="20" w:type="dxa"/>
              <w:right w:w="20" w:type="dxa"/>
            </w:tcMar>
            <w:vAlign w:val="center"/>
          </w:tcPr>
          <w:p w14:paraId="0AE85E5C" w14:textId="49096333"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4,371</w:t>
            </w:r>
          </w:p>
        </w:tc>
      </w:tr>
      <w:tr w:rsidR="00EB0FB8" w:rsidRPr="000D67C6" w14:paraId="423A645E" w14:textId="77777777" w:rsidTr="00820805">
        <w:trPr>
          <w:trHeight w:val="315"/>
        </w:trPr>
        <w:tc>
          <w:tcPr>
            <w:tcW w:w="851" w:type="dxa"/>
            <w:shd w:val="clear" w:color="auto" w:fill="auto"/>
            <w:tcMar>
              <w:top w:w="20" w:type="dxa"/>
              <w:left w:w="20" w:type="dxa"/>
              <w:bottom w:w="20" w:type="dxa"/>
              <w:right w:w="20" w:type="dxa"/>
            </w:tcMar>
            <w:vAlign w:val="center"/>
          </w:tcPr>
          <w:p w14:paraId="1FF77B49"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744151CB"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08EBD462"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4" w:type="dxa"/>
            <w:shd w:val="clear" w:color="auto" w:fill="auto"/>
            <w:tcMar>
              <w:top w:w="20" w:type="dxa"/>
              <w:left w:w="20" w:type="dxa"/>
              <w:bottom w:w="20" w:type="dxa"/>
              <w:right w:w="20" w:type="dxa"/>
            </w:tcMar>
            <w:vAlign w:val="center"/>
          </w:tcPr>
          <w:p w14:paraId="5A3F5BFD" w14:textId="77777777" w:rsidR="00EB0FB8" w:rsidRPr="000D67C6" w:rsidRDefault="00EB0FB8" w:rsidP="00EB0FB8">
            <w:pPr>
              <w:pStyle w:val="T1TableStyle"/>
              <w:jc w:val="center"/>
              <w:rPr>
                <w:rFonts w:ascii="Arial" w:eastAsia="Verdana" w:hAnsi="Arial" w:cs="Arial"/>
                <w:sz w:val="22"/>
                <w:szCs w:val="22"/>
                <w:lang w:val="en-GB"/>
              </w:rPr>
            </w:pPr>
          </w:p>
        </w:tc>
        <w:tc>
          <w:tcPr>
            <w:tcW w:w="2835" w:type="dxa"/>
            <w:shd w:val="clear" w:color="auto" w:fill="auto"/>
            <w:tcMar>
              <w:top w:w="20" w:type="dxa"/>
              <w:left w:w="20" w:type="dxa"/>
              <w:bottom w:w="20" w:type="dxa"/>
              <w:right w:w="20" w:type="dxa"/>
            </w:tcMar>
            <w:vAlign w:val="center"/>
          </w:tcPr>
          <w:p w14:paraId="4BB8CF14"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Pooled Overseas-quoted</w:t>
            </w:r>
          </w:p>
        </w:tc>
        <w:tc>
          <w:tcPr>
            <w:tcW w:w="992" w:type="dxa"/>
            <w:shd w:val="clear" w:color="auto" w:fill="auto"/>
            <w:tcMar>
              <w:top w:w="20" w:type="dxa"/>
              <w:left w:w="20" w:type="dxa"/>
              <w:bottom w:w="20" w:type="dxa"/>
              <w:right w:w="20" w:type="dxa"/>
            </w:tcMar>
            <w:vAlign w:val="center"/>
          </w:tcPr>
          <w:p w14:paraId="0BED07C3" w14:textId="203AA2E0"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1F4F80FC" w14:textId="4EFC5FC3"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4813FF6A" w14:textId="71C0AAB9"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7C553EFB" w14:textId="77777777" w:rsidTr="00820805">
        <w:trPr>
          <w:trHeight w:val="315"/>
        </w:trPr>
        <w:tc>
          <w:tcPr>
            <w:tcW w:w="851" w:type="dxa"/>
            <w:tcBorders>
              <w:bottom w:val="single" w:sz="12" w:space="0" w:color="000000"/>
            </w:tcBorders>
            <w:shd w:val="clear" w:color="auto" w:fill="auto"/>
            <w:tcMar>
              <w:top w:w="20" w:type="dxa"/>
              <w:left w:w="20" w:type="dxa"/>
              <w:bottom w:w="20" w:type="dxa"/>
              <w:right w:w="20" w:type="dxa"/>
            </w:tcMar>
            <w:vAlign w:val="center"/>
          </w:tcPr>
          <w:p w14:paraId="55294257"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1,582</w:t>
            </w:r>
          </w:p>
        </w:tc>
        <w:tc>
          <w:tcPr>
            <w:tcW w:w="1134" w:type="dxa"/>
            <w:tcBorders>
              <w:bottom w:val="single" w:sz="12" w:space="0" w:color="000000"/>
            </w:tcBorders>
            <w:shd w:val="clear" w:color="auto" w:fill="auto"/>
            <w:tcMar>
              <w:top w:w="20" w:type="dxa"/>
              <w:left w:w="20" w:type="dxa"/>
              <w:bottom w:w="20" w:type="dxa"/>
              <w:right w:w="20" w:type="dxa"/>
            </w:tcMar>
            <w:vAlign w:val="center"/>
          </w:tcPr>
          <w:p w14:paraId="2AE2D56E"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tcBorders>
              <w:bottom w:val="single" w:sz="12" w:space="0" w:color="000000"/>
            </w:tcBorders>
            <w:shd w:val="clear" w:color="auto" w:fill="auto"/>
            <w:tcMar>
              <w:top w:w="20" w:type="dxa"/>
              <w:left w:w="20" w:type="dxa"/>
              <w:bottom w:w="20" w:type="dxa"/>
              <w:right w:w="20" w:type="dxa"/>
            </w:tcMar>
            <w:vAlign w:val="center"/>
          </w:tcPr>
          <w:p w14:paraId="5B229DEC"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1,582</w:t>
            </w:r>
          </w:p>
        </w:tc>
        <w:tc>
          <w:tcPr>
            <w:tcW w:w="284" w:type="dxa"/>
            <w:tcBorders>
              <w:bottom w:val="single" w:sz="12" w:space="0" w:color="000000"/>
            </w:tcBorders>
            <w:shd w:val="clear" w:color="auto" w:fill="auto"/>
            <w:tcMar>
              <w:top w:w="20" w:type="dxa"/>
              <w:left w:w="20" w:type="dxa"/>
              <w:bottom w:w="20" w:type="dxa"/>
              <w:right w:w="20" w:type="dxa"/>
            </w:tcMar>
            <w:vAlign w:val="center"/>
          </w:tcPr>
          <w:p w14:paraId="5A115314" w14:textId="77777777" w:rsidR="00EB0FB8" w:rsidRPr="000D67C6" w:rsidRDefault="00EB0FB8" w:rsidP="00EB0FB8">
            <w:pPr>
              <w:pStyle w:val="T1TableStyle"/>
              <w:jc w:val="center"/>
              <w:rPr>
                <w:rFonts w:ascii="Arial" w:eastAsia="Verdana" w:hAnsi="Arial" w:cs="Arial"/>
                <w:sz w:val="22"/>
                <w:szCs w:val="22"/>
                <w:lang w:val="en-GB"/>
              </w:rPr>
            </w:pPr>
          </w:p>
        </w:tc>
        <w:tc>
          <w:tcPr>
            <w:tcW w:w="2835" w:type="dxa"/>
            <w:tcBorders>
              <w:bottom w:val="single" w:sz="12" w:space="0" w:color="000000"/>
            </w:tcBorders>
            <w:shd w:val="clear" w:color="auto" w:fill="auto"/>
            <w:tcMar>
              <w:top w:w="20" w:type="dxa"/>
              <w:left w:w="20" w:type="dxa"/>
              <w:bottom w:w="20" w:type="dxa"/>
              <w:right w:w="20" w:type="dxa"/>
            </w:tcMar>
            <w:vAlign w:val="center"/>
          </w:tcPr>
          <w:p w14:paraId="65AD1921"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European ex UK</w:t>
            </w:r>
          </w:p>
        </w:tc>
        <w:tc>
          <w:tcPr>
            <w:tcW w:w="992" w:type="dxa"/>
            <w:tcBorders>
              <w:bottom w:val="single" w:sz="12" w:space="0" w:color="000000"/>
            </w:tcBorders>
            <w:shd w:val="clear" w:color="auto" w:fill="auto"/>
            <w:tcMar>
              <w:top w:w="20" w:type="dxa"/>
              <w:left w:w="20" w:type="dxa"/>
              <w:bottom w:w="20" w:type="dxa"/>
              <w:right w:w="20" w:type="dxa"/>
            </w:tcMar>
            <w:vAlign w:val="center"/>
          </w:tcPr>
          <w:p w14:paraId="3CA9F249" w14:textId="64DDE2A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1,391</w:t>
            </w:r>
          </w:p>
        </w:tc>
        <w:tc>
          <w:tcPr>
            <w:tcW w:w="1134" w:type="dxa"/>
            <w:tcBorders>
              <w:bottom w:val="single" w:sz="12" w:space="0" w:color="000000"/>
            </w:tcBorders>
            <w:shd w:val="clear" w:color="auto" w:fill="auto"/>
            <w:tcMar>
              <w:top w:w="20" w:type="dxa"/>
              <w:left w:w="20" w:type="dxa"/>
              <w:bottom w:w="20" w:type="dxa"/>
              <w:right w:w="20" w:type="dxa"/>
            </w:tcMar>
            <w:vAlign w:val="center"/>
          </w:tcPr>
          <w:p w14:paraId="5EC0B88E" w14:textId="3A499B56"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tcBorders>
              <w:bottom w:val="single" w:sz="12" w:space="0" w:color="000000"/>
            </w:tcBorders>
            <w:shd w:val="clear" w:color="auto" w:fill="auto"/>
            <w:tcMar>
              <w:top w:w="20" w:type="dxa"/>
              <w:left w:w="20" w:type="dxa"/>
              <w:bottom w:w="20" w:type="dxa"/>
              <w:right w:w="20" w:type="dxa"/>
            </w:tcMar>
            <w:vAlign w:val="center"/>
          </w:tcPr>
          <w:p w14:paraId="2274F7DB" w14:textId="0283D7E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1,391</w:t>
            </w:r>
          </w:p>
        </w:tc>
      </w:tr>
      <w:tr w:rsidR="00EB0FB8" w:rsidRPr="000D67C6" w14:paraId="5242D2C5" w14:textId="77777777" w:rsidTr="00820805">
        <w:trPr>
          <w:trHeight w:val="397"/>
        </w:trPr>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D5E2CC0"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17,493</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0E7AE78"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15,353</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31D2103"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32,846</w:t>
            </w:r>
          </w:p>
        </w:tc>
        <w:tc>
          <w:tcPr>
            <w:tcW w:w="28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F884DBF" w14:textId="77777777" w:rsidR="00EB0FB8" w:rsidRPr="000D67C6" w:rsidRDefault="00EB0FB8" w:rsidP="00EB0FB8">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B1B9A89"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Subtotal Equities</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D04673D" w14:textId="3BCD36A1"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18,231</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CF97776" w14:textId="34D81239"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16,093</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968BDB6" w14:textId="0C28AB25"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34,324</w:t>
            </w:r>
          </w:p>
        </w:tc>
      </w:tr>
      <w:tr w:rsidR="00EB0FB8" w:rsidRPr="000D67C6" w14:paraId="4E0E3D52" w14:textId="77777777" w:rsidTr="00820805">
        <w:trPr>
          <w:trHeight w:val="300"/>
        </w:trPr>
        <w:tc>
          <w:tcPr>
            <w:tcW w:w="851" w:type="dxa"/>
            <w:shd w:val="clear" w:color="auto" w:fill="auto"/>
            <w:tcMar>
              <w:top w:w="20" w:type="dxa"/>
              <w:left w:w="20" w:type="dxa"/>
              <w:bottom w:w="20" w:type="dxa"/>
              <w:right w:w="20" w:type="dxa"/>
            </w:tcMar>
            <w:vAlign w:val="center"/>
          </w:tcPr>
          <w:p w14:paraId="689CBFBB" w14:textId="77777777" w:rsidR="00EB0FB8" w:rsidRPr="000D67C6" w:rsidRDefault="00EB0FB8" w:rsidP="00EB0FB8">
            <w:pPr>
              <w:pStyle w:val="T1TableStyle"/>
              <w:jc w:val="center"/>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vAlign w:val="center"/>
          </w:tcPr>
          <w:p w14:paraId="607465EA" w14:textId="77777777" w:rsidR="00EB0FB8" w:rsidRPr="000D67C6" w:rsidRDefault="00EB0FB8" w:rsidP="00EB0FB8">
            <w:pPr>
              <w:pStyle w:val="T1TableStyle"/>
              <w:jc w:val="center"/>
              <w:rPr>
                <w:rFonts w:ascii="Arial" w:eastAsia="Verdana" w:hAnsi="Arial" w:cs="Arial"/>
                <w:sz w:val="22"/>
                <w:szCs w:val="22"/>
                <w:lang w:val="en-GB"/>
              </w:rPr>
            </w:pPr>
          </w:p>
        </w:tc>
        <w:tc>
          <w:tcPr>
            <w:tcW w:w="850" w:type="dxa"/>
            <w:shd w:val="clear" w:color="auto" w:fill="auto"/>
            <w:tcMar>
              <w:top w:w="20" w:type="dxa"/>
              <w:left w:w="20" w:type="dxa"/>
              <w:bottom w:w="20" w:type="dxa"/>
              <w:right w:w="20" w:type="dxa"/>
            </w:tcMar>
            <w:vAlign w:val="center"/>
          </w:tcPr>
          <w:p w14:paraId="6C769AF2" w14:textId="77777777" w:rsidR="00EB0FB8" w:rsidRPr="000D67C6" w:rsidRDefault="00EB0FB8" w:rsidP="00EB0FB8">
            <w:pPr>
              <w:pStyle w:val="T1TableStyle"/>
              <w:jc w:val="center"/>
              <w:rPr>
                <w:rFonts w:ascii="Arial" w:eastAsia="Verdana" w:hAnsi="Arial" w:cs="Arial"/>
                <w:sz w:val="22"/>
                <w:szCs w:val="22"/>
                <w:lang w:val="en-GB"/>
              </w:rPr>
            </w:pPr>
          </w:p>
        </w:tc>
        <w:tc>
          <w:tcPr>
            <w:tcW w:w="284" w:type="dxa"/>
            <w:shd w:val="clear" w:color="auto" w:fill="auto"/>
            <w:tcMar>
              <w:top w:w="20" w:type="dxa"/>
              <w:left w:w="20" w:type="dxa"/>
              <w:bottom w:w="20" w:type="dxa"/>
              <w:right w:w="20" w:type="dxa"/>
            </w:tcMar>
            <w:vAlign w:val="center"/>
          </w:tcPr>
          <w:p w14:paraId="1D23270F" w14:textId="77777777" w:rsidR="00EB0FB8" w:rsidRPr="000D67C6" w:rsidRDefault="00EB0FB8" w:rsidP="00EB0FB8">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2835" w:type="dxa"/>
            <w:shd w:val="clear" w:color="auto" w:fill="auto"/>
            <w:tcMar>
              <w:top w:w="20" w:type="dxa"/>
              <w:left w:w="20" w:type="dxa"/>
              <w:bottom w:w="20" w:type="dxa"/>
              <w:right w:w="20" w:type="dxa"/>
            </w:tcMar>
            <w:vAlign w:val="center"/>
          </w:tcPr>
          <w:p w14:paraId="689E28B6"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Bonds</w:t>
            </w:r>
          </w:p>
        </w:tc>
        <w:tc>
          <w:tcPr>
            <w:tcW w:w="992" w:type="dxa"/>
            <w:shd w:val="clear" w:color="auto" w:fill="auto"/>
            <w:tcMar>
              <w:top w:w="20" w:type="dxa"/>
              <w:left w:w="20" w:type="dxa"/>
              <w:bottom w:w="20" w:type="dxa"/>
              <w:right w:w="20" w:type="dxa"/>
            </w:tcMar>
            <w:vAlign w:val="center"/>
          </w:tcPr>
          <w:p w14:paraId="168CCC26" w14:textId="77777777" w:rsidR="00EB0FB8" w:rsidRPr="000D67C6" w:rsidRDefault="00EB0FB8" w:rsidP="00EB0FB8">
            <w:pPr>
              <w:pStyle w:val="T1TableStyle"/>
              <w:jc w:val="center"/>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vAlign w:val="center"/>
          </w:tcPr>
          <w:p w14:paraId="32809536" w14:textId="77777777" w:rsidR="00EB0FB8" w:rsidRPr="000D67C6" w:rsidRDefault="00EB0FB8" w:rsidP="00EB0FB8">
            <w:pPr>
              <w:pStyle w:val="T1TableStyle"/>
              <w:jc w:val="center"/>
              <w:rPr>
                <w:rFonts w:ascii="Arial" w:eastAsia="Verdana" w:hAnsi="Arial" w:cs="Arial"/>
                <w:sz w:val="22"/>
                <w:szCs w:val="22"/>
                <w:lang w:val="en-GB"/>
              </w:rPr>
            </w:pPr>
          </w:p>
        </w:tc>
        <w:tc>
          <w:tcPr>
            <w:tcW w:w="851" w:type="dxa"/>
            <w:shd w:val="clear" w:color="auto" w:fill="auto"/>
            <w:tcMar>
              <w:top w:w="20" w:type="dxa"/>
              <w:left w:w="20" w:type="dxa"/>
              <w:bottom w:w="20" w:type="dxa"/>
              <w:right w:w="20" w:type="dxa"/>
            </w:tcMar>
            <w:vAlign w:val="center"/>
          </w:tcPr>
          <w:p w14:paraId="09E9166E" w14:textId="77777777" w:rsidR="00EB0FB8" w:rsidRPr="000D67C6" w:rsidRDefault="00EB0FB8" w:rsidP="00EB0FB8">
            <w:pPr>
              <w:pStyle w:val="T1TableStyle"/>
              <w:jc w:val="center"/>
              <w:rPr>
                <w:rFonts w:ascii="Arial" w:eastAsia="Verdana" w:hAnsi="Arial" w:cs="Arial"/>
                <w:sz w:val="22"/>
                <w:szCs w:val="22"/>
                <w:lang w:val="en-GB"/>
              </w:rPr>
            </w:pPr>
          </w:p>
        </w:tc>
      </w:tr>
      <w:tr w:rsidR="00EB0FB8" w:rsidRPr="000D67C6" w14:paraId="6672F9A1" w14:textId="77777777" w:rsidTr="00820805">
        <w:trPr>
          <w:trHeight w:val="300"/>
        </w:trPr>
        <w:tc>
          <w:tcPr>
            <w:tcW w:w="851" w:type="dxa"/>
            <w:shd w:val="clear" w:color="auto" w:fill="auto"/>
            <w:tcMar>
              <w:top w:w="20" w:type="dxa"/>
              <w:left w:w="20" w:type="dxa"/>
              <w:bottom w:w="20" w:type="dxa"/>
              <w:right w:w="20" w:type="dxa"/>
            </w:tcMar>
            <w:vAlign w:val="center"/>
          </w:tcPr>
          <w:p w14:paraId="135357F2"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4,559</w:t>
            </w:r>
          </w:p>
        </w:tc>
        <w:tc>
          <w:tcPr>
            <w:tcW w:w="1134" w:type="dxa"/>
            <w:shd w:val="clear" w:color="auto" w:fill="auto"/>
            <w:tcMar>
              <w:top w:w="20" w:type="dxa"/>
              <w:left w:w="20" w:type="dxa"/>
              <w:bottom w:w="20" w:type="dxa"/>
              <w:right w:w="20" w:type="dxa"/>
            </w:tcMar>
            <w:vAlign w:val="center"/>
          </w:tcPr>
          <w:p w14:paraId="7F619AA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5E7609C6"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4,559</w:t>
            </w:r>
          </w:p>
        </w:tc>
        <w:tc>
          <w:tcPr>
            <w:tcW w:w="284" w:type="dxa"/>
            <w:shd w:val="clear" w:color="auto" w:fill="auto"/>
            <w:tcMar>
              <w:top w:w="20" w:type="dxa"/>
              <w:left w:w="20" w:type="dxa"/>
              <w:bottom w:w="20" w:type="dxa"/>
              <w:right w:w="20" w:type="dxa"/>
            </w:tcMar>
            <w:vAlign w:val="center"/>
          </w:tcPr>
          <w:p w14:paraId="7161D15C"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50A9ADDB"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UK Government indexed</w:t>
            </w:r>
          </w:p>
        </w:tc>
        <w:tc>
          <w:tcPr>
            <w:tcW w:w="992" w:type="dxa"/>
            <w:shd w:val="clear" w:color="auto" w:fill="auto"/>
            <w:tcMar>
              <w:top w:w="20" w:type="dxa"/>
              <w:left w:w="20" w:type="dxa"/>
              <w:bottom w:w="20" w:type="dxa"/>
              <w:right w:w="20" w:type="dxa"/>
            </w:tcMar>
            <w:vAlign w:val="center"/>
          </w:tcPr>
          <w:p w14:paraId="187F9915" w14:textId="4B93E4AA"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3,030</w:t>
            </w:r>
          </w:p>
        </w:tc>
        <w:tc>
          <w:tcPr>
            <w:tcW w:w="1134" w:type="dxa"/>
            <w:shd w:val="clear" w:color="auto" w:fill="auto"/>
            <w:tcMar>
              <w:top w:w="20" w:type="dxa"/>
              <w:left w:w="20" w:type="dxa"/>
              <w:bottom w:w="20" w:type="dxa"/>
              <w:right w:w="20" w:type="dxa"/>
            </w:tcMar>
            <w:vAlign w:val="center"/>
          </w:tcPr>
          <w:p w14:paraId="72206B08" w14:textId="4D748BFE"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60B6F8C8" w14:textId="1A91D90A"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3,030</w:t>
            </w:r>
          </w:p>
        </w:tc>
      </w:tr>
      <w:tr w:rsidR="00EB0FB8" w:rsidRPr="000D67C6" w14:paraId="7B3B6C3C" w14:textId="77777777" w:rsidTr="00820805">
        <w:trPr>
          <w:trHeight w:val="300"/>
        </w:trPr>
        <w:tc>
          <w:tcPr>
            <w:tcW w:w="851" w:type="dxa"/>
            <w:shd w:val="clear" w:color="auto" w:fill="auto"/>
            <w:tcMar>
              <w:top w:w="20" w:type="dxa"/>
              <w:left w:w="20" w:type="dxa"/>
              <w:bottom w:w="20" w:type="dxa"/>
              <w:right w:w="20" w:type="dxa"/>
            </w:tcMar>
            <w:vAlign w:val="center"/>
          </w:tcPr>
          <w:p w14:paraId="63DF81AF"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107EFB8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4,466</w:t>
            </w:r>
          </w:p>
        </w:tc>
        <w:tc>
          <w:tcPr>
            <w:tcW w:w="850" w:type="dxa"/>
            <w:shd w:val="clear" w:color="auto" w:fill="auto"/>
            <w:tcMar>
              <w:top w:w="20" w:type="dxa"/>
              <w:left w:w="20" w:type="dxa"/>
              <w:bottom w:w="20" w:type="dxa"/>
              <w:right w:w="20" w:type="dxa"/>
            </w:tcMar>
            <w:vAlign w:val="center"/>
          </w:tcPr>
          <w:p w14:paraId="72835109"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4,466</w:t>
            </w:r>
          </w:p>
        </w:tc>
        <w:tc>
          <w:tcPr>
            <w:tcW w:w="284" w:type="dxa"/>
            <w:shd w:val="clear" w:color="auto" w:fill="auto"/>
            <w:tcMar>
              <w:top w:w="20" w:type="dxa"/>
              <w:left w:w="20" w:type="dxa"/>
              <w:bottom w:w="20" w:type="dxa"/>
              <w:right w:w="20" w:type="dxa"/>
            </w:tcMar>
            <w:vAlign w:val="center"/>
          </w:tcPr>
          <w:p w14:paraId="32C8C9EB"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5BF71BC1"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UK Corporate</w:t>
            </w:r>
          </w:p>
        </w:tc>
        <w:tc>
          <w:tcPr>
            <w:tcW w:w="992" w:type="dxa"/>
            <w:shd w:val="clear" w:color="auto" w:fill="auto"/>
            <w:tcMar>
              <w:top w:w="20" w:type="dxa"/>
              <w:left w:w="20" w:type="dxa"/>
              <w:bottom w:w="20" w:type="dxa"/>
              <w:right w:w="20" w:type="dxa"/>
            </w:tcMar>
            <w:vAlign w:val="center"/>
          </w:tcPr>
          <w:p w14:paraId="31F09DB8" w14:textId="7C6421C1"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76DF772E" w14:textId="6617B409"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5,265</w:t>
            </w:r>
          </w:p>
        </w:tc>
        <w:tc>
          <w:tcPr>
            <w:tcW w:w="851" w:type="dxa"/>
            <w:shd w:val="clear" w:color="auto" w:fill="auto"/>
            <w:tcMar>
              <w:top w:w="20" w:type="dxa"/>
              <w:left w:w="20" w:type="dxa"/>
              <w:bottom w:w="20" w:type="dxa"/>
              <w:right w:w="20" w:type="dxa"/>
            </w:tcMar>
            <w:vAlign w:val="center"/>
          </w:tcPr>
          <w:p w14:paraId="75EC09A8" w14:textId="030ED386"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5,265</w:t>
            </w:r>
          </w:p>
        </w:tc>
      </w:tr>
      <w:tr w:rsidR="00EB0FB8" w:rsidRPr="000D67C6" w14:paraId="5715EE79" w14:textId="77777777" w:rsidTr="00820805">
        <w:trPr>
          <w:trHeight w:val="352"/>
        </w:trPr>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1B443E4"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4,559</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B9D52AC"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4,466</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D799051"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9,025</w:t>
            </w:r>
          </w:p>
        </w:tc>
        <w:tc>
          <w:tcPr>
            <w:tcW w:w="28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0BA22269" w14:textId="77777777" w:rsidR="00EB0FB8" w:rsidRPr="000D67C6" w:rsidRDefault="00EB0FB8" w:rsidP="00EB0FB8">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60EC559"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Subtotal Bonds</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FB5D1CE" w14:textId="19190314"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3,030</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5D3EA9F2" w14:textId="2FE66FE2"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5,265</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80A8826" w14:textId="74AFAE30"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8,295</w:t>
            </w:r>
          </w:p>
        </w:tc>
      </w:tr>
      <w:tr w:rsidR="00EB0FB8" w:rsidRPr="000D67C6" w14:paraId="03192771" w14:textId="77777777" w:rsidTr="00820805">
        <w:trPr>
          <w:trHeight w:val="300"/>
        </w:trPr>
        <w:tc>
          <w:tcPr>
            <w:tcW w:w="851" w:type="dxa"/>
            <w:shd w:val="clear" w:color="auto" w:fill="auto"/>
            <w:tcMar>
              <w:top w:w="20" w:type="dxa"/>
              <w:left w:w="20" w:type="dxa"/>
              <w:bottom w:w="20" w:type="dxa"/>
              <w:right w:w="20" w:type="dxa"/>
            </w:tcMar>
            <w:vAlign w:val="center"/>
          </w:tcPr>
          <w:p w14:paraId="7F6A7B88"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1134" w:type="dxa"/>
            <w:shd w:val="clear" w:color="auto" w:fill="auto"/>
            <w:tcMar>
              <w:top w:w="20" w:type="dxa"/>
              <w:left w:w="20" w:type="dxa"/>
              <w:bottom w:w="20" w:type="dxa"/>
              <w:right w:w="20" w:type="dxa"/>
            </w:tcMar>
            <w:vAlign w:val="center"/>
          </w:tcPr>
          <w:p w14:paraId="33121FF8"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850" w:type="dxa"/>
            <w:shd w:val="clear" w:color="auto" w:fill="auto"/>
            <w:tcMar>
              <w:top w:w="20" w:type="dxa"/>
              <w:left w:w="20" w:type="dxa"/>
              <w:bottom w:w="20" w:type="dxa"/>
              <w:right w:w="20" w:type="dxa"/>
            </w:tcMar>
            <w:vAlign w:val="center"/>
          </w:tcPr>
          <w:p w14:paraId="596147D5"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4" w:type="dxa"/>
            <w:shd w:val="clear" w:color="auto" w:fill="auto"/>
            <w:tcMar>
              <w:top w:w="20" w:type="dxa"/>
              <w:left w:w="20" w:type="dxa"/>
              <w:bottom w:w="20" w:type="dxa"/>
              <w:right w:w="20" w:type="dxa"/>
            </w:tcMar>
            <w:vAlign w:val="center"/>
          </w:tcPr>
          <w:p w14:paraId="040D8EF3" w14:textId="77777777" w:rsidR="00EB0FB8" w:rsidRPr="000D67C6" w:rsidRDefault="00EB0FB8" w:rsidP="00EB0FB8">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2835" w:type="dxa"/>
            <w:shd w:val="clear" w:color="auto" w:fill="auto"/>
            <w:tcMar>
              <w:top w:w="20" w:type="dxa"/>
              <w:left w:w="20" w:type="dxa"/>
              <w:bottom w:w="20" w:type="dxa"/>
              <w:right w:w="20" w:type="dxa"/>
            </w:tcMar>
            <w:vAlign w:val="center"/>
          </w:tcPr>
          <w:p w14:paraId="1731A838"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Property</w:t>
            </w:r>
          </w:p>
        </w:tc>
        <w:tc>
          <w:tcPr>
            <w:tcW w:w="992" w:type="dxa"/>
            <w:shd w:val="clear" w:color="auto" w:fill="auto"/>
            <w:tcMar>
              <w:top w:w="20" w:type="dxa"/>
              <w:left w:w="20" w:type="dxa"/>
              <w:bottom w:w="20" w:type="dxa"/>
              <w:right w:w="20" w:type="dxa"/>
            </w:tcMar>
            <w:vAlign w:val="center"/>
          </w:tcPr>
          <w:p w14:paraId="670F18B3" w14:textId="77777777" w:rsidR="00EB0FB8" w:rsidRPr="000D67C6" w:rsidRDefault="00EB0FB8" w:rsidP="00EB0FB8">
            <w:pPr>
              <w:pStyle w:val="T1TableStyle"/>
              <w:jc w:val="center"/>
              <w:rPr>
                <w:rFonts w:ascii="Arial" w:eastAsia="Verdana" w:hAnsi="Arial" w:cs="Arial"/>
                <w:sz w:val="22"/>
                <w:szCs w:val="22"/>
                <w:lang w:val="en-GB"/>
              </w:rPr>
            </w:pPr>
          </w:p>
        </w:tc>
        <w:tc>
          <w:tcPr>
            <w:tcW w:w="1134" w:type="dxa"/>
            <w:shd w:val="clear" w:color="auto" w:fill="auto"/>
            <w:tcMar>
              <w:top w:w="20" w:type="dxa"/>
              <w:left w:w="20" w:type="dxa"/>
              <w:bottom w:w="20" w:type="dxa"/>
              <w:right w:w="20" w:type="dxa"/>
            </w:tcMar>
            <w:vAlign w:val="center"/>
          </w:tcPr>
          <w:p w14:paraId="4933793F" w14:textId="77777777" w:rsidR="00EB0FB8" w:rsidRPr="000D67C6" w:rsidRDefault="00EB0FB8" w:rsidP="00EB0FB8">
            <w:pPr>
              <w:pStyle w:val="T1TableStyle"/>
              <w:jc w:val="center"/>
              <w:rPr>
                <w:rFonts w:ascii="Arial" w:eastAsia="Verdana" w:hAnsi="Arial" w:cs="Arial"/>
                <w:sz w:val="22"/>
                <w:szCs w:val="22"/>
                <w:lang w:val="en-GB"/>
              </w:rPr>
            </w:pPr>
          </w:p>
        </w:tc>
        <w:tc>
          <w:tcPr>
            <w:tcW w:w="851" w:type="dxa"/>
            <w:shd w:val="clear" w:color="auto" w:fill="auto"/>
            <w:tcMar>
              <w:top w:w="20" w:type="dxa"/>
              <w:left w:w="20" w:type="dxa"/>
              <w:bottom w:w="20" w:type="dxa"/>
              <w:right w:w="20" w:type="dxa"/>
            </w:tcMar>
            <w:vAlign w:val="center"/>
          </w:tcPr>
          <w:p w14:paraId="56BF4725" w14:textId="77777777" w:rsidR="00EB0FB8" w:rsidRPr="000D67C6" w:rsidRDefault="00EB0FB8" w:rsidP="00EB0FB8">
            <w:pPr>
              <w:pStyle w:val="T1TableStyle"/>
              <w:jc w:val="center"/>
              <w:rPr>
                <w:rFonts w:ascii="Arial" w:eastAsia="Verdana" w:hAnsi="Arial" w:cs="Arial"/>
                <w:sz w:val="22"/>
                <w:szCs w:val="22"/>
                <w:lang w:val="en-GB"/>
              </w:rPr>
            </w:pPr>
          </w:p>
        </w:tc>
      </w:tr>
      <w:tr w:rsidR="00EB0FB8" w:rsidRPr="000D67C6" w14:paraId="52261A0F" w14:textId="77777777" w:rsidTr="00820805">
        <w:trPr>
          <w:trHeight w:val="300"/>
        </w:trPr>
        <w:tc>
          <w:tcPr>
            <w:tcW w:w="851" w:type="dxa"/>
            <w:shd w:val="clear" w:color="auto" w:fill="auto"/>
            <w:tcMar>
              <w:top w:w="20" w:type="dxa"/>
              <w:left w:w="20" w:type="dxa"/>
              <w:bottom w:w="20" w:type="dxa"/>
              <w:right w:w="20" w:type="dxa"/>
            </w:tcMar>
            <w:vAlign w:val="center"/>
          </w:tcPr>
          <w:p w14:paraId="770ADB16"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7683CE4E"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398E8C15"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4" w:type="dxa"/>
            <w:shd w:val="clear" w:color="auto" w:fill="auto"/>
            <w:tcMar>
              <w:top w:w="20" w:type="dxa"/>
              <w:left w:w="20" w:type="dxa"/>
              <w:bottom w:w="20" w:type="dxa"/>
              <w:right w:w="20" w:type="dxa"/>
            </w:tcMar>
            <w:vAlign w:val="center"/>
          </w:tcPr>
          <w:p w14:paraId="2CA0E450"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33638D02"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UK</w:t>
            </w:r>
          </w:p>
        </w:tc>
        <w:tc>
          <w:tcPr>
            <w:tcW w:w="992" w:type="dxa"/>
            <w:shd w:val="clear" w:color="auto" w:fill="auto"/>
            <w:tcMar>
              <w:top w:w="20" w:type="dxa"/>
              <w:left w:w="20" w:type="dxa"/>
              <w:bottom w:w="20" w:type="dxa"/>
              <w:right w:w="20" w:type="dxa"/>
            </w:tcMar>
            <w:vAlign w:val="center"/>
          </w:tcPr>
          <w:p w14:paraId="0D254532" w14:textId="14718CF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69DC3CDE" w14:textId="34FBF0F8"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41180935" w14:textId="0E85FAC6"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207BABA0" w14:textId="77777777" w:rsidTr="00820805">
        <w:trPr>
          <w:trHeight w:val="300"/>
        </w:trPr>
        <w:tc>
          <w:tcPr>
            <w:tcW w:w="851" w:type="dxa"/>
            <w:shd w:val="clear" w:color="auto" w:fill="auto"/>
            <w:tcMar>
              <w:top w:w="20" w:type="dxa"/>
              <w:left w:w="20" w:type="dxa"/>
              <w:bottom w:w="20" w:type="dxa"/>
              <w:right w:w="20" w:type="dxa"/>
            </w:tcMar>
            <w:vAlign w:val="center"/>
          </w:tcPr>
          <w:p w14:paraId="1AC28931"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415EB2D"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47EBF709"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4" w:type="dxa"/>
            <w:shd w:val="clear" w:color="auto" w:fill="auto"/>
            <w:tcMar>
              <w:top w:w="20" w:type="dxa"/>
              <w:left w:w="20" w:type="dxa"/>
              <w:bottom w:w="20" w:type="dxa"/>
              <w:right w:w="20" w:type="dxa"/>
            </w:tcMar>
            <w:vAlign w:val="center"/>
          </w:tcPr>
          <w:p w14:paraId="4270FE5E"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03DB3DC9"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Overseas – quoted</w:t>
            </w:r>
          </w:p>
        </w:tc>
        <w:tc>
          <w:tcPr>
            <w:tcW w:w="992" w:type="dxa"/>
            <w:shd w:val="clear" w:color="auto" w:fill="auto"/>
            <w:tcMar>
              <w:top w:w="20" w:type="dxa"/>
              <w:left w:w="20" w:type="dxa"/>
              <w:bottom w:w="20" w:type="dxa"/>
              <w:right w:w="20" w:type="dxa"/>
            </w:tcMar>
            <w:vAlign w:val="center"/>
          </w:tcPr>
          <w:p w14:paraId="0CDDEF23" w14:textId="19E29A04"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92BBE26" w14:textId="7067F9E9"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5E2A86A1" w14:textId="615ED54F"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3D1AF480" w14:textId="77777777" w:rsidTr="00820805">
        <w:trPr>
          <w:trHeight w:val="300"/>
        </w:trPr>
        <w:tc>
          <w:tcPr>
            <w:tcW w:w="851" w:type="dxa"/>
            <w:shd w:val="clear" w:color="auto" w:fill="auto"/>
            <w:tcMar>
              <w:top w:w="20" w:type="dxa"/>
              <w:left w:w="20" w:type="dxa"/>
              <w:bottom w:w="20" w:type="dxa"/>
              <w:right w:w="20" w:type="dxa"/>
            </w:tcMar>
            <w:vAlign w:val="center"/>
          </w:tcPr>
          <w:p w14:paraId="4373EA7F"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50F7EE04"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0" w:type="dxa"/>
            <w:shd w:val="clear" w:color="auto" w:fill="auto"/>
            <w:tcMar>
              <w:top w:w="20" w:type="dxa"/>
              <w:left w:w="20" w:type="dxa"/>
              <w:bottom w:w="20" w:type="dxa"/>
              <w:right w:w="20" w:type="dxa"/>
            </w:tcMar>
            <w:vAlign w:val="center"/>
          </w:tcPr>
          <w:p w14:paraId="5272EE29"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284" w:type="dxa"/>
            <w:shd w:val="clear" w:color="auto" w:fill="auto"/>
            <w:tcMar>
              <w:top w:w="20" w:type="dxa"/>
              <w:left w:w="20" w:type="dxa"/>
              <w:bottom w:w="20" w:type="dxa"/>
              <w:right w:w="20" w:type="dxa"/>
            </w:tcMar>
            <w:vAlign w:val="center"/>
          </w:tcPr>
          <w:p w14:paraId="1E278B84"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6E1FFAA7"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Overseas</w:t>
            </w:r>
          </w:p>
        </w:tc>
        <w:tc>
          <w:tcPr>
            <w:tcW w:w="992" w:type="dxa"/>
            <w:shd w:val="clear" w:color="auto" w:fill="auto"/>
            <w:tcMar>
              <w:top w:w="20" w:type="dxa"/>
              <w:left w:w="20" w:type="dxa"/>
              <w:bottom w:w="20" w:type="dxa"/>
              <w:right w:w="20" w:type="dxa"/>
            </w:tcMar>
            <w:vAlign w:val="center"/>
          </w:tcPr>
          <w:p w14:paraId="5BDFBF3E" w14:textId="7F6B473D"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31B8A0FD" w14:textId="7542DC03"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851" w:type="dxa"/>
            <w:shd w:val="clear" w:color="auto" w:fill="auto"/>
            <w:tcMar>
              <w:top w:w="20" w:type="dxa"/>
              <w:left w:w="20" w:type="dxa"/>
              <w:bottom w:w="20" w:type="dxa"/>
              <w:right w:w="20" w:type="dxa"/>
            </w:tcMar>
            <w:vAlign w:val="center"/>
          </w:tcPr>
          <w:p w14:paraId="1304E03B" w14:textId="7E28C6E3"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r>
      <w:tr w:rsidR="00EB0FB8" w:rsidRPr="000D67C6" w14:paraId="15669D60" w14:textId="77777777" w:rsidTr="00820805">
        <w:trPr>
          <w:trHeight w:val="300"/>
        </w:trPr>
        <w:tc>
          <w:tcPr>
            <w:tcW w:w="851" w:type="dxa"/>
            <w:shd w:val="clear" w:color="auto" w:fill="auto"/>
            <w:tcMar>
              <w:top w:w="20" w:type="dxa"/>
              <w:left w:w="20" w:type="dxa"/>
              <w:bottom w:w="20" w:type="dxa"/>
              <w:right w:w="20" w:type="dxa"/>
            </w:tcMar>
            <w:vAlign w:val="center"/>
          </w:tcPr>
          <w:p w14:paraId="4E22ADC3"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2370F4D2"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4,373</w:t>
            </w:r>
          </w:p>
        </w:tc>
        <w:tc>
          <w:tcPr>
            <w:tcW w:w="850" w:type="dxa"/>
            <w:shd w:val="clear" w:color="auto" w:fill="auto"/>
            <w:tcMar>
              <w:top w:w="20" w:type="dxa"/>
              <w:left w:w="20" w:type="dxa"/>
              <w:bottom w:w="20" w:type="dxa"/>
              <w:right w:w="20" w:type="dxa"/>
            </w:tcMar>
            <w:vAlign w:val="center"/>
          </w:tcPr>
          <w:p w14:paraId="3F6CF41B" w14:textId="77777777"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4,373</w:t>
            </w:r>
          </w:p>
        </w:tc>
        <w:tc>
          <w:tcPr>
            <w:tcW w:w="284" w:type="dxa"/>
            <w:shd w:val="clear" w:color="auto" w:fill="auto"/>
            <w:tcMar>
              <w:top w:w="20" w:type="dxa"/>
              <w:left w:w="20" w:type="dxa"/>
              <w:bottom w:w="20" w:type="dxa"/>
              <w:right w:w="20" w:type="dxa"/>
            </w:tcMar>
            <w:vAlign w:val="center"/>
          </w:tcPr>
          <w:p w14:paraId="51DD8527" w14:textId="77777777" w:rsidR="00EB0FB8" w:rsidRPr="000D67C6" w:rsidRDefault="00EB0FB8" w:rsidP="00EB0FB8">
            <w:pPr>
              <w:pStyle w:val="T1TableStyle"/>
              <w:jc w:val="center"/>
              <w:rPr>
                <w:rFonts w:ascii="Arial" w:eastAsia="Verdana" w:hAnsi="Arial" w:cs="Arial"/>
                <w:sz w:val="22"/>
                <w:szCs w:val="22"/>
                <w:lang w:val="en-GB"/>
              </w:rPr>
            </w:pPr>
            <w:r w:rsidRPr="000D67C6">
              <w:rPr>
                <w:rFonts w:ascii="Arial" w:eastAsia="Verdana" w:hAnsi="Arial" w:cs="Arial"/>
                <w:sz w:val="22"/>
                <w:szCs w:val="22"/>
                <w:lang w:val="en-GB"/>
              </w:rPr>
              <w:t xml:space="preserve"> </w:t>
            </w:r>
          </w:p>
        </w:tc>
        <w:tc>
          <w:tcPr>
            <w:tcW w:w="2835" w:type="dxa"/>
            <w:shd w:val="clear" w:color="auto" w:fill="auto"/>
            <w:tcMar>
              <w:top w:w="20" w:type="dxa"/>
              <w:left w:w="20" w:type="dxa"/>
              <w:bottom w:w="20" w:type="dxa"/>
              <w:right w:w="20" w:type="dxa"/>
            </w:tcMar>
            <w:vAlign w:val="center"/>
          </w:tcPr>
          <w:p w14:paraId="3A49FEBD" w14:textId="77777777" w:rsidR="00EB0FB8" w:rsidRPr="000D67C6" w:rsidRDefault="00EB0FB8" w:rsidP="00EB0FB8">
            <w:pPr>
              <w:pStyle w:val="T1TableStyle"/>
              <w:rPr>
                <w:rFonts w:ascii="Arial" w:eastAsia="Verdana" w:hAnsi="Arial" w:cs="Arial"/>
                <w:sz w:val="22"/>
                <w:szCs w:val="22"/>
                <w:lang w:val="en-GB"/>
              </w:rPr>
            </w:pPr>
            <w:r w:rsidRPr="000D67C6">
              <w:rPr>
                <w:rFonts w:ascii="Arial" w:eastAsia="Verdana" w:hAnsi="Arial" w:cs="Arial"/>
                <w:sz w:val="22"/>
                <w:szCs w:val="22"/>
                <w:lang w:val="en-GB"/>
              </w:rPr>
              <w:t>Property Funds</w:t>
            </w:r>
          </w:p>
        </w:tc>
        <w:tc>
          <w:tcPr>
            <w:tcW w:w="992" w:type="dxa"/>
            <w:shd w:val="clear" w:color="auto" w:fill="auto"/>
            <w:tcMar>
              <w:top w:w="20" w:type="dxa"/>
              <w:left w:w="20" w:type="dxa"/>
              <w:bottom w:w="20" w:type="dxa"/>
              <w:right w:w="20" w:type="dxa"/>
            </w:tcMar>
            <w:vAlign w:val="center"/>
          </w:tcPr>
          <w:p w14:paraId="43BE5CC5" w14:textId="55FC135A"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0</w:t>
            </w:r>
          </w:p>
        </w:tc>
        <w:tc>
          <w:tcPr>
            <w:tcW w:w="1134" w:type="dxa"/>
            <w:shd w:val="clear" w:color="auto" w:fill="auto"/>
            <w:tcMar>
              <w:top w:w="20" w:type="dxa"/>
              <w:left w:w="20" w:type="dxa"/>
              <w:bottom w:w="20" w:type="dxa"/>
              <w:right w:w="20" w:type="dxa"/>
            </w:tcMar>
            <w:vAlign w:val="center"/>
          </w:tcPr>
          <w:p w14:paraId="78F9CFAC" w14:textId="253D8FE5"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6,755</w:t>
            </w:r>
          </w:p>
        </w:tc>
        <w:tc>
          <w:tcPr>
            <w:tcW w:w="851" w:type="dxa"/>
            <w:shd w:val="clear" w:color="auto" w:fill="auto"/>
            <w:tcMar>
              <w:top w:w="20" w:type="dxa"/>
              <w:left w:w="20" w:type="dxa"/>
              <w:bottom w:w="20" w:type="dxa"/>
              <w:right w:w="20" w:type="dxa"/>
            </w:tcMar>
            <w:vAlign w:val="center"/>
          </w:tcPr>
          <w:p w14:paraId="22A0FF15" w14:textId="57A6E230" w:rsidR="00EB0FB8" w:rsidRPr="000D67C6" w:rsidRDefault="00EB0FB8" w:rsidP="00EB0F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6,755</w:t>
            </w:r>
          </w:p>
        </w:tc>
      </w:tr>
      <w:tr w:rsidR="00EB0FB8" w:rsidRPr="000D67C6" w14:paraId="1F16F917" w14:textId="77777777" w:rsidTr="00820805">
        <w:trPr>
          <w:trHeight w:val="368"/>
        </w:trPr>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CB03010"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E309487"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4,373</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18BEDA29"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4,373</w:t>
            </w:r>
          </w:p>
        </w:tc>
        <w:tc>
          <w:tcPr>
            <w:tcW w:w="28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CC40593" w14:textId="77777777" w:rsidR="00EB0FB8" w:rsidRPr="000D67C6" w:rsidRDefault="00EB0FB8" w:rsidP="00EB0FB8">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716B876"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Subtotal Property</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DAF5B9C" w14:textId="10EB5A92"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B5A5A38" w14:textId="497F40A4"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6,755</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6443FB92" w14:textId="6E20A720"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6,755</w:t>
            </w:r>
          </w:p>
        </w:tc>
      </w:tr>
      <w:tr w:rsidR="00EB0FB8" w:rsidRPr="000D67C6" w14:paraId="2B8EF0D9" w14:textId="77777777" w:rsidTr="00820805">
        <w:trPr>
          <w:trHeight w:val="478"/>
        </w:trPr>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F5EB428"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22,192</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F324356"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24,332</w:t>
            </w:r>
          </w:p>
        </w:tc>
        <w:tc>
          <w:tcPr>
            <w:tcW w:w="8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64E2E28" w14:textId="7777777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46,524</w:t>
            </w:r>
          </w:p>
        </w:tc>
        <w:tc>
          <w:tcPr>
            <w:tcW w:w="28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404D8E5F" w14:textId="77777777" w:rsidR="00EB0FB8" w:rsidRPr="000D67C6" w:rsidRDefault="00EB0FB8" w:rsidP="00EB0FB8">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28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A5BA42E" w14:textId="77777777" w:rsidR="00EB0FB8" w:rsidRPr="000D67C6" w:rsidRDefault="00EB0FB8" w:rsidP="00EB0FB8">
            <w:pPr>
              <w:pStyle w:val="T1TableStyle"/>
              <w:rPr>
                <w:rFonts w:ascii="Arial" w:eastAsia="Verdana" w:hAnsi="Arial" w:cs="Arial"/>
                <w:b/>
                <w:sz w:val="22"/>
                <w:szCs w:val="22"/>
                <w:lang w:val="en-GB"/>
              </w:rPr>
            </w:pPr>
            <w:r w:rsidRPr="000D67C6">
              <w:rPr>
                <w:rFonts w:ascii="Arial" w:eastAsia="Verdana" w:hAnsi="Arial" w:cs="Arial"/>
                <w:b/>
                <w:sz w:val="22"/>
                <w:szCs w:val="22"/>
                <w:lang w:val="en-GB"/>
              </w:rPr>
              <w:t>Total Assets</w:t>
            </w:r>
          </w:p>
        </w:tc>
        <w:tc>
          <w:tcPr>
            <w:tcW w:w="992"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8B67877" w14:textId="3ED64A3B"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21,559</w:t>
            </w:r>
          </w:p>
        </w:tc>
        <w:tc>
          <w:tcPr>
            <w:tcW w:w="1134"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7B383B87" w14:textId="6B2675D7"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28,113</w:t>
            </w:r>
          </w:p>
        </w:tc>
        <w:tc>
          <w:tcPr>
            <w:tcW w:w="8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3750A321" w14:textId="001B6C74" w:rsidR="00EB0FB8" w:rsidRPr="000D67C6" w:rsidRDefault="00EB0FB8" w:rsidP="00EB0FB8">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49,672</w:t>
            </w:r>
          </w:p>
        </w:tc>
      </w:tr>
    </w:tbl>
    <w:p w14:paraId="25BA6FBA" w14:textId="77777777" w:rsidR="008F013B" w:rsidRPr="000D67C6" w:rsidRDefault="008F013B">
      <w:pPr>
        <w:pStyle w:val="T1TableStyle"/>
        <w:rPr>
          <w:rFonts w:ascii="Arial" w:eastAsia="Calibri" w:hAnsi="Arial" w:cs="Arial"/>
          <w:sz w:val="22"/>
          <w:szCs w:val="22"/>
          <w:lang w:val="en-GB"/>
        </w:rPr>
      </w:pPr>
    </w:p>
    <w:p w14:paraId="7C5D0390" w14:textId="77777777" w:rsidR="00963FFF" w:rsidRPr="000D67C6" w:rsidRDefault="00963FFF" w:rsidP="00963FFF">
      <w:pPr>
        <w:pStyle w:val="ListParagraph"/>
        <w:ind w:left="360"/>
        <w:jc w:val="both"/>
        <w:rPr>
          <w:rFonts w:ascii="Arial" w:hAnsi="Arial" w:cs="Arial"/>
          <w:b/>
          <w:sz w:val="22"/>
          <w:szCs w:val="22"/>
        </w:rPr>
      </w:pPr>
    </w:p>
    <w:p w14:paraId="175EB914" w14:textId="77777777" w:rsidR="009A0F09" w:rsidRPr="000D67C6" w:rsidRDefault="009A0F09" w:rsidP="00A91C81">
      <w:pPr>
        <w:jc w:val="both"/>
        <w:rPr>
          <w:rFonts w:ascii="Arial" w:hAnsi="Arial" w:cs="Arial"/>
          <w:b/>
          <w:sz w:val="22"/>
          <w:szCs w:val="22"/>
        </w:rPr>
      </w:pPr>
    </w:p>
    <w:p w14:paraId="27EF0138" w14:textId="77777777" w:rsidR="00C57B26" w:rsidRPr="000D67C6" w:rsidRDefault="00C57B26">
      <w:pPr>
        <w:rPr>
          <w:rFonts w:ascii="Arial" w:hAnsi="Arial" w:cs="Arial"/>
          <w:b/>
          <w:sz w:val="22"/>
          <w:szCs w:val="22"/>
        </w:rPr>
      </w:pPr>
      <w:r w:rsidRPr="000D67C6">
        <w:rPr>
          <w:rFonts w:ascii="Arial" w:hAnsi="Arial" w:cs="Arial"/>
          <w:b/>
          <w:sz w:val="22"/>
          <w:szCs w:val="22"/>
        </w:rPr>
        <w:br w:type="page"/>
      </w:r>
    </w:p>
    <w:p w14:paraId="170E89BA" w14:textId="77777777" w:rsidR="00A91C81" w:rsidRPr="000D67C6" w:rsidRDefault="00A91C81" w:rsidP="00A91C81">
      <w:pPr>
        <w:jc w:val="both"/>
        <w:rPr>
          <w:rFonts w:ascii="Arial" w:hAnsi="Arial" w:cs="Arial"/>
          <w:b/>
          <w:sz w:val="22"/>
          <w:szCs w:val="22"/>
        </w:rPr>
      </w:pPr>
      <w:r w:rsidRPr="000D67C6">
        <w:rPr>
          <w:rFonts w:ascii="Arial" w:hAnsi="Arial" w:cs="Arial"/>
          <w:b/>
          <w:sz w:val="22"/>
          <w:szCs w:val="22"/>
        </w:rPr>
        <w:t>Basis for Estimating Assets and Liabilities</w:t>
      </w:r>
    </w:p>
    <w:p w14:paraId="23C669E2" w14:textId="77777777" w:rsidR="00A91C81" w:rsidRPr="000D67C6" w:rsidRDefault="00A91C81" w:rsidP="00A91C81">
      <w:pPr>
        <w:jc w:val="both"/>
        <w:rPr>
          <w:rFonts w:ascii="Arial" w:hAnsi="Arial" w:cs="Arial"/>
          <w:sz w:val="22"/>
          <w:szCs w:val="22"/>
        </w:rPr>
      </w:pPr>
    </w:p>
    <w:p w14:paraId="0DD8B741" w14:textId="77777777" w:rsidR="00A91C81" w:rsidRPr="000D67C6" w:rsidRDefault="00A91C81" w:rsidP="00A91C81">
      <w:pPr>
        <w:jc w:val="both"/>
        <w:rPr>
          <w:rFonts w:ascii="Arial" w:hAnsi="Arial" w:cs="Arial"/>
          <w:sz w:val="22"/>
          <w:szCs w:val="22"/>
        </w:rPr>
      </w:pPr>
      <w:r w:rsidRPr="000D67C6">
        <w:rPr>
          <w:rFonts w:ascii="Arial" w:hAnsi="Arial" w:cs="Arial"/>
          <w:sz w:val="22"/>
          <w:szCs w:val="22"/>
        </w:rPr>
        <w:t>Liabilities have been assessed on an actuarial</w:t>
      </w:r>
      <w:r w:rsidR="00941D48" w:rsidRPr="000D67C6">
        <w:rPr>
          <w:rFonts w:ascii="Arial" w:hAnsi="Arial" w:cs="Arial"/>
          <w:sz w:val="22"/>
          <w:szCs w:val="22"/>
        </w:rPr>
        <w:t xml:space="preserve"> basis using the projected unit</w:t>
      </w:r>
      <w:r w:rsidRPr="000D67C6">
        <w:rPr>
          <w:rFonts w:ascii="Arial" w:hAnsi="Arial" w:cs="Arial"/>
          <w:sz w:val="22"/>
          <w:szCs w:val="22"/>
        </w:rPr>
        <w:t xml:space="preserve"> credit method, an estimate of the pensions that will be payable in future years dependent on assumptions about mortality rates, salary levels, etc.</w:t>
      </w:r>
    </w:p>
    <w:p w14:paraId="4DFAFC46" w14:textId="77777777" w:rsidR="00A91C81" w:rsidRPr="000D67C6" w:rsidRDefault="00A91C81" w:rsidP="00A91C81">
      <w:pPr>
        <w:jc w:val="both"/>
        <w:rPr>
          <w:rFonts w:ascii="Arial" w:hAnsi="Arial" w:cs="Arial"/>
          <w:sz w:val="22"/>
          <w:szCs w:val="22"/>
        </w:rPr>
      </w:pPr>
    </w:p>
    <w:p w14:paraId="30ACE418" w14:textId="77777777" w:rsidR="00A91C81" w:rsidRPr="000D67C6" w:rsidRDefault="00A91C81" w:rsidP="00A91C81">
      <w:pPr>
        <w:jc w:val="both"/>
        <w:rPr>
          <w:rFonts w:cs="Arial"/>
          <w:sz w:val="22"/>
          <w:szCs w:val="22"/>
        </w:rPr>
      </w:pPr>
      <w:r w:rsidRPr="000D67C6">
        <w:rPr>
          <w:rFonts w:ascii="Arial" w:hAnsi="Arial" w:cs="Arial"/>
          <w:sz w:val="22"/>
          <w:szCs w:val="22"/>
        </w:rPr>
        <w:t>The Local Government Pension Scheme has been estimated by Mercer's an independent firm of actuaries and the Firefighters Pension Scheme ha</w:t>
      </w:r>
      <w:r w:rsidR="00B91E17" w:rsidRPr="000D67C6">
        <w:rPr>
          <w:rFonts w:ascii="Arial" w:hAnsi="Arial" w:cs="Arial"/>
          <w:sz w:val="22"/>
          <w:szCs w:val="22"/>
        </w:rPr>
        <w:t>s been valued by the Government</w:t>
      </w:r>
      <w:r w:rsidRPr="000D67C6">
        <w:rPr>
          <w:rFonts w:ascii="Arial" w:hAnsi="Arial" w:cs="Arial"/>
          <w:sz w:val="22"/>
          <w:szCs w:val="22"/>
        </w:rPr>
        <w:t xml:space="preserve"> Actuary</w:t>
      </w:r>
      <w:r w:rsidR="00B91E17" w:rsidRPr="000D67C6">
        <w:rPr>
          <w:rFonts w:ascii="Arial" w:hAnsi="Arial" w:cs="Arial"/>
          <w:sz w:val="22"/>
          <w:szCs w:val="22"/>
        </w:rPr>
        <w:t>’s</w:t>
      </w:r>
      <w:r w:rsidRPr="000D67C6">
        <w:rPr>
          <w:rFonts w:ascii="Arial" w:hAnsi="Arial" w:cs="Arial"/>
          <w:sz w:val="22"/>
          <w:szCs w:val="22"/>
        </w:rPr>
        <w:t xml:space="preserve"> Department (GAD).  Estimates for the Dyfed Pension Fund (the LGPS) are based on the latest full valuation </w:t>
      </w:r>
      <w:r w:rsidR="00C15A6E" w:rsidRPr="000D67C6">
        <w:rPr>
          <w:rFonts w:ascii="Arial" w:hAnsi="Arial" w:cs="Arial"/>
          <w:sz w:val="22"/>
          <w:szCs w:val="22"/>
        </w:rPr>
        <w:t>of the scheme as at 1 April 201</w:t>
      </w:r>
      <w:r w:rsidR="000F4679" w:rsidRPr="000D67C6">
        <w:rPr>
          <w:rFonts w:ascii="Arial" w:hAnsi="Arial" w:cs="Arial"/>
          <w:sz w:val="22"/>
          <w:szCs w:val="22"/>
        </w:rPr>
        <w:t>9</w:t>
      </w:r>
      <w:r w:rsidRPr="000D67C6">
        <w:rPr>
          <w:rFonts w:ascii="Arial" w:hAnsi="Arial" w:cs="Arial"/>
          <w:sz w:val="22"/>
          <w:szCs w:val="22"/>
        </w:rPr>
        <w:t>.</w:t>
      </w:r>
      <w:r w:rsidRPr="000D67C6">
        <w:rPr>
          <w:rFonts w:cs="Arial"/>
          <w:sz w:val="22"/>
          <w:szCs w:val="22"/>
        </w:rPr>
        <w:t xml:space="preserve"> </w:t>
      </w:r>
    </w:p>
    <w:p w14:paraId="73B73E50" w14:textId="77777777" w:rsidR="009A0F09" w:rsidRPr="000D67C6" w:rsidRDefault="009A0F09" w:rsidP="00A91C81">
      <w:pPr>
        <w:jc w:val="both"/>
      </w:pPr>
    </w:p>
    <w:tbl>
      <w:tblPr>
        <w:tblW w:w="8205" w:type="dxa"/>
        <w:jc w:val="center"/>
        <w:tblLayout w:type="fixed"/>
        <w:tblLook w:val="04A0" w:firstRow="1" w:lastRow="0" w:firstColumn="1" w:lastColumn="0" w:noHBand="0" w:noVBand="1"/>
      </w:tblPr>
      <w:tblGrid>
        <w:gridCol w:w="1980"/>
        <w:gridCol w:w="180"/>
        <w:gridCol w:w="4065"/>
        <w:gridCol w:w="1980"/>
      </w:tblGrid>
      <w:tr w:rsidR="00F200E5" w:rsidRPr="000D67C6" w14:paraId="0D42062F" w14:textId="77777777" w:rsidTr="00B143B2">
        <w:trPr>
          <w:trHeight w:val="300"/>
          <w:jc w:val="center"/>
        </w:trPr>
        <w:tc>
          <w:tcPr>
            <w:tcW w:w="8205" w:type="dxa"/>
            <w:gridSpan w:val="4"/>
            <w:shd w:val="clear" w:color="auto" w:fill="auto"/>
            <w:tcMar>
              <w:top w:w="20" w:type="dxa"/>
              <w:left w:w="20" w:type="dxa"/>
              <w:bottom w:w="20" w:type="dxa"/>
              <w:right w:w="20" w:type="dxa"/>
            </w:tcMar>
            <w:vAlign w:val="bottom"/>
          </w:tcPr>
          <w:p w14:paraId="57DE7BD9" w14:textId="77777777" w:rsidR="00F200E5" w:rsidRPr="000D67C6" w:rsidRDefault="00F200E5" w:rsidP="00FC21C6">
            <w:pPr>
              <w:pStyle w:val="T1TableStyle"/>
              <w:spacing w:after="100" w:afterAutospacing="1" w:line="259" w:lineRule="auto"/>
              <w:rPr>
                <w:rFonts w:ascii="Arial" w:eastAsia="Verdana" w:hAnsi="Arial" w:cs="Arial"/>
                <w:b/>
                <w:sz w:val="22"/>
                <w:szCs w:val="22"/>
                <w:lang w:val="en-GB"/>
              </w:rPr>
            </w:pPr>
            <w:r w:rsidRPr="000D67C6">
              <w:rPr>
                <w:rFonts w:ascii="Arial" w:eastAsia="Verdana" w:hAnsi="Arial" w:cs="Arial"/>
                <w:b/>
                <w:sz w:val="22"/>
                <w:szCs w:val="22"/>
                <w:lang w:val="en-GB"/>
              </w:rPr>
              <w:t>The significant assumptions used by the actuary have been:</w:t>
            </w:r>
          </w:p>
        </w:tc>
      </w:tr>
      <w:tr w:rsidR="00F200E5" w:rsidRPr="000D67C6" w14:paraId="38A30E99" w14:textId="77777777" w:rsidTr="00B143B2">
        <w:trPr>
          <w:trHeight w:val="300"/>
          <w:jc w:val="center"/>
        </w:trPr>
        <w:tc>
          <w:tcPr>
            <w:tcW w:w="1980" w:type="dxa"/>
            <w:tcBorders>
              <w:bottom w:val="single" w:sz="2" w:space="0" w:color="000000"/>
            </w:tcBorders>
            <w:shd w:val="clear" w:color="auto" w:fill="auto"/>
            <w:tcMar>
              <w:top w:w="20" w:type="dxa"/>
              <w:left w:w="20" w:type="dxa"/>
              <w:bottom w:w="20" w:type="dxa"/>
              <w:right w:w="20" w:type="dxa"/>
            </w:tcMar>
            <w:vAlign w:val="bottom"/>
          </w:tcPr>
          <w:p w14:paraId="38F3DE17" w14:textId="3F18732B" w:rsidR="00AD78EB" w:rsidRPr="000D67C6" w:rsidRDefault="00AD78EB" w:rsidP="00AD78EB">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Restated</w:t>
            </w:r>
            <w:r w:rsidR="006E5898" w:rsidRPr="000D67C6">
              <w:rPr>
                <w:rFonts w:ascii="Arial" w:eastAsia="Verdana" w:hAnsi="Arial" w:cs="Arial"/>
                <w:b/>
                <w:sz w:val="22"/>
                <w:szCs w:val="22"/>
                <w:lang w:val="en-GB"/>
              </w:rPr>
              <w:t xml:space="preserve"> **</w:t>
            </w:r>
          </w:p>
          <w:p w14:paraId="7E9BE7DA" w14:textId="77777777" w:rsidR="00F200E5" w:rsidRPr="000D67C6" w:rsidRDefault="00C15A6E" w:rsidP="00AD78EB">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180" w:type="dxa"/>
            <w:tcBorders>
              <w:bottom w:val="single" w:sz="2" w:space="0" w:color="000000"/>
            </w:tcBorders>
            <w:shd w:val="clear" w:color="auto" w:fill="auto"/>
            <w:tcMar>
              <w:top w:w="20" w:type="dxa"/>
              <w:left w:w="20" w:type="dxa"/>
              <w:bottom w:w="20" w:type="dxa"/>
              <w:right w:w="20" w:type="dxa"/>
            </w:tcMar>
            <w:vAlign w:val="bottom"/>
          </w:tcPr>
          <w:p w14:paraId="3E1A8BAF" w14:textId="77777777" w:rsidR="00F200E5" w:rsidRPr="000D67C6" w:rsidRDefault="00F200E5" w:rsidP="00AD78EB">
            <w:pPr>
              <w:pStyle w:val="T1TableStyle"/>
              <w:spacing w:line="259" w:lineRule="auto"/>
              <w:jc w:val="center"/>
              <w:rPr>
                <w:rFonts w:ascii="Arial" w:eastAsia="Verdana" w:hAnsi="Arial" w:cs="Arial"/>
                <w:sz w:val="22"/>
                <w:szCs w:val="22"/>
                <w:lang w:val="en-GB"/>
              </w:rPr>
            </w:pPr>
          </w:p>
        </w:tc>
        <w:tc>
          <w:tcPr>
            <w:tcW w:w="4065" w:type="dxa"/>
            <w:tcBorders>
              <w:bottom w:val="single" w:sz="2" w:space="0" w:color="000000"/>
            </w:tcBorders>
            <w:shd w:val="clear" w:color="auto" w:fill="auto"/>
            <w:tcMar>
              <w:top w:w="20" w:type="dxa"/>
              <w:left w:w="20" w:type="dxa"/>
              <w:bottom w:w="20" w:type="dxa"/>
              <w:right w:w="20" w:type="dxa"/>
            </w:tcMar>
            <w:vAlign w:val="bottom"/>
          </w:tcPr>
          <w:p w14:paraId="1B6D8B39" w14:textId="77777777" w:rsidR="00F200E5" w:rsidRPr="000D67C6" w:rsidRDefault="00F200E5" w:rsidP="00AD78EB">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LGPS</w:t>
            </w:r>
          </w:p>
        </w:tc>
        <w:tc>
          <w:tcPr>
            <w:tcW w:w="1980" w:type="dxa"/>
            <w:tcBorders>
              <w:bottom w:val="single" w:sz="2" w:space="0" w:color="000000"/>
            </w:tcBorders>
            <w:shd w:val="clear" w:color="auto" w:fill="auto"/>
            <w:tcMar>
              <w:top w:w="20" w:type="dxa"/>
              <w:left w:w="20" w:type="dxa"/>
              <w:bottom w:w="20" w:type="dxa"/>
              <w:right w:w="20" w:type="dxa"/>
            </w:tcMar>
            <w:vAlign w:val="bottom"/>
          </w:tcPr>
          <w:p w14:paraId="5482CA98" w14:textId="77777777" w:rsidR="00F200E5" w:rsidRPr="000D67C6" w:rsidRDefault="00C15A6E" w:rsidP="00AD78EB">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F200E5" w:rsidRPr="000D67C6" w14:paraId="10A0B9D1" w14:textId="77777777" w:rsidTr="00B143B2">
        <w:trPr>
          <w:trHeight w:val="300"/>
          <w:jc w:val="center"/>
        </w:trPr>
        <w:tc>
          <w:tcPr>
            <w:tcW w:w="8205" w:type="dxa"/>
            <w:gridSpan w:val="4"/>
            <w:shd w:val="clear" w:color="auto" w:fill="auto"/>
            <w:tcMar>
              <w:top w:w="20" w:type="dxa"/>
              <w:left w:w="20" w:type="dxa"/>
              <w:bottom w:w="20" w:type="dxa"/>
              <w:right w:w="20" w:type="dxa"/>
            </w:tcMar>
          </w:tcPr>
          <w:p w14:paraId="6273D434"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Mortality assumptions</w:t>
            </w:r>
          </w:p>
        </w:tc>
      </w:tr>
      <w:tr w:rsidR="00F200E5" w:rsidRPr="000D67C6" w14:paraId="41C665C5" w14:textId="77777777" w:rsidTr="00B143B2">
        <w:trPr>
          <w:trHeight w:val="300"/>
          <w:jc w:val="center"/>
        </w:trPr>
        <w:tc>
          <w:tcPr>
            <w:tcW w:w="8205" w:type="dxa"/>
            <w:gridSpan w:val="4"/>
            <w:shd w:val="clear" w:color="auto" w:fill="auto"/>
            <w:tcMar>
              <w:top w:w="20" w:type="dxa"/>
              <w:left w:w="20" w:type="dxa"/>
              <w:bottom w:w="20" w:type="dxa"/>
              <w:right w:w="20" w:type="dxa"/>
            </w:tcMar>
          </w:tcPr>
          <w:p w14:paraId="01054220"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Longevity at retirement for current pensioners</w:t>
            </w:r>
          </w:p>
        </w:tc>
      </w:tr>
      <w:tr w:rsidR="000F4679" w:rsidRPr="000D67C6" w14:paraId="6E41AB3C" w14:textId="77777777" w:rsidTr="00B143B2">
        <w:trPr>
          <w:trHeight w:val="300"/>
          <w:jc w:val="center"/>
        </w:trPr>
        <w:tc>
          <w:tcPr>
            <w:tcW w:w="1980" w:type="dxa"/>
            <w:shd w:val="clear" w:color="auto" w:fill="auto"/>
            <w:tcMar>
              <w:top w:w="20" w:type="dxa"/>
              <w:left w:w="20" w:type="dxa"/>
              <w:bottom w:w="20" w:type="dxa"/>
              <w:right w:w="20" w:type="dxa"/>
            </w:tcMar>
          </w:tcPr>
          <w:p w14:paraId="733B0D7B"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22.9</w:t>
            </w:r>
          </w:p>
        </w:tc>
        <w:tc>
          <w:tcPr>
            <w:tcW w:w="180" w:type="dxa"/>
            <w:shd w:val="clear" w:color="auto" w:fill="auto"/>
            <w:tcMar>
              <w:top w:w="20" w:type="dxa"/>
              <w:left w:w="20" w:type="dxa"/>
              <w:bottom w:w="20" w:type="dxa"/>
              <w:right w:w="20" w:type="dxa"/>
            </w:tcMar>
          </w:tcPr>
          <w:p w14:paraId="3B8127F6"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64E6E101"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Men</w:t>
            </w:r>
          </w:p>
        </w:tc>
        <w:tc>
          <w:tcPr>
            <w:tcW w:w="1980" w:type="dxa"/>
            <w:shd w:val="clear" w:color="auto" w:fill="auto"/>
            <w:tcMar>
              <w:top w:w="20" w:type="dxa"/>
              <w:left w:w="20" w:type="dxa"/>
              <w:bottom w:w="20" w:type="dxa"/>
              <w:right w:w="20" w:type="dxa"/>
            </w:tcMar>
          </w:tcPr>
          <w:p w14:paraId="0852DF00" w14:textId="77777777" w:rsidR="000F4679" w:rsidRPr="000D67C6" w:rsidRDefault="00EB2F2A"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23.0</w:t>
            </w:r>
          </w:p>
        </w:tc>
      </w:tr>
      <w:tr w:rsidR="000F4679" w:rsidRPr="000D67C6" w14:paraId="473447FC" w14:textId="77777777" w:rsidTr="00B143B2">
        <w:trPr>
          <w:trHeight w:val="300"/>
          <w:jc w:val="center"/>
        </w:trPr>
        <w:tc>
          <w:tcPr>
            <w:tcW w:w="1980" w:type="dxa"/>
            <w:shd w:val="clear" w:color="auto" w:fill="auto"/>
            <w:tcMar>
              <w:top w:w="20" w:type="dxa"/>
              <w:left w:w="20" w:type="dxa"/>
              <w:bottom w:w="20" w:type="dxa"/>
              <w:right w:w="20" w:type="dxa"/>
            </w:tcMar>
          </w:tcPr>
          <w:p w14:paraId="68530B64"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25.6</w:t>
            </w:r>
          </w:p>
        </w:tc>
        <w:tc>
          <w:tcPr>
            <w:tcW w:w="180" w:type="dxa"/>
            <w:shd w:val="clear" w:color="auto" w:fill="auto"/>
            <w:tcMar>
              <w:top w:w="20" w:type="dxa"/>
              <w:left w:w="20" w:type="dxa"/>
              <w:bottom w:w="20" w:type="dxa"/>
              <w:right w:w="20" w:type="dxa"/>
            </w:tcMar>
          </w:tcPr>
          <w:p w14:paraId="54E8D910"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03DC1D92"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Women</w:t>
            </w:r>
          </w:p>
        </w:tc>
        <w:tc>
          <w:tcPr>
            <w:tcW w:w="1980" w:type="dxa"/>
            <w:shd w:val="clear" w:color="auto" w:fill="auto"/>
            <w:tcMar>
              <w:top w:w="20" w:type="dxa"/>
              <w:left w:w="20" w:type="dxa"/>
              <w:bottom w:w="20" w:type="dxa"/>
              <w:right w:w="20" w:type="dxa"/>
            </w:tcMar>
          </w:tcPr>
          <w:p w14:paraId="2E672CF4" w14:textId="77777777" w:rsidR="000F4679" w:rsidRPr="000D67C6" w:rsidRDefault="00EB2F2A"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25.7</w:t>
            </w:r>
          </w:p>
        </w:tc>
      </w:tr>
      <w:tr w:rsidR="00F200E5" w:rsidRPr="000D67C6" w14:paraId="787478F2" w14:textId="77777777" w:rsidTr="00B143B2">
        <w:trPr>
          <w:trHeight w:val="300"/>
          <w:jc w:val="center"/>
        </w:trPr>
        <w:tc>
          <w:tcPr>
            <w:tcW w:w="8205" w:type="dxa"/>
            <w:gridSpan w:val="4"/>
            <w:shd w:val="clear" w:color="auto" w:fill="auto"/>
            <w:tcMar>
              <w:top w:w="20" w:type="dxa"/>
              <w:left w:w="20" w:type="dxa"/>
              <w:bottom w:w="20" w:type="dxa"/>
              <w:right w:w="20" w:type="dxa"/>
            </w:tcMar>
          </w:tcPr>
          <w:p w14:paraId="3BBA62FE"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Longevity at retirement for future pensioners</w:t>
            </w:r>
          </w:p>
        </w:tc>
      </w:tr>
      <w:tr w:rsidR="000F4679" w:rsidRPr="000D67C6" w14:paraId="7ABCEEFE" w14:textId="77777777" w:rsidTr="00B143B2">
        <w:trPr>
          <w:trHeight w:val="300"/>
          <w:jc w:val="center"/>
        </w:trPr>
        <w:tc>
          <w:tcPr>
            <w:tcW w:w="1980" w:type="dxa"/>
            <w:shd w:val="clear" w:color="auto" w:fill="auto"/>
            <w:tcMar>
              <w:top w:w="20" w:type="dxa"/>
              <w:left w:w="20" w:type="dxa"/>
              <w:bottom w:w="20" w:type="dxa"/>
              <w:right w:w="20" w:type="dxa"/>
            </w:tcMar>
          </w:tcPr>
          <w:p w14:paraId="2750D17A"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25.1</w:t>
            </w:r>
          </w:p>
        </w:tc>
        <w:tc>
          <w:tcPr>
            <w:tcW w:w="180" w:type="dxa"/>
            <w:shd w:val="clear" w:color="auto" w:fill="auto"/>
            <w:tcMar>
              <w:top w:w="20" w:type="dxa"/>
              <w:left w:w="20" w:type="dxa"/>
              <w:bottom w:w="20" w:type="dxa"/>
              <w:right w:w="20" w:type="dxa"/>
            </w:tcMar>
          </w:tcPr>
          <w:p w14:paraId="62810F02"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0C29A9D4"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Men</w:t>
            </w:r>
          </w:p>
        </w:tc>
        <w:tc>
          <w:tcPr>
            <w:tcW w:w="1980" w:type="dxa"/>
            <w:shd w:val="clear" w:color="auto" w:fill="auto"/>
            <w:tcMar>
              <w:top w:w="20" w:type="dxa"/>
              <w:left w:w="20" w:type="dxa"/>
              <w:bottom w:w="20" w:type="dxa"/>
              <w:right w:w="20" w:type="dxa"/>
            </w:tcMar>
          </w:tcPr>
          <w:p w14:paraId="3564E549" w14:textId="77777777" w:rsidR="000F4679" w:rsidRPr="000D67C6" w:rsidRDefault="00F41D41"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25.2</w:t>
            </w:r>
          </w:p>
        </w:tc>
      </w:tr>
      <w:tr w:rsidR="000F4679" w:rsidRPr="000D67C6" w14:paraId="54D369D1" w14:textId="77777777" w:rsidTr="00B143B2">
        <w:trPr>
          <w:trHeight w:val="300"/>
          <w:jc w:val="center"/>
        </w:trPr>
        <w:tc>
          <w:tcPr>
            <w:tcW w:w="1980" w:type="dxa"/>
            <w:shd w:val="clear" w:color="auto" w:fill="auto"/>
            <w:tcMar>
              <w:top w:w="20" w:type="dxa"/>
              <w:left w:w="20" w:type="dxa"/>
              <w:bottom w:w="20" w:type="dxa"/>
              <w:right w:w="20" w:type="dxa"/>
            </w:tcMar>
          </w:tcPr>
          <w:p w14:paraId="3D297F6F"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27.9</w:t>
            </w:r>
          </w:p>
        </w:tc>
        <w:tc>
          <w:tcPr>
            <w:tcW w:w="180" w:type="dxa"/>
            <w:shd w:val="clear" w:color="auto" w:fill="auto"/>
            <w:tcMar>
              <w:top w:w="20" w:type="dxa"/>
              <w:left w:w="20" w:type="dxa"/>
              <w:bottom w:w="20" w:type="dxa"/>
              <w:right w:w="20" w:type="dxa"/>
            </w:tcMar>
          </w:tcPr>
          <w:p w14:paraId="7C0A9438"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3CE532D0"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Women</w:t>
            </w:r>
          </w:p>
        </w:tc>
        <w:tc>
          <w:tcPr>
            <w:tcW w:w="1980" w:type="dxa"/>
            <w:shd w:val="clear" w:color="auto" w:fill="auto"/>
            <w:tcMar>
              <w:top w:w="20" w:type="dxa"/>
              <w:left w:w="20" w:type="dxa"/>
              <w:bottom w:w="20" w:type="dxa"/>
              <w:right w:w="20" w:type="dxa"/>
            </w:tcMar>
          </w:tcPr>
          <w:p w14:paraId="3FDB22D0" w14:textId="77777777" w:rsidR="000F4679" w:rsidRPr="000D67C6" w:rsidRDefault="00F41D41"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28.1</w:t>
            </w:r>
          </w:p>
        </w:tc>
      </w:tr>
      <w:tr w:rsidR="00F200E5" w:rsidRPr="000D67C6" w14:paraId="0E4DFE8D" w14:textId="77777777" w:rsidTr="00B143B2">
        <w:trPr>
          <w:trHeight w:val="300"/>
          <w:jc w:val="center"/>
        </w:trPr>
        <w:tc>
          <w:tcPr>
            <w:tcW w:w="8205" w:type="dxa"/>
            <w:gridSpan w:val="4"/>
            <w:shd w:val="clear" w:color="auto" w:fill="auto"/>
            <w:tcMar>
              <w:top w:w="20" w:type="dxa"/>
              <w:left w:w="20" w:type="dxa"/>
              <w:bottom w:w="20" w:type="dxa"/>
              <w:right w:w="20" w:type="dxa"/>
            </w:tcMar>
          </w:tcPr>
          <w:p w14:paraId="4D8F521D"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Other assumptions</w:t>
            </w:r>
          </w:p>
        </w:tc>
      </w:tr>
      <w:tr w:rsidR="000F4679" w:rsidRPr="000D67C6" w14:paraId="7DBAAE2A" w14:textId="77777777" w:rsidTr="00B143B2">
        <w:trPr>
          <w:trHeight w:val="300"/>
          <w:jc w:val="center"/>
        </w:trPr>
        <w:tc>
          <w:tcPr>
            <w:tcW w:w="1980" w:type="dxa"/>
            <w:shd w:val="clear" w:color="auto" w:fill="auto"/>
            <w:tcMar>
              <w:top w:w="20" w:type="dxa"/>
              <w:left w:w="20" w:type="dxa"/>
              <w:bottom w:w="20" w:type="dxa"/>
              <w:right w:w="20" w:type="dxa"/>
            </w:tcMar>
          </w:tcPr>
          <w:p w14:paraId="612B1CCB"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2.1%</w:t>
            </w:r>
          </w:p>
        </w:tc>
        <w:tc>
          <w:tcPr>
            <w:tcW w:w="180" w:type="dxa"/>
            <w:shd w:val="clear" w:color="auto" w:fill="auto"/>
            <w:tcMar>
              <w:top w:w="20" w:type="dxa"/>
              <w:left w:w="20" w:type="dxa"/>
              <w:bottom w:w="20" w:type="dxa"/>
              <w:right w:w="20" w:type="dxa"/>
            </w:tcMar>
          </w:tcPr>
          <w:p w14:paraId="4DFC9314"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6DA33F5A"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inflation</w:t>
            </w:r>
          </w:p>
        </w:tc>
        <w:tc>
          <w:tcPr>
            <w:tcW w:w="1980" w:type="dxa"/>
            <w:shd w:val="clear" w:color="auto" w:fill="auto"/>
            <w:tcMar>
              <w:top w:w="20" w:type="dxa"/>
              <w:left w:w="20" w:type="dxa"/>
              <w:bottom w:w="20" w:type="dxa"/>
              <w:right w:w="20" w:type="dxa"/>
            </w:tcMar>
          </w:tcPr>
          <w:p w14:paraId="2AC25EC6" w14:textId="77777777" w:rsidR="000F4679" w:rsidRPr="000D67C6" w:rsidRDefault="00A31902" w:rsidP="00A31902">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w:t>
            </w:r>
          </w:p>
        </w:tc>
      </w:tr>
      <w:tr w:rsidR="000F4679" w:rsidRPr="000D67C6" w14:paraId="1FDF0DB0" w14:textId="77777777" w:rsidTr="00B143B2">
        <w:trPr>
          <w:trHeight w:val="300"/>
          <w:jc w:val="center"/>
        </w:trPr>
        <w:tc>
          <w:tcPr>
            <w:tcW w:w="1980" w:type="dxa"/>
            <w:shd w:val="clear" w:color="auto" w:fill="auto"/>
            <w:tcMar>
              <w:top w:w="20" w:type="dxa"/>
              <w:left w:w="20" w:type="dxa"/>
              <w:bottom w:w="20" w:type="dxa"/>
              <w:right w:w="20" w:type="dxa"/>
            </w:tcMar>
          </w:tcPr>
          <w:p w14:paraId="7DB87219"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3.6%</w:t>
            </w:r>
          </w:p>
        </w:tc>
        <w:tc>
          <w:tcPr>
            <w:tcW w:w="180" w:type="dxa"/>
            <w:shd w:val="clear" w:color="auto" w:fill="auto"/>
            <w:tcMar>
              <w:top w:w="20" w:type="dxa"/>
              <w:left w:w="20" w:type="dxa"/>
              <w:bottom w:w="20" w:type="dxa"/>
              <w:right w:w="20" w:type="dxa"/>
            </w:tcMar>
          </w:tcPr>
          <w:p w14:paraId="27FE1834"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59F344C0"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increase in salaries</w:t>
            </w:r>
          </w:p>
        </w:tc>
        <w:tc>
          <w:tcPr>
            <w:tcW w:w="1980" w:type="dxa"/>
            <w:shd w:val="clear" w:color="auto" w:fill="auto"/>
            <w:tcMar>
              <w:top w:w="20" w:type="dxa"/>
              <w:left w:w="20" w:type="dxa"/>
              <w:bottom w:w="20" w:type="dxa"/>
              <w:right w:w="20" w:type="dxa"/>
            </w:tcMar>
          </w:tcPr>
          <w:p w14:paraId="64A16CFD" w14:textId="77777777" w:rsidR="000F4679" w:rsidRPr="000D67C6" w:rsidRDefault="00A31902" w:rsidP="00A31902">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3.7%</w:t>
            </w:r>
          </w:p>
        </w:tc>
      </w:tr>
      <w:tr w:rsidR="000F4679" w:rsidRPr="000D67C6" w14:paraId="516C565A" w14:textId="77777777" w:rsidTr="00C15A6E">
        <w:trPr>
          <w:trHeight w:val="177"/>
          <w:jc w:val="center"/>
        </w:trPr>
        <w:tc>
          <w:tcPr>
            <w:tcW w:w="1980" w:type="dxa"/>
            <w:shd w:val="clear" w:color="auto" w:fill="auto"/>
            <w:tcMar>
              <w:top w:w="20" w:type="dxa"/>
              <w:left w:w="20" w:type="dxa"/>
              <w:bottom w:w="20" w:type="dxa"/>
              <w:right w:w="20" w:type="dxa"/>
            </w:tcMar>
          </w:tcPr>
          <w:p w14:paraId="4B1CE25E"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w:t>
            </w:r>
          </w:p>
        </w:tc>
        <w:tc>
          <w:tcPr>
            <w:tcW w:w="180" w:type="dxa"/>
            <w:shd w:val="clear" w:color="auto" w:fill="auto"/>
            <w:tcMar>
              <w:top w:w="20" w:type="dxa"/>
              <w:left w:w="20" w:type="dxa"/>
              <w:bottom w:w="20" w:type="dxa"/>
              <w:right w:w="20" w:type="dxa"/>
            </w:tcMar>
          </w:tcPr>
          <w:p w14:paraId="2E250A4A"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5E088010"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increase in pensions</w:t>
            </w:r>
          </w:p>
        </w:tc>
        <w:tc>
          <w:tcPr>
            <w:tcW w:w="1980" w:type="dxa"/>
            <w:shd w:val="clear" w:color="auto" w:fill="auto"/>
            <w:tcMar>
              <w:top w:w="20" w:type="dxa"/>
              <w:left w:w="20" w:type="dxa"/>
              <w:bottom w:w="20" w:type="dxa"/>
              <w:right w:w="20" w:type="dxa"/>
            </w:tcMar>
          </w:tcPr>
          <w:p w14:paraId="0725D516" w14:textId="77777777" w:rsidR="000F4679" w:rsidRPr="000D67C6" w:rsidRDefault="00A31902" w:rsidP="00A31902">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w:t>
            </w:r>
          </w:p>
        </w:tc>
      </w:tr>
      <w:tr w:rsidR="000F4679" w:rsidRPr="000D67C6" w14:paraId="312EFBAD" w14:textId="77777777" w:rsidTr="00B143B2">
        <w:trPr>
          <w:trHeight w:val="300"/>
          <w:jc w:val="center"/>
        </w:trPr>
        <w:tc>
          <w:tcPr>
            <w:tcW w:w="1980" w:type="dxa"/>
            <w:shd w:val="clear" w:color="auto" w:fill="auto"/>
            <w:tcMar>
              <w:top w:w="20" w:type="dxa"/>
              <w:left w:w="20" w:type="dxa"/>
              <w:bottom w:w="20" w:type="dxa"/>
              <w:right w:w="20" w:type="dxa"/>
            </w:tcMar>
          </w:tcPr>
          <w:p w14:paraId="44399EBA"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2.7%</w:t>
            </w:r>
          </w:p>
        </w:tc>
        <w:tc>
          <w:tcPr>
            <w:tcW w:w="180" w:type="dxa"/>
            <w:shd w:val="clear" w:color="auto" w:fill="auto"/>
            <w:tcMar>
              <w:top w:w="20" w:type="dxa"/>
              <w:left w:w="20" w:type="dxa"/>
              <w:bottom w:w="20" w:type="dxa"/>
              <w:right w:w="20" w:type="dxa"/>
            </w:tcMar>
          </w:tcPr>
          <w:p w14:paraId="718B0BDA" w14:textId="77777777" w:rsidR="000F4679" w:rsidRPr="000D67C6" w:rsidRDefault="000F4679"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7E529291" w14:textId="77777777" w:rsidR="000F4679" w:rsidRPr="000D67C6" w:rsidRDefault="000F4679" w:rsidP="00A73FF5">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for discounting scheme liabilities</w:t>
            </w:r>
          </w:p>
        </w:tc>
        <w:tc>
          <w:tcPr>
            <w:tcW w:w="1980" w:type="dxa"/>
            <w:shd w:val="clear" w:color="auto" w:fill="auto"/>
            <w:tcMar>
              <w:top w:w="20" w:type="dxa"/>
              <w:left w:w="20" w:type="dxa"/>
              <w:bottom w:w="20" w:type="dxa"/>
              <w:right w:w="20" w:type="dxa"/>
            </w:tcMar>
          </w:tcPr>
          <w:p w14:paraId="40CDC5ED" w14:textId="77777777" w:rsidR="000F4679" w:rsidRPr="000D67C6" w:rsidRDefault="00A73FF5" w:rsidP="00A31902">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2.5%</w:t>
            </w:r>
          </w:p>
        </w:tc>
      </w:tr>
      <w:tr w:rsidR="00A73FF5" w:rsidRPr="000D67C6" w14:paraId="3696412E" w14:textId="77777777" w:rsidTr="00B143B2">
        <w:trPr>
          <w:trHeight w:val="300"/>
          <w:jc w:val="center"/>
        </w:trPr>
        <w:tc>
          <w:tcPr>
            <w:tcW w:w="1980" w:type="dxa"/>
            <w:shd w:val="clear" w:color="auto" w:fill="auto"/>
            <w:tcMar>
              <w:top w:w="20" w:type="dxa"/>
              <w:left w:w="20" w:type="dxa"/>
              <w:bottom w:w="20" w:type="dxa"/>
              <w:right w:w="20" w:type="dxa"/>
            </w:tcMar>
          </w:tcPr>
          <w:p w14:paraId="7279E8DF" w14:textId="77777777" w:rsidR="00A73FF5" w:rsidRPr="000D67C6" w:rsidRDefault="00A73FF5"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2.1%</w:t>
            </w:r>
          </w:p>
        </w:tc>
        <w:tc>
          <w:tcPr>
            <w:tcW w:w="180" w:type="dxa"/>
            <w:shd w:val="clear" w:color="auto" w:fill="auto"/>
            <w:tcMar>
              <w:top w:w="20" w:type="dxa"/>
              <w:left w:w="20" w:type="dxa"/>
              <w:bottom w:w="20" w:type="dxa"/>
              <w:right w:w="20" w:type="dxa"/>
            </w:tcMar>
          </w:tcPr>
          <w:p w14:paraId="49E7A8B9" w14:textId="77777777" w:rsidR="00A73FF5" w:rsidRPr="000D67C6" w:rsidRDefault="00A73FF5" w:rsidP="000F4679">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5740A8D5" w14:textId="77777777" w:rsidR="00A73FF5" w:rsidRPr="000D67C6" w:rsidRDefault="00A73FF5" w:rsidP="000F4679">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CARE revaluation rate</w:t>
            </w:r>
          </w:p>
        </w:tc>
        <w:tc>
          <w:tcPr>
            <w:tcW w:w="1980" w:type="dxa"/>
            <w:shd w:val="clear" w:color="auto" w:fill="auto"/>
            <w:tcMar>
              <w:top w:w="20" w:type="dxa"/>
              <w:left w:w="20" w:type="dxa"/>
              <w:bottom w:w="20" w:type="dxa"/>
              <w:right w:w="20" w:type="dxa"/>
            </w:tcMar>
          </w:tcPr>
          <w:p w14:paraId="6699D53C" w14:textId="77777777" w:rsidR="00A73FF5" w:rsidRPr="000D67C6" w:rsidRDefault="00AD78EB" w:rsidP="00A31902">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w:t>
            </w:r>
          </w:p>
        </w:tc>
      </w:tr>
      <w:tr w:rsidR="00F200E5" w:rsidRPr="000D67C6" w14:paraId="09382104" w14:textId="77777777" w:rsidTr="00B143B2">
        <w:trPr>
          <w:trHeight w:val="441"/>
          <w:jc w:val="center"/>
        </w:trPr>
        <w:tc>
          <w:tcPr>
            <w:tcW w:w="1980" w:type="dxa"/>
            <w:tcBorders>
              <w:bottom w:val="single" w:sz="2" w:space="0" w:color="000000"/>
            </w:tcBorders>
            <w:shd w:val="clear" w:color="auto" w:fill="auto"/>
            <w:tcMar>
              <w:top w:w="20" w:type="dxa"/>
              <w:left w:w="20" w:type="dxa"/>
              <w:bottom w:w="20" w:type="dxa"/>
              <w:right w:w="20" w:type="dxa"/>
            </w:tcMar>
            <w:vAlign w:val="bottom"/>
          </w:tcPr>
          <w:p w14:paraId="2E34E4B3" w14:textId="77777777" w:rsidR="005F498F" w:rsidRPr="000D67C6" w:rsidRDefault="005F498F" w:rsidP="00A805BE">
            <w:pPr>
              <w:pStyle w:val="T1TableStyle"/>
              <w:spacing w:line="259" w:lineRule="auto"/>
              <w:jc w:val="center"/>
              <w:rPr>
                <w:rFonts w:ascii="Arial" w:eastAsia="Verdana" w:hAnsi="Arial" w:cs="Arial"/>
                <w:b/>
                <w:sz w:val="22"/>
                <w:szCs w:val="22"/>
                <w:lang w:val="en-GB"/>
              </w:rPr>
            </w:pPr>
          </w:p>
          <w:p w14:paraId="258F8364" w14:textId="7E91CDA0" w:rsidR="00A805BE" w:rsidRPr="000D67C6" w:rsidRDefault="00A805BE" w:rsidP="00A805BE">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Restated</w:t>
            </w:r>
            <w:r w:rsidR="006E5898" w:rsidRPr="000D67C6">
              <w:rPr>
                <w:rFonts w:ascii="Arial" w:eastAsia="Verdana" w:hAnsi="Arial" w:cs="Arial"/>
                <w:b/>
                <w:sz w:val="22"/>
                <w:szCs w:val="22"/>
                <w:lang w:val="en-GB"/>
              </w:rPr>
              <w:t xml:space="preserve"> **</w:t>
            </w:r>
          </w:p>
          <w:p w14:paraId="0DB065E7" w14:textId="77777777" w:rsidR="00F200E5" w:rsidRPr="000D67C6" w:rsidRDefault="00C15A6E" w:rsidP="00A805BE">
            <w:pPr>
              <w:pStyle w:val="T1TableStyle"/>
              <w:spacing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7</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8</w:t>
            </w:r>
          </w:p>
        </w:tc>
        <w:tc>
          <w:tcPr>
            <w:tcW w:w="180" w:type="dxa"/>
            <w:tcBorders>
              <w:bottom w:val="single" w:sz="2" w:space="0" w:color="000000"/>
            </w:tcBorders>
            <w:shd w:val="clear" w:color="auto" w:fill="auto"/>
            <w:tcMar>
              <w:top w:w="20" w:type="dxa"/>
              <w:left w:w="20" w:type="dxa"/>
              <w:bottom w:w="20" w:type="dxa"/>
              <w:right w:w="20" w:type="dxa"/>
            </w:tcMar>
            <w:vAlign w:val="bottom"/>
          </w:tcPr>
          <w:p w14:paraId="434208D6"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p>
        </w:tc>
        <w:tc>
          <w:tcPr>
            <w:tcW w:w="4065" w:type="dxa"/>
            <w:tcBorders>
              <w:bottom w:val="single" w:sz="2" w:space="0" w:color="000000"/>
            </w:tcBorders>
            <w:shd w:val="clear" w:color="auto" w:fill="auto"/>
            <w:tcMar>
              <w:top w:w="20" w:type="dxa"/>
              <w:left w:w="20" w:type="dxa"/>
              <w:bottom w:w="20" w:type="dxa"/>
              <w:right w:w="20" w:type="dxa"/>
            </w:tcMar>
            <w:vAlign w:val="bottom"/>
          </w:tcPr>
          <w:p w14:paraId="5759E33D" w14:textId="77777777" w:rsidR="00F200E5" w:rsidRPr="000D67C6" w:rsidRDefault="00F200E5" w:rsidP="00FC21C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Firefighter Pension Scheme</w:t>
            </w:r>
          </w:p>
        </w:tc>
        <w:tc>
          <w:tcPr>
            <w:tcW w:w="1980" w:type="dxa"/>
            <w:tcBorders>
              <w:bottom w:val="single" w:sz="2" w:space="0" w:color="000000"/>
            </w:tcBorders>
            <w:shd w:val="clear" w:color="auto" w:fill="auto"/>
            <w:tcMar>
              <w:top w:w="20" w:type="dxa"/>
              <w:left w:w="20" w:type="dxa"/>
              <w:bottom w:w="20" w:type="dxa"/>
              <w:right w:w="20" w:type="dxa"/>
            </w:tcMar>
            <w:vAlign w:val="bottom"/>
          </w:tcPr>
          <w:p w14:paraId="2E6F91C6" w14:textId="77777777" w:rsidR="00F200E5" w:rsidRPr="000D67C6" w:rsidRDefault="00C15A6E" w:rsidP="00FC21C6">
            <w:pPr>
              <w:pStyle w:val="T1TableStyle"/>
              <w:spacing w:after="100" w:afterAutospacing="1" w:line="259" w:lineRule="auto"/>
              <w:jc w:val="center"/>
              <w:rPr>
                <w:rFonts w:ascii="Arial" w:eastAsia="Verdana" w:hAnsi="Arial" w:cs="Arial"/>
                <w:b/>
                <w:sz w:val="22"/>
                <w:szCs w:val="22"/>
                <w:lang w:val="en-GB"/>
              </w:rPr>
            </w:pPr>
            <w:r w:rsidRPr="000D67C6">
              <w:rPr>
                <w:rFonts w:ascii="Arial" w:eastAsia="Verdana" w:hAnsi="Arial" w:cs="Arial"/>
                <w:b/>
                <w:sz w:val="22"/>
                <w:szCs w:val="22"/>
                <w:lang w:val="en-GB"/>
              </w:rPr>
              <w:t>201</w:t>
            </w:r>
            <w:r w:rsidR="000F4679" w:rsidRPr="000D67C6">
              <w:rPr>
                <w:rFonts w:ascii="Arial" w:eastAsia="Verdana" w:hAnsi="Arial" w:cs="Arial"/>
                <w:b/>
                <w:sz w:val="22"/>
                <w:szCs w:val="22"/>
                <w:lang w:val="en-GB"/>
              </w:rPr>
              <w:t>8</w:t>
            </w:r>
            <w:r w:rsidRPr="000D67C6">
              <w:rPr>
                <w:rFonts w:ascii="Arial" w:eastAsia="Verdana" w:hAnsi="Arial" w:cs="Arial"/>
                <w:b/>
                <w:sz w:val="22"/>
                <w:szCs w:val="22"/>
                <w:lang w:val="en-GB"/>
              </w:rPr>
              <w:t>/1</w:t>
            </w:r>
            <w:r w:rsidR="000F4679" w:rsidRPr="000D67C6">
              <w:rPr>
                <w:rFonts w:ascii="Arial" w:eastAsia="Verdana" w:hAnsi="Arial" w:cs="Arial"/>
                <w:b/>
                <w:sz w:val="22"/>
                <w:szCs w:val="22"/>
                <w:lang w:val="en-GB"/>
              </w:rPr>
              <w:t>9</w:t>
            </w:r>
          </w:p>
        </w:tc>
      </w:tr>
      <w:tr w:rsidR="00F200E5" w:rsidRPr="000D67C6" w14:paraId="333AD277" w14:textId="77777777" w:rsidTr="00B143B2">
        <w:trPr>
          <w:trHeight w:val="300"/>
          <w:jc w:val="center"/>
        </w:trPr>
        <w:tc>
          <w:tcPr>
            <w:tcW w:w="8205" w:type="dxa"/>
            <w:gridSpan w:val="4"/>
            <w:shd w:val="clear" w:color="auto" w:fill="auto"/>
            <w:tcMar>
              <w:top w:w="20" w:type="dxa"/>
              <w:left w:w="20" w:type="dxa"/>
              <w:bottom w:w="20" w:type="dxa"/>
              <w:right w:w="20" w:type="dxa"/>
            </w:tcMar>
          </w:tcPr>
          <w:p w14:paraId="49573FE3"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Mortality assumptions</w:t>
            </w:r>
          </w:p>
        </w:tc>
      </w:tr>
      <w:tr w:rsidR="00F200E5" w:rsidRPr="000D67C6" w14:paraId="53DBA214" w14:textId="77777777" w:rsidTr="00B143B2">
        <w:trPr>
          <w:trHeight w:val="300"/>
          <w:jc w:val="center"/>
        </w:trPr>
        <w:tc>
          <w:tcPr>
            <w:tcW w:w="8205" w:type="dxa"/>
            <w:gridSpan w:val="4"/>
            <w:shd w:val="clear" w:color="auto" w:fill="auto"/>
            <w:tcMar>
              <w:top w:w="20" w:type="dxa"/>
              <w:left w:w="20" w:type="dxa"/>
              <w:bottom w:w="20" w:type="dxa"/>
              <w:right w:w="20" w:type="dxa"/>
            </w:tcMar>
          </w:tcPr>
          <w:p w14:paraId="72A8E164"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Longevity at retirement for current pensioners</w:t>
            </w:r>
          </w:p>
        </w:tc>
      </w:tr>
      <w:tr w:rsidR="00F200E5" w:rsidRPr="000D67C6" w14:paraId="06B078F0" w14:textId="77777777" w:rsidTr="00B143B2">
        <w:trPr>
          <w:trHeight w:val="300"/>
          <w:jc w:val="center"/>
        </w:trPr>
        <w:tc>
          <w:tcPr>
            <w:tcW w:w="1980" w:type="dxa"/>
            <w:shd w:val="clear" w:color="auto" w:fill="auto"/>
            <w:tcMar>
              <w:top w:w="20" w:type="dxa"/>
              <w:left w:w="20" w:type="dxa"/>
              <w:bottom w:w="20" w:type="dxa"/>
              <w:right w:w="20" w:type="dxa"/>
            </w:tcMar>
          </w:tcPr>
          <w:p w14:paraId="2BE5B0B5" w14:textId="77777777" w:rsidR="00F200E5" w:rsidRPr="000D67C6" w:rsidRDefault="00C15A6E"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w:t>
            </w:r>
            <w:r w:rsidR="000F4679" w:rsidRPr="000D67C6">
              <w:rPr>
                <w:rFonts w:ascii="Arial" w:eastAsia="Verdana" w:hAnsi="Arial" w:cs="Arial"/>
                <w:sz w:val="22"/>
                <w:szCs w:val="22"/>
                <w:lang w:val="en-GB"/>
              </w:rPr>
              <w:t>1.9</w:t>
            </w:r>
          </w:p>
        </w:tc>
        <w:tc>
          <w:tcPr>
            <w:tcW w:w="180" w:type="dxa"/>
            <w:shd w:val="clear" w:color="auto" w:fill="auto"/>
            <w:tcMar>
              <w:top w:w="20" w:type="dxa"/>
              <w:left w:w="20" w:type="dxa"/>
              <w:bottom w:w="20" w:type="dxa"/>
              <w:right w:w="20" w:type="dxa"/>
            </w:tcMar>
          </w:tcPr>
          <w:p w14:paraId="25B8E89F"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41C0DF92"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Men</w:t>
            </w:r>
          </w:p>
        </w:tc>
        <w:tc>
          <w:tcPr>
            <w:tcW w:w="1980" w:type="dxa"/>
            <w:shd w:val="clear" w:color="auto" w:fill="auto"/>
            <w:tcMar>
              <w:top w:w="20" w:type="dxa"/>
              <w:left w:w="20" w:type="dxa"/>
              <w:bottom w:w="20" w:type="dxa"/>
              <w:right w:w="20" w:type="dxa"/>
            </w:tcMar>
          </w:tcPr>
          <w:p w14:paraId="1F4DCCA4" w14:textId="77777777" w:rsidR="00F200E5" w:rsidRPr="000D67C6" w:rsidRDefault="00985197"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22.0</w:t>
            </w:r>
          </w:p>
        </w:tc>
      </w:tr>
      <w:tr w:rsidR="00F200E5" w:rsidRPr="000D67C6" w14:paraId="0D8E41A6" w14:textId="77777777" w:rsidTr="00B143B2">
        <w:trPr>
          <w:trHeight w:val="300"/>
          <w:jc w:val="center"/>
        </w:trPr>
        <w:tc>
          <w:tcPr>
            <w:tcW w:w="1980" w:type="dxa"/>
            <w:shd w:val="clear" w:color="auto" w:fill="auto"/>
            <w:tcMar>
              <w:top w:w="20" w:type="dxa"/>
              <w:left w:w="20" w:type="dxa"/>
              <w:bottom w:w="20" w:type="dxa"/>
              <w:right w:w="20" w:type="dxa"/>
            </w:tcMar>
          </w:tcPr>
          <w:p w14:paraId="3B1C3BFF" w14:textId="77777777" w:rsidR="00F200E5" w:rsidRPr="000D67C6" w:rsidRDefault="00C15A6E"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w:t>
            </w:r>
            <w:r w:rsidR="000F4679" w:rsidRPr="000D67C6">
              <w:rPr>
                <w:rFonts w:ascii="Arial" w:eastAsia="Verdana" w:hAnsi="Arial" w:cs="Arial"/>
                <w:sz w:val="22"/>
                <w:szCs w:val="22"/>
                <w:lang w:val="en-GB"/>
              </w:rPr>
              <w:t>1.9</w:t>
            </w:r>
          </w:p>
        </w:tc>
        <w:tc>
          <w:tcPr>
            <w:tcW w:w="180" w:type="dxa"/>
            <w:shd w:val="clear" w:color="auto" w:fill="auto"/>
            <w:tcMar>
              <w:top w:w="20" w:type="dxa"/>
              <w:left w:w="20" w:type="dxa"/>
              <w:bottom w:w="20" w:type="dxa"/>
              <w:right w:w="20" w:type="dxa"/>
            </w:tcMar>
          </w:tcPr>
          <w:p w14:paraId="453670F1"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54979615"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Women</w:t>
            </w:r>
          </w:p>
        </w:tc>
        <w:tc>
          <w:tcPr>
            <w:tcW w:w="1980" w:type="dxa"/>
            <w:shd w:val="clear" w:color="auto" w:fill="auto"/>
            <w:tcMar>
              <w:top w:w="20" w:type="dxa"/>
              <w:left w:w="20" w:type="dxa"/>
              <w:bottom w:w="20" w:type="dxa"/>
              <w:right w:w="20" w:type="dxa"/>
            </w:tcMar>
          </w:tcPr>
          <w:p w14:paraId="566576E0" w14:textId="77777777" w:rsidR="00F200E5" w:rsidRPr="000D67C6" w:rsidRDefault="00985197"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22.0</w:t>
            </w:r>
          </w:p>
        </w:tc>
      </w:tr>
      <w:tr w:rsidR="00F200E5" w:rsidRPr="000D67C6" w14:paraId="37DADD1A" w14:textId="77777777" w:rsidTr="00B143B2">
        <w:trPr>
          <w:trHeight w:val="300"/>
          <w:jc w:val="center"/>
        </w:trPr>
        <w:tc>
          <w:tcPr>
            <w:tcW w:w="8205" w:type="dxa"/>
            <w:gridSpan w:val="4"/>
            <w:shd w:val="clear" w:color="auto" w:fill="auto"/>
            <w:tcMar>
              <w:top w:w="20" w:type="dxa"/>
              <w:left w:w="20" w:type="dxa"/>
              <w:bottom w:w="20" w:type="dxa"/>
              <w:right w:w="20" w:type="dxa"/>
            </w:tcMar>
          </w:tcPr>
          <w:p w14:paraId="257941B7"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Longevity at retirement for future pensioners</w:t>
            </w:r>
          </w:p>
        </w:tc>
      </w:tr>
      <w:tr w:rsidR="00F200E5" w:rsidRPr="000D67C6" w14:paraId="2C84EEB0" w14:textId="77777777" w:rsidTr="00B143B2">
        <w:trPr>
          <w:trHeight w:val="300"/>
          <w:jc w:val="center"/>
        </w:trPr>
        <w:tc>
          <w:tcPr>
            <w:tcW w:w="1980" w:type="dxa"/>
            <w:shd w:val="clear" w:color="auto" w:fill="auto"/>
            <w:tcMar>
              <w:top w:w="20" w:type="dxa"/>
              <w:left w:w="20" w:type="dxa"/>
              <w:bottom w:w="20" w:type="dxa"/>
              <w:right w:w="20" w:type="dxa"/>
            </w:tcMar>
          </w:tcPr>
          <w:p w14:paraId="6260FD31" w14:textId="77777777" w:rsidR="00F200E5" w:rsidRPr="000D67C6" w:rsidRDefault="00C15A6E"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w:t>
            </w:r>
            <w:r w:rsidR="000F4679" w:rsidRPr="000D67C6">
              <w:rPr>
                <w:rFonts w:ascii="Arial" w:eastAsia="Verdana" w:hAnsi="Arial" w:cs="Arial"/>
                <w:sz w:val="22"/>
                <w:szCs w:val="22"/>
                <w:lang w:val="en-GB"/>
              </w:rPr>
              <w:t>3.9</w:t>
            </w:r>
          </w:p>
        </w:tc>
        <w:tc>
          <w:tcPr>
            <w:tcW w:w="180" w:type="dxa"/>
            <w:shd w:val="clear" w:color="auto" w:fill="auto"/>
            <w:tcMar>
              <w:top w:w="20" w:type="dxa"/>
              <w:left w:w="20" w:type="dxa"/>
              <w:bottom w:w="20" w:type="dxa"/>
              <w:right w:w="20" w:type="dxa"/>
            </w:tcMar>
          </w:tcPr>
          <w:p w14:paraId="3DDE3D55"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11E3BB60"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Men</w:t>
            </w:r>
          </w:p>
        </w:tc>
        <w:tc>
          <w:tcPr>
            <w:tcW w:w="1980" w:type="dxa"/>
            <w:shd w:val="clear" w:color="auto" w:fill="auto"/>
            <w:tcMar>
              <w:top w:w="20" w:type="dxa"/>
              <w:left w:w="20" w:type="dxa"/>
              <w:bottom w:w="20" w:type="dxa"/>
              <w:right w:w="20" w:type="dxa"/>
            </w:tcMar>
          </w:tcPr>
          <w:p w14:paraId="68980F04" w14:textId="77777777" w:rsidR="00F200E5" w:rsidRPr="000D67C6" w:rsidRDefault="00985197"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23.9</w:t>
            </w:r>
          </w:p>
        </w:tc>
      </w:tr>
      <w:tr w:rsidR="00F200E5" w:rsidRPr="000D67C6" w14:paraId="6FB0DA20" w14:textId="77777777" w:rsidTr="00B143B2">
        <w:trPr>
          <w:trHeight w:val="300"/>
          <w:jc w:val="center"/>
        </w:trPr>
        <w:tc>
          <w:tcPr>
            <w:tcW w:w="1980" w:type="dxa"/>
            <w:shd w:val="clear" w:color="auto" w:fill="auto"/>
            <w:tcMar>
              <w:top w:w="20" w:type="dxa"/>
              <w:left w:w="20" w:type="dxa"/>
              <w:bottom w:w="20" w:type="dxa"/>
              <w:right w:w="20" w:type="dxa"/>
            </w:tcMar>
          </w:tcPr>
          <w:p w14:paraId="02C58E70" w14:textId="77777777" w:rsidR="00F200E5" w:rsidRPr="000D67C6" w:rsidRDefault="00C15A6E"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w:t>
            </w:r>
            <w:r w:rsidR="000F4679" w:rsidRPr="000D67C6">
              <w:rPr>
                <w:rFonts w:ascii="Arial" w:eastAsia="Verdana" w:hAnsi="Arial" w:cs="Arial"/>
                <w:sz w:val="22"/>
                <w:szCs w:val="22"/>
                <w:lang w:val="en-GB"/>
              </w:rPr>
              <w:t>3.9</w:t>
            </w:r>
          </w:p>
        </w:tc>
        <w:tc>
          <w:tcPr>
            <w:tcW w:w="180" w:type="dxa"/>
            <w:shd w:val="clear" w:color="auto" w:fill="auto"/>
            <w:tcMar>
              <w:top w:w="20" w:type="dxa"/>
              <w:left w:w="20" w:type="dxa"/>
              <w:bottom w:w="20" w:type="dxa"/>
              <w:right w:w="20" w:type="dxa"/>
            </w:tcMar>
          </w:tcPr>
          <w:p w14:paraId="6FF61083"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4DE469C7" w14:textId="77777777" w:rsidR="00F200E5" w:rsidRPr="000D67C6" w:rsidRDefault="00F200E5"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Women</w:t>
            </w:r>
          </w:p>
        </w:tc>
        <w:tc>
          <w:tcPr>
            <w:tcW w:w="1980" w:type="dxa"/>
            <w:shd w:val="clear" w:color="auto" w:fill="auto"/>
            <w:tcMar>
              <w:top w:w="20" w:type="dxa"/>
              <w:left w:w="20" w:type="dxa"/>
              <w:bottom w:w="20" w:type="dxa"/>
              <w:right w:w="20" w:type="dxa"/>
            </w:tcMar>
          </w:tcPr>
          <w:p w14:paraId="4EBACF55" w14:textId="77777777" w:rsidR="00F200E5" w:rsidRPr="000D67C6" w:rsidRDefault="00985197" w:rsidP="00FC21C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23.9</w:t>
            </w:r>
          </w:p>
        </w:tc>
      </w:tr>
      <w:tr w:rsidR="00F200E5" w:rsidRPr="000D67C6" w14:paraId="7B145C78" w14:textId="77777777" w:rsidTr="00B143B2">
        <w:trPr>
          <w:trHeight w:val="300"/>
          <w:jc w:val="center"/>
        </w:trPr>
        <w:tc>
          <w:tcPr>
            <w:tcW w:w="8205" w:type="dxa"/>
            <w:gridSpan w:val="4"/>
            <w:shd w:val="clear" w:color="auto" w:fill="auto"/>
            <w:tcMar>
              <w:top w:w="20" w:type="dxa"/>
              <w:left w:w="20" w:type="dxa"/>
              <w:bottom w:w="20" w:type="dxa"/>
              <w:right w:w="20" w:type="dxa"/>
            </w:tcMar>
          </w:tcPr>
          <w:p w14:paraId="6EACED31" w14:textId="77777777" w:rsidR="00F200E5" w:rsidRPr="000D67C6" w:rsidRDefault="00F200E5" w:rsidP="00FC21C6">
            <w:pPr>
              <w:pStyle w:val="T1TableStyle"/>
              <w:spacing w:after="100" w:afterAutospacing="1" w:line="259" w:lineRule="auto"/>
              <w:jc w:val="center"/>
              <w:rPr>
                <w:rFonts w:ascii="Arial" w:eastAsia="Verdana" w:hAnsi="Arial" w:cs="Arial"/>
                <w:i/>
                <w:sz w:val="22"/>
                <w:szCs w:val="22"/>
                <w:lang w:val="en-GB"/>
              </w:rPr>
            </w:pPr>
            <w:r w:rsidRPr="000D67C6">
              <w:rPr>
                <w:rFonts w:ascii="Arial" w:eastAsia="Verdana" w:hAnsi="Arial" w:cs="Arial"/>
                <w:i/>
                <w:sz w:val="22"/>
                <w:szCs w:val="22"/>
                <w:lang w:val="en-GB"/>
              </w:rPr>
              <w:t>Other assumptions</w:t>
            </w:r>
          </w:p>
        </w:tc>
      </w:tr>
      <w:tr w:rsidR="002226D6" w:rsidRPr="000D67C6" w14:paraId="6E6CDA23" w14:textId="77777777" w:rsidTr="00B143B2">
        <w:trPr>
          <w:trHeight w:val="300"/>
          <w:jc w:val="center"/>
        </w:trPr>
        <w:tc>
          <w:tcPr>
            <w:tcW w:w="1980" w:type="dxa"/>
            <w:shd w:val="clear" w:color="auto" w:fill="auto"/>
            <w:tcMar>
              <w:top w:w="20" w:type="dxa"/>
              <w:left w:w="20" w:type="dxa"/>
              <w:bottom w:w="20" w:type="dxa"/>
              <w:right w:w="20" w:type="dxa"/>
            </w:tcMar>
          </w:tcPr>
          <w:p w14:paraId="572C688B" w14:textId="67B5E001"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w:t>
            </w:r>
          </w:p>
        </w:tc>
        <w:tc>
          <w:tcPr>
            <w:tcW w:w="180" w:type="dxa"/>
            <w:shd w:val="clear" w:color="auto" w:fill="auto"/>
            <w:tcMar>
              <w:top w:w="20" w:type="dxa"/>
              <w:left w:w="20" w:type="dxa"/>
              <w:bottom w:w="20" w:type="dxa"/>
              <w:right w:w="20" w:type="dxa"/>
            </w:tcMar>
          </w:tcPr>
          <w:p w14:paraId="5DB38D90" w14:textId="77777777"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4C4AAAD3" w14:textId="5E420B29"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inflation</w:t>
            </w:r>
          </w:p>
        </w:tc>
        <w:tc>
          <w:tcPr>
            <w:tcW w:w="1980" w:type="dxa"/>
            <w:shd w:val="clear" w:color="auto" w:fill="auto"/>
            <w:tcMar>
              <w:top w:w="20" w:type="dxa"/>
              <w:left w:w="20" w:type="dxa"/>
              <w:bottom w:w="20" w:type="dxa"/>
              <w:right w:w="20" w:type="dxa"/>
            </w:tcMar>
          </w:tcPr>
          <w:p w14:paraId="67882E80" w14:textId="3FA25A18"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2.35%</w:t>
            </w:r>
          </w:p>
        </w:tc>
      </w:tr>
      <w:tr w:rsidR="002226D6" w:rsidRPr="000D67C6" w14:paraId="5971560A" w14:textId="77777777" w:rsidTr="00B143B2">
        <w:trPr>
          <w:trHeight w:val="300"/>
          <w:jc w:val="center"/>
        </w:trPr>
        <w:tc>
          <w:tcPr>
            <w:tcW w:w="1980" w:type="dxa"/>
            <w:shd w:val="clear" w:color="auto" w:fill="auto"/>
            <w:tcMar>
              <w:top w:w="20" w:type="dxa"/>
              <w:left w:w="20" w:type="dxa"/>
              <w:bottom w:w="20" w:type="dxa"/>
              <w:right w:w="20" w:type="dxa"/>
            </w:tcMar>
          </w:tcPr>
          <w:p w14:paraId="60F9514C" w14:textId="475F799A"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4.3%</w:t>
            </w:r>
          </w:p>
        </w:tc>
        <w:tc>
          <w:tcPr>
            <w:tcW w:w="180" w:type="dxa"/>
            <w:shd w:val="clear" w:color="auto" w:fill="auto"/>
            <w:tcMar>
              <w:top w:w="20" w:type="dxa"/>
              <w:left w:w="20" w:type="dxa"/>
              <w:bottom w:w="20" w:type="dxa"/>
              <w:right w:w="20" w:type="dxa"/>
            </w:tcMar>
          </w:tcPr>
          <w:p w14:paraId="57B0AFB1" w14:textId="77777777"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30510666" w14:textId="77CB9C95"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increase in salaries</w:t>
            </w:r>
          </w:p>
        </w:tc>
        <w:tc>
          <w:tcPr>
            <w:tcW w:w="1980" w:type="dxa"/>
            <w:shd w:val="clear" w:color="auto" w:fill="auto"/>
            <w:tcMar>
              <w:top w:w="20" w:type="dxa"/>
              <w:left w:w="20" w:type="dxa"/>
              <w:bottom w:w="20" w:type="dxa"/>
              <w:right w:w="20" w:type="dxa"/>
            </w:tcMar>
          </w:tcPr>
          <w:p w14:paraId="2F6F3C84" w14:textId="7B2E4616"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4.35%</w:t>
            </w:r>
          </w:p>
        </w:tc>
      </w:tr>
      <w:tr w:rsidR="002226D6" w:rsidRPr="000D67C6" w14:paraId="7C58D498" w14:textId="77777777" w:rsidTr="00B143B2">
        <w:trPr>
          <w:trHeight w:val="300"/>
          <w:jc w:val="center"/>
        </w:trPr>
        <w:tc>
          <w:tcPr>
            <w:tcW w:w="1980" w:type="dxa"/>
            <w:shd w:val="clear" w:color="auto" w:fill="auto"/>
            <w:tcMar>
              <w:top w:w="20" w:type="dxa"/>
              <w:left w:w="20" w:type="dxa"/>
              <w:bottom w:w="20" w:type="dxa"/>
              <w:right w:w="20" w:type="dxa"/>
            </w:tcMar>
          </w:tcPr>
          <w:p w14:paraId="6BFE9F69" w14:textId="365AAC31"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w:t>
            </w:r>
          </w:p>
        </w:tc>
        <w:tc>
          <w:tcPr>
            <w:tcW w:w="180" w:type="dxa"/>
            <w:shd w:val="clear" w:color="auto" w:fill="auto"/>
            <w:tcMar>
              <w:top w:w="20" w:type="dxa"/>
              <w:left w:w="20" w:type="dxa"/>
              <w:bottom w:w="20" w:type="dxa"/>
              <w:right w:w="20" w:type="dxa"/>
            </w:tcMar>
          </w:tcPr>
          <w:p w14:paraId="223680EC" w14:textId="77777777"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1FFCA84A" w14:textId="3465C70A"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of increase in pensions</w:t>
            </w:r>
          </w:p>
        </w:tc>
        <w:tc>
          <w:tcPr>
            <w:tcW w:w="1980" w:type="dxa"/>
            <w:shd w:val="clear" w:color="auto" w:fill="auto"/>
            <w:tcMar>
              <w:top w:w="20" w:type="dxa"/>
              <w:left w:w="20" w:type="dxa"/>
              <w:bottom w:w="20" w:type="dxa"/>
              <w:right w:w="20" w:type="dxa"/>
            </w:tcMar>
          </w:tcPr>
          <w:p w14:paraId="3AD0EE75" w14:textId="52B5983D" w:rsidR="002226D6" w:rsidRPr="000D67C6" w:rsidRDefault="002226D6" w:rsidP="002226D6">
            <w:pPr>
              <w:pStyle w:val="T1TableStyle"/>
              <w:spacing w:after="100" w:afterAutospacing="1"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2.35%</w:t>
            </w:r>
          </w:p>
        </w:tc>
      </w:tr>
      <w:tr w:rsidR="002226D6" w:rsidRPr="000D67C6" w14:paraId="689A3731" w14:textId="77777777" w:rsidTr="00B143B2">
        <w:trPr>
          <w:trHeight w:val="300"/>
          <w:jc w:val="center"/>
        </w:trPr>
        <w:tc>
          <w:tcPr>
            <w:tcW w:w="1980" w:type="dxa"/>
            <w:shd w:val="clear" w:color="auto" w:fill="auto"/>
            <w:tcMar>
              <w:top w:w="20" w:type="dxa"/>
              <w:left w:w="20" w:type="dxa"/>
              <w:bottom w:w="20" w:type="dxa"/>
              <w:right w:w="20" w:type="dxa"/>
            </w:tcMar>
          </w:tcPr>
          <w:p w14:paraId="76E0C01B" w14:textId="331A822A"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w:t>
            </w:r>
            <w:r w:rsidR="008B5EDC" w:rsidRPr="000D67C6">
              <w:rPr>
                <w:rFonts w:ascii="Arial" w:eastAsia="Verdana" w:hAnsi="Arial" w:cs="Arial"/>
                <w:sz w:val="22"/>
                <w:szCs w:val="22"/>
                <w:lang w:val="en-GB"/>
              </w:rPr>
              <w:t>6</w:t>
            </w:r>
            <w:r w:rsidRPr="000D67C6">
              <w:rPr>
                <w:rFonts w:ascii="Arial" w:eastAsia="Verdana" w:hAnsi="Arial" w:cs="Arial"/>
                <w:sz w:val="22"/>
                <w:szCs w:val="22"/>
                <w:lang w:val="en-GB"/>
              </w:rPr>
              <w:t>%</w:t>
            </w:r>
          </w:p>
        </w:tc>
        <w:tc>
          <w:tcPr>
            <w:tcW w:w="180" w:type="dxa"/>
            <w:shd w:val="clear" w:color="auto" w:fill="auto"/>
            <w:tcMar>
              <w:top w:w="20" w:type="dxa"/>
              <w:left w:w="20" w:type="dxa"/>
              <w:bottom w:w="20" w:type="dxa"/>
              <w:right w:w="20" w:type="dxa"/>
            </w:tcMar>
          </w:tcPr>
          <w:p w14:paraId="2736B370" w14:textId="77777777" w:rsidR="002226D6" w:rsidRPr="000D67C6" w:rsidRDefault="002226D6" w:rsidP="002226D6">
            <w:pPr>
              <w:pStyle w:val="T1TableStyle"/>
              <w:spacing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788E8B41" w14:textId="56C12EE4"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Rate for discounting scheme liabilities</w:t>
            </w:r>
          </w:p>
        </w:tc>
        <w:tc>
          <w:tcPr>
            <w:tcW w:w="1980" w:type="dxa"/>
            <w:shd w:val="clear" w:color="auto" w:fill="auto"/>
            <w:tcMar>
              <w:top w:w="20" w:type="dxa"/>
              <w:left w:w="20" w:type="dxa"/>
              <w:bottom w:w="20" w:type="dxa"/>
              <w:right w:w="20" w:type="dxa"/>
            </w:tcMar>
          </w:tcPr>
          <w:p w14:paraId="0F8125F7" w14:textId="046D642F"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2.45%</w:t>
            </w:r>
          </w:p>
        </w:tc>
      </w:tr>
      <w:tr w:rsidR="002226D6" w:rsidRPr="000D67C6" w14:paraId="30CDA91F" w14:textId="77777777" w:rsidTr="00B143B2">
        <w:trPr>
          <w:trHeight w:val="300"/>
          <w:jc w:val="center"/>
        </w:trPr>
        <w:tc>
          <w:tcPr>
            <w:tcW w:w="1980" w:type="dxa"/>
            <w:shd w:val="clear" w:color="auto" w:fill="auto"/>
            <w:tcMar>
              <w:top w:w="20" w:type="dxa"/>
              <w:left w:w="20" w:type="dxa"/>
              <w:bottom w:w="20" w:type="dxa"/>
              <w:right w:w="20" w:type="dxa"/>
            </w:tcMar>
          </w:tcPr>
          <w:p w14:paraId="7F44310F" w14:textId="1B004985"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4.3%</w:t>
            </w:r>
          </w:p>
        </w:tc>
        <w:tc>
          <w:tcPr>
            <w:tcW w:w="180" w:type="dxa"/>
            <w:shd w:val="clear" w:color="auto" w:fill="auto"/>
            <w:tcMar>
              <w:top w:w="20" w:type="dxa"/>
              <w:left w:w="20" w:type="dxa"/>
              <w:bottom w:w="20" w:type="dxa"/>
              <w:right w:w="20" w:type="dxa"/>
            </w:tcMar>
          </w:tcPr>
          <w:p w14:paraId="761AF99E" w14:textId="77777777" w:rsidR="002226D6" w:rsidRPr="000D67C6" w:rsidRDefault="002226D6" w:rsidP="002226D6">
            <w:pPr>
              <w:pStyle w:val="T1TableStyle"/>
              <w:spacing w:line="259" w:lineRule="auto"/>
              <w:jc w:val="center"/>
              <w:rPr>
                <w:rFonts w:ascii="Arial" w:eastAsia="Verdana" w:hAnsi="Arial" w:cs="Arial"/>
                <w:sz w:val="22"/>
                <w:szCs w:val="22"/>
                <w:lang w:val="en-GB"/>
              </w:rPr>
            </w:pPr>
          </w:p>
        </w:tc>
        <w:tc>
          <w:tcPr>
            <w:tcW w:w="4065" w:type="dxa"/>
            <w:shd w:val="clear" w:color="auto" w:fill="auto"/>
            <w:tcMar>
              <w:top w:w="20" w:type="dxa"/>
              <w:left w:w="20" w:type="dxa"/>
              <w:bottom w:w="20" w:type="dxa"/>
              <w:right w:w="20" w:type="dxa"/>
            </w:tcMar>
          </w:tcPr>
          <w:p w14:paraId="03E71544" w14:textId="21987077"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CARE revaluation rate</w:t>
            </w:r>
          </w:p>
        </w:tc>
        <w:tc>
          <w:tcPr>
            <w:tcW w:w="1980" w:type="dxa"/>
            <w:shd w:val="clear" w:color="auto" w:fill="auto"/>
            <w:tcMar>
              <w:top w:w="20" w:type="dxa"/>
              <w:left w:w="20" w:type="dxa"/>
              <w:bottom w:w="20" w:type="dxa"/>
              <w:right w:w="20" w:type="dxa"/>
            </w:tcMar>
          </w:tcPr>
          <w:p w14:paraId="532796B6" w14:textId="7E278BDD" w:rsidR="002226D6" w:rsidRPr="000D67C6" w:rsidRDefault="002226D6" w:rsidP="002226D6">
            <w:pPr>
              <w:pStyle w:val="T1TableStyle"/>
              <w:spacing w:line="259" w:lineRule="auto"/>
              <w:jc w:val="center"/>
              <w:rPr>
                <w:rFonts w:ascii="Arial" w:eastAsia="Verdana" w:hAnsi="Arial" w:cs="Arial"/>
                <w:sz w:val="22"/>
                <w:szCs w:val="22"/>
                <w:lang w:val="en-GB"/>
              </w:rPr>
            </w:pPr>
            <w:r w:rsidRPr="000D67C6">
              <w:rPr>
                <w:rFonts w:ascii="Arial" w:eastAsia="Verdana" w:hAnsi="Arial" w:cs="Arial"/>
                <w:sz w:val="22"/>
                <w:szCs w:val="22"/>
                <w:lang w:val="en-GB"/>
              </w:rPr>
              <w:t>4.35%</w:t>
            </w:r>
          </w:p>
        </w:tc>
      </w:tr>
    </w:tbl>
    <w:p w14:paraId="48E6F9C1" w14:textId="77777777" w:rsidR="005F498F" w:rsidRPr="000D67C6" w:rsidRDefault="005F498F" w:rsidP="00EB7A52">
      <w:pPr>
        <w:pStyle w:val="T1TableStyle"/>
        <w:spacing w:line="259" w:lineRule="auto"/>
        <w:jc w:val="both"/>
        <w:rPr>
          <w:rFonts w:ascii="Arial" w:eastAsia="Calibri" w:hAnsi="Arial" w:cs="Arial"/>
          <w:sz w:val="22"/>
          <w:szCs w:val="22"/>
          <w:lang w:val="en-GB"/>
        </w:rPr>
      </w:pPr>
    </w:p>
    <w:p w14:paraId="6F9B5C2F" w14:textId="2AE0A56A" w:rsidR="00B01FB9" w:rsidRPr="000D67C6" w:rsidRDefault="005F498F" w:rsidP="00EB7A52">
      <w:pPr>
        <w:pStyle w:val="T1TableStyle"/>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w:t>
      </w:r>
      <w:r w:rsidR="006E5898" w:rsidRPr="000D67C6">
        <w:rPr>
          <w:rFonts w:ascii="Arial" w:eastAsia="Calibri" w:hAnsi="Arial" w:cs="Arial"/>
          <w:sz w:val="22"/>
          <w:szCs w:val="22"/>
          <w:lang w:val="en-GB"/>
        </w:rPr>
        <w:t xml:space="preserve"> </w:t>
      </w:r>
      <w:r w:rsidR="00B01FB9" w:rsidRPr="000D67C6">
        <w:rPr>
          <w:rFonts w:ascii="Arial" w:eastAsia="Calibri" w:hAnsi="Arial" w:cs="Arial"/>
          <w:sz w:val="22"/>
          <w:szCs w:val="22"/>
          <w:lang w:val="en-GB"/>
        </w:rPr>
        <w:t>CARE revaluation rate</w:t>
      </w:r>
      <w:r w:rsidRPr="000D67C6">
        <w:rPr>
          <w:rFonts w:ascii="Arial" w:eastAsia="Calibri" w:hAnsi="Arial" w:cs="Arial"/>
          <w:sz w:val="22"/>
          <w:szCs w:val="22"/>
          <w:lang w:val="en-GB"/>
        </w:rPr>
        <w:t xml:space="preserve"> - additional </w:t>
      </w:r>
      <w:r w:rsidR="0099172F" w:rsidRPr="000D67C6">
        <w:rPr>
          <w:rFonts w:ascii="Arial" w:eastAsia="Calibri" w:hAnsi="Arial" w:cs="Arial"/>
          <w:sz w:val="22"/>
          <w:szCs w:val="22"/>
          <w:lang w:val="en-GB"/>
        </w:rPr>
        <w:t>assumption</w:t>
      </w:r>
      <w:r w:rsidRPr="000D67C6">
        <w:rPr>
          <w:rFonts w:ascii="Arial" w:eastAsia="Calibri" w:hAnsi="Arial" w:cs="Arial"/>
          <w:sz w:val="22"/>
          <w:szCs w:val="22"/>
          <w:lang w:val="en-GB"/>
        </w:rPr>
        <w:t xml:space="preserve"> in </w:t>
      </w:r>
      <w:r w:rsidR="00D9362C" w:rsidRPr="000D67C6">
        <w:rPr>
          <w:rFonts w:ascii="Arial" w:eastAsia="Calibri" w:hAnsi="Arial" w:cs="Arial"/>
          <w:sz w:val="22"/>
          <w:szCs w:val="22"/>
          <w:lang w:val="en-GB"/>
        </w:rPr>
        <w:t>Actuary</w:t>
      </w:r>
      <w:r w:rsidRPr="000D67C6">
        <w:rPr>
          <w:rFonts w:ascii="Arial" w:eastAsia="Calibri" w:hAnsi="Arial" w:cs="Arial"/>
          <w:sz w:val="22"/>
          <w:szCs w:val="22"/>
          <w:lang w:val="en-GB"/>
        </w:rPr>
        <w:t xml:space="preserve"> report</w:t>
      </w:r>
      <w:r w:rsidR="00406CFB" w:rsidRPr="000D67C6">
        <w:rPr>
          <w:rFonts w:ascii="Arial" w:eastAsia="Calibri" w:hAnsi="Arial" w:cs="Arial"/>
          <w:sz w:val="22"/>
          <w:szCs w:val="22"/>
          <w:lang w:val="en-GB"/>
        </w:rPr>
        <w:t>s</w:t>
      </w:r>
      <w:r w:rsidRPr="000D67C6">
        <w:rPr>
          <w:rFonts w:ascii="Arial" w:eastAsia="Calibri" w:hAnsi="Arial" w:cs="Arial"/>
          <w:sz w:val="22"/>
          <w:szCs w:val="22"/>
          <w:lang w:val="en-GB"/>
        </w:rPr>
        <w:t>.</w:t>
      </w:r>
    </w:p>
    <w:p w14:paraId="5FE09375" w14:textId="0323666F" w:rsidR="00EB7A52" w:rsidRPr="000D67C6" w:rsidRDefault="00EB7A52" w:rsidP="00EB7A52">
      <w:pPr>
        <w:pStyle w:val="T1TableStyle"/>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 xml:space="preserve">The estimated weighted duration of the defined benefit obligation is </w:t>
      </w:r>
      <w:r w:rsidR="00FC2EC5" w:rsidRPr="000D67C6">
        <w:rPr>
          <w:rFonts w:ascii="Arial" w:eastAsia="Calibri" w:hAnsi="Arial" w:cs="Arial"/>
          <w:sz w:val="22"/>
          <w:szCs w:val="22"/>
          <w:lang w:val="en-GB"/>
        </w:rPr>
        <w:t>20</w:t>
      </w:r>
      <w:r w:rsidRPr="000D67C6">
        <w:rPr>
          <w:rFonts w:ascii="Arial" w:eastAsia="Calibri" w:hAnsi="Arial" w:cs="Arial"/>
          <w:sz w:val="22"/>
          <w:szCs w:val="22"/>
          <w:lang w:val="en-GB"/>
        </w:rPr>
        <w:t xml:space="preserve"> years for the Firefighter Scheme and </w:t>
      </w:r>
      <w:r w:rsidR="00B154C9" w:rsidRPr="000D67C6">
        <w:rPr>
          <w:rFonts w:ascii="Arial" w:eastAsia="Calibri" w:hAnsi="Arial" w:cs="Arial"/>
          <w:sz w:val="22"/>
          <w:szCs w:val="22"/>
          <w:lang w:val="en-GB"/>
        </w:rPr>
        <w:t>20</w:t>
      </w:r>
      <w:r w:rsidRPr="000D67C6">
        <w:rPr>
          <w:rFonts w:ascii="Arial" w:eastAsia="Calibri" w:hAnsi="Arial" w:cs="Arial"/>
          <w:sz w:val="22"/>
          <w:szCs w:val="22"/>
          <w:lang w:val="en-GB"/>
        </w:rPr>
        <w:t xml:space="preserve"> years for the Local Government Pension Scheme.</w:t>
      </w:r>
    </w:p>
    <w:p w14:paraId="4585D003" w14:textId="77777777" w:rsidR="00EB7A52" w:rsidRPr="000D67C6" w:rsidRDefault="00EB7A52" w:rsidP="00EB7A52">
      <w:pPr>
        <w:pStyle w:val="T1TableStyle"/>
        <w:spacing w:line="259" w:lineRule="auto"/>
        <w:jc w:val="both"/>
        <w:rPr>
          <w:rFonts w:ascii="Arial" w:eastAsia="Calibri" w:hAnsi="Arial" w:cs="Arial"/>
          <w:sz w:val="22"/>
          <w:szCs w:val="22"/>
          <w:lang w:val="en-GB"/>
        </w:rPr>
      </w:pPr>
    </w:p>
    <w:p w14:paraId="00DA790D" w14:textId="77777777" w:rsidR="00E87C6B" w:rsidRPr="000D67C6" w:rsidRDefault="00E87C6B" w:rsidP="00E87C6B">
      <w:pPr>
        <w:pStyle w:val="T1TableStyle"/>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 xml:space="preserve">The estimation of the defined benefit obligations is sensitive to the actuarial assumptions set out in the table above.  In addition, the past service cost in respect of the McCloud/Sargeant judgement is expected to be highly sensitive to the gap between CPI inflation and the assumed rate of salary growth.  Under the approach and remedy adopted, if the long-term salary growth assumptions were 1.0% p/a lower, then the impact on the past service cost is expected to be a change of around -10% on the provision.  </w:t>
      </w:r>
    </w:p>
    <w:p w14:paraId="58629461" w14:textId="77777777" w:rsidR="00E87C6B" w:rsidRPr="000D67C6" w:rsidRDefault="00E87C6B" w:rsidP="00E87C6B">
      <w:pPr>
        <w:pStyle w:val="T1TableStyle"/>
        <w:spacing w:line="259" w:lineRule="auto"/>
        <w:jc w:val="both"/>
        <w:rPr>
          <w:rFonts w:ascii="Arial" w:eastAsia="Calibri" w:hAnsi="Arial" w:cs="Arial"/>
          <w:sz w:val="22"/>
          <w:szCs w:val="22"/>
          <w:lang w:val="en-GB"/>
        </w:rPr>
      </w:pPr>
    </w:p>
    <w:p w14:paraId="3989DB22" w14:textId="3DFA655C" w:rsidR="00B143B2" w:rsidRPr="000D67C6" w:rsidRDefault="00E87C6B" w:rsidP="00E87C6B">
      <w:pPr>
        <w:pStyle w:val="T1TableStyle"/>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Alternative forms of remedy may have different levels of sensitivity to these assumptions, therefore t</w:t>
      </w:r>
      <w:r w:rsidR="00EB7A52" w:rsidRPr="000D67C6">
        <w:rPr>
          <w:rFonts w:ascii="Arial" w:eastAsia="Calibri" w:hAnsi="Arial" w:cs="Arial"/>
          <w:sz w:val="22"/>
          <w:szCs w:val="22"/>
          <w:lang w:val="en-GB"/>
        </w:rPr>
        <w: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tbl>
      <w:tblPr>
        <w:tblW w:w="0" w:type="auto"/>
        <w:tblLayout w:type="fixed"/>
        <w:tblLook w:val="04A0" w:firstRow="1" w:lastRow="0" w:firstColumn="1" w:lastColumn="0" w:noHBand="0" w:noVBand="1"/>
      </w:tblPr>
      <w:tblGrid>
        <w:gridCol w:w="2268"/>
        <w:gridCol w:w="1276"/>
        <w:gridCol w:w="1276"/>
        <w:gridCol w:w="1276"/>
        <w:gridCol w:w="1417"/>
        <w:gridCol w:w="1418"/>
      </w:tblGrid>
      <w:tr w:rsidR="00464E99" w:rsidRPr="000D67C6" w14:paraId="57741E17" w14:textId="77777777" w:rsidTr="009B221A">
        <w:trPr>
          <w:trHeight w:val="537"/>
        </w:trPr>
        <w:tc>
          <w:tcPr>
            <w:tcW w:w="7513" w:type="dxa"/>
            <w:gridSpan w:val="5"/>
            <w:shd w:val="clear" w:color="auto" w:fill="auto"/>
            <w:tcMar>
              <w:top w:w="20" w:type="dxa"/>
              <w:left w:w="20" w:type="dxa"/>
              <w:bottom w:w="20" w:type="dxa"/>
              <w:right w:w="20" w:type="dxa"/>
            </w:tcMar>
          </w:tcPr>
          <w:p w14:paraId="78A86B3C" w14:textId="77777777" w:rsidR="002B3CDB" w:rsidRPr="000D67C6" w:rsidRDefault="00B143B2" w:rsidP="00EB7A52">
            <w:pPr>
              <w:pStyle w:val="T1TableStyle"/>
              <w:rPr>
                <w:rFonts w:ascii="Arial" w:eastAsia="Verdana" w:hAnsi="Arial" w:cs="Arial"/>
                <w:b/>
                <w:sz w:val="22"/>
                <w:szCs w:val="22"/>
                <w:lang w:val="en-GB"/>
              </w:rPr>
            </w:pPr>
            <w:r w:rsidRPr="000D67C6">
              <w:rPr>
                <w:rFonts w:ascii="Arial" w:eastAsia="Calibri" w:hAnsi="Arial" w:cs="Arial"/>
                <w:sz w:val="22"/>
                <w:szCs w:val="22"/>
                <w:lang w:val="en-GB"/>
              </w:rPr>
              <w:br w:type="page"/>
            </w:r>
          </w:p>
          <w:p w14:paraId="7A55D4C3" w14:textId="77777777" w:rsidR="008F013B" w:rsidRPr="000D67C6" w:rsidRDefault="008F013B" w:rsidP="00EB7A52">
            <w:pPr>
              <w:pStyle w:val="T1TableStyle"/>
              <w:rPr>
                <w:rFonts w:ascii="Arial" w:eastAsia="Verdana" w:hAnsi="Arial" w:cs="Arial"/>
                <w:b/>
                <w:sz w:val="22"/>
                <w:szCs w:val="22"/>
                <w:lang w:val="en-GB"/>
              </w:rPr>
            </w:pPr>
            <w:r w:rsidRPr="000D67C6">
              <w:rPr>
                <w:rFonts w:ascii="Arial" w:eastAsia="Verdana" w:hAnsi="Arial" w:cs="Arial"/>
                <w:b/>
                <w:sz w:val="22"/>
                <w:szCs w:val="22"/>
                <w:lang w:val="en-GB"/>
              </w:rPr>
              <w:t xml:space="preserve">Impact of assumptions on the obligation </w:t>
            </w:r>
            <w:r w:rsidR="00F200E5" w:rsidRPr="000D67C6">
              <w:rPr>
                <w:rFonts w:ascii="Arial" w:eastAsia="Verdana" w:hAnsi="Arial" w:cs="Arial"/>
                <w:b/>
                <w:sz w:val="22"/>
                <w:szCs w:val="22"/>
                <w:lang w:val="en-GB"/>
              </w:rPr>
              <w:t>–</w:t>
            </w:r>
            <w:r w:rsidR="009B221A" w:rsidRPr="000D67C6">
              <w:rPr>
                <w:rFonts w:ascii="Arial" w:eastAsia="Verdana" w:hAnsi="Arial" w:cs="Arial"/>
                <w:b/>
                <w:sz w:val="22"/>
                <w:szCs w:val="22"/>
                <w:lang w:val="en-GB"/>
              </w:rPr>
              <w:t xml:space="preserve"> LGPS</w:t>
            </w:r>
          </w:p>
          <w:p w14:paraId="7026CC5D" w14:textId="459182DB" w:rsidR="003B0DB8" w:rsidRPr="000D67C6" w:rsidRDefault="003B0DB8" w:rsidP="00EB7A52">
            <w:pPr>
              <w:pStyle w:val="T1TableStyle"/>
              <w:rPr>
                <w:rFonts w:ascii="Arial" w:eastAsia="Verdana" w:hAnsi="Arial" w:cs="Arial"/>
                <w:b/>
                <w:sz w:val="22"/>
                <w:szCs w:val="22"/>
                <w:lang w:val="en-GB"/>
              </w:rPr>
            </w:pPr>
          </w:p>
        </w:tc>
        <w:tc>
          <w:tcPr>
            <w:tcW w:w="1418" w:type="dxa"/>
            <w:shd w:val="clear" w:color="auto" w:fill="auto"/>
            <w:tcMar>
              <w:top w:w="20" w:type="dxa"/>
              <w:left w:w="20" w:type="dxa"/>
              <w:bottom w:w="20" w:type="dxa"/>
              <w:right w:w="20" w:type="dxa"/>
            </w:tcMar>
            <w:vAlign w:val="center"/>
          </w:tcPr>
          <w:p w14:paraId="1B7AF776" w14:textId="77777777" w:rsidR="008F013B" w:rsidRPr="000D67C6" w:rsidRDefault="008F013B" w:rsidP="00EB7A52">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r>
      <w:tr w:rsidR="00464E99" w:rsidRPr="000D67C6" w14:paraId="360C72BF" w14:textId="77777777" w:rsidTr="00343EB0">
        <w:trPr>
          <w:trHeight w:val="439"/>
        </w:trPr>
        <w:tc>
          <w:tcPr>
            <w:tcW w:w="2268" w:type="dxa"/>
            <w:shd w:val="clear" w:color="auto" w:fill="auto"/>
            <w:tcMar>
              <w:top w:w="20" w:type="dxa"/>
              <w:left w:w="20" w:type="dxa"/>
              <w:bottom w:w="20" w:type="dxa"/>
              <w:right w:w="20" w:type="dxa"/>
            </w:tcMar>
            <w:vAlign w:val="center"/>
          </w:tcPr>
          <w:p w14:paraId="1CB3495A" w14:textId="77777777" w:rsidR="008F013B" w:rsidRPr="000D67C6" w:rsidRDefault="008F013B">
            <w:pPr>
              <w:pStyle w:val="T1TableStyle"/>
              <w:jc w:val="center"/>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1276" w:type="dxa"/>
            <w:shd w:val="clear" w:color="auto" w:fill="auto"/>
            <w:tcMar>
              <w:top w:w="20" w:type="dxa"/>
              <w:left w:w="20" w:type="dxa"/>
              <w:bottom w:w="20" w:type="dxa"/>
              <w:right w:w="20" w:type="dxa"/>
            </w:tcMar>
            <w:vAlign w:val="bottom"/>
          </w:tcPr>
          <w:p w14:paraId="2511B1E0" w14:textId="77777777" w:rsidR="008F013B" w:rsidRPr="000D67C6" w:rsidRDefault="00343EB0" w:rsidP="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As Reported</w:t>
            </w:r>
          </w:p>
        </w:tc>
        <w:tc>
          <w:tcPr>
            <w:tcW w:w="1276" w:type="dxa"/>
            <w:shd w:val="clear" w:color="auto" w:fill="auto"/>
            <w:tcMar>
              <w:top w:w="20" w:type="dxa"/>
              <w:left w:w="20" w:type="dxa"/>
              <w:bottom w:w="20" w:type="dxa"/>
              <w:right w:w="20" w:type="dxa"/>
            </w:tcMar>
            <w:vAlign w:val="bottom"/>
          </w:tcPr>
          <w:p w14:paraId="32E1B059" w14:textId="77777777" w:rsidR="00343EB0" w:rsidRPr="000D67C6" w:rsidRDefault="00343EB0" w:rsidP="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Discount Rate</w:t>
            </w:r>
          </w:p>
          <w:p w14:paraId="1737153C" w14:textId="77777777" w:rsidR="008F013B" w:rsidRPr="000D67C6" w:rsidRDefault="00343EB0" w:rsidP="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0.1% </w:t>
            </w:r>
            <w:r w:rsidR="008F013B" w:rsidRPr="000D67C6">
              <w:rPr>
                <w:rFonts w:ascii="Arial" w:eastAsia="Verdana" w:hAnsi="Arial" w:cs="Arial"/>
                <w:b/>
                <w:sz w:val="22"/>
                <w:szCs w:val="22"/>
                <w:lang w:val="en-GB"/>
              </w:rPr>
              <w:t>Increase</w:t>
            </w:r>
          </w:p>
        </w:tc>
        <w:tc>
          <w:tcPr>
            <w:tcW w:w="1276" w:type="dxa"/>
            <w:shd w:val="clear" w:color="auto" w:fill="auto"/>
            <w:tcMar>
              <w:top w:w="20" w:type="dxa"/>
              <w:left w:w="20" w:type="dxa"/>
              <w:bottom w:w="20" w:type="dxa"/>
              <w:right w:w="20" w:type="dxa"/>
            </w:tcMar>
            <w:vAlign w:val="bottom"/>
          </w:tcPr>
          <w:p w14:paraId="37365C8A" w14:textId="77777777" w:rsidR="008F013B" w:rsidRPr="000D67C6" w:rsidRDefault="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Inflation 0.1% </w:t>
            </w:r>
            <w:r w:rsidR="008F013B" w:rsidRPr="000D67C6">
              <w:rPr>
                <w:rFonts w:ascii="Arial" w:eastAsia="Verdana" w:hAnsi="Arial" w:cs="Arial"/>
                <w:b/>
                <w:sz w:val="22"/>
                <w:szCs w:val="22"/>
                <w:lang w:val="en-GB"/>
              </w:rPr>
              <w:t>Increase</w:t>
            </w:r>
          </w:p>
        </w:tc>
        <w:tc>
          <w:tcPr>
            <w:tcW w:w="1417" w:type="dxa"/>
            <w:shd w:val="clear" w:color="auto" w:fill="auto"/>
            <w:tcMar>
              <w:top w:w="20" w:type="dxa"/>
              <w:left w:w="20" w:type="dxa"/>
              <w:bottom w:w="20" w:type="dxa"/>
              <w:right w:w="20" w:type="dxa"/>
            </w:tcMar>
            <w:vAlign w:val="bottom"/>
          </w:tcPr>
          <w:p w14:paraId="3B88E762" w14:textId="77777777" w:rsidR="008F013B" w:rsidRPr="000D67C6" w:rsidRDefault="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Pay Growth 0.1% </w:t>
            </w:r>
            <w:r w:rsidR="008F013B" w:rsidRPr="000D67C6">
              <w:rPr>
                <w:rFonts w:ascii="Arial" w:eastAsia="Verdana" w:hAnsi="Arial" w:cs="Arial"/>
                <w:b/>
                <w:sz w:val="22"/>
                <w:szCs w:val="22"/>
                <w:lang w:val="en-GB"/>
              </w:rPr>
              <w:t>Increase</w:t>
            </w:r>
          </w:p>
        </w:tc>
        <w:tc>
          <w:tcPr>
            <w:tcW w:w="1418" w:type="dxa"/>
            <w:shd w:val="clear" w:color="auto" w:fill="auto"/>
            <w:tcMar>
              <w:top w:w="20" w:type="dxa"/>
              <w:left w:w="20" w:type="dxa"/>
              <w:bottom w:w="20" w:type="dxa"/>
              <w:right w:w="20" w:type="dxa"/>
            </w:tcMar>
            <w:vAlign w:val="bottom"/>
          </w:tcPr>
          <w:p w14:paraId="0E217EDC" w14:textId="77777777" w:rsidR="008F013B" w:rsidRPr="000D67C6" w:rsidRDefault="00343EB0">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Life Expectancy 1 Year </w:t>
            </w:r>
            <w:r w:rsidR="008F013B" w:rsidRPr="000D67C6">
              <w:rPr>
                <w:rFonts w:ascii="Arial" w:eastAsia="Verdana" w:hAnsi="Arial" w:cs="Arial"/>
                <w:b/>
                <w:sz w:val="22"/>
                <w:szCs w:val="22"/>
                <w:lang w:val="en-GB"/>
              </w:rPr>
              <w:t>Increase</w:t>
            </w:r>
          </w:p>
        </w:tc>
      </w:tr>
      <w:tr w:rsidR="00464E99" w:rsidRPr="000D67C6" w14:paraId="700E1D63" w14:textId="77777777" w:rsidTr="00343EB0">
        <w:trPr>
          <w:trHeight w:val="49"/>
        </w:trPr>
        <w:tc>
          <w:tcPr>
            <w:tcW w:w="2268" w:type="dxa"/>
            <w:tcBorders>
              <w:bottom w:val="single" w:sz="2" w:space="0" w:color="000000"/>
            </w:tcBorders>
            <w:shd w:val="clear" w:color="auto" w:fill="auto"/>
            <w:tcMar>
              <w:top w:w="20" w:type="dxa"/>
              <w:left w:w="20" w:type="dxa"/>
              <w:bottom w:w="20" w:type="dxa"/>
              <w:right w:w="20" w:type="dxa"/>
            </w:tcMar>
          </w:tcPr>
          <w:p w14:paraId="169AE567" w14:textId="77777777" w:rsidR="008F013B" w:rsidRPr="000D67C6" w:rsidRDefault="008F013B">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tcBorders>
              <w:bottom w:val="single" w:sz="2" w:space="0" w:color="000000"/>
            </w:tcBorders>
            <w:shd w:val="clear" w:color="auto" w:fill="auto"/>
            <w:tcMar>
              <w:top w:w="20" w:type="dxa"/>
              <w:left w:w="20" w:type="dxa"/>
              <w:bottom w:w="20" w:type="dxa"/>
              <w:right w:w="20" w:type="dxa"/>
            </w:tcMar>
          </w:tcPr>
          <w:p w14:paraId="4F5F55FE"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tcPr>
          <w:p w14:paraId="1772C63F"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tcPr>
          <w:p w14:paraId="292C119D"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7" w:type="dxa"/>
            <w:tcBorders>
              <w:bottom w:val="single" w:sz="2" w:space="0" w:color="000000"/>
            </w:tcBorders>
            <w:shd w:val="clear" w:color="auto" w:fill="auto"/>
            <w:tcMar>
              <w:top w:w="20" w:type="dxa"/>
              <w:left w:w="20" w:type="dxa"/>
              <w:bottom w:w="20" w:type="dxa"/>
              <w:right w:w="20" w:type="dxa"/>
            </w:tcMar>
          </w:tcPr>
          <w:p w14:paraId="1AAC8CC1"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tcBorders>
              <w:bottom w:val="single" w:sz="2" w:space="0" w:color="000000"/>
            </w:tcBorders>
            <w:shd w:val="clear" w:color="auto" w:fill="auto"/>
            <w:tcMar>
              <w:top w:w="20" w:type="dxa"/>
              <w:left w:w="20" w:type="dxa"/>
              <w:bottom w:w="20" w:type="dxa"/>
              <w:right w:w="20" w:type="dxa"/>
            </w:tcMar>
          </w:tcPr>
          <w:p w14:paraId="68A07DFC" w14:textId="77777777" w:rsidR="008F013B" w:rsidRPr="000D67C6" w:rsidRDefault="008F013B">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2460B8" w:rsidRPr="000D67C6" w14:paraId="37C1E2D4" w14:textId="77777777" w:rsidTr="007454BC">
        <w:trPr>
          <w:trHeight w:val="300"/>
        </w:trPr>
        <w:tc>
          <w:tcPr>
            <w:tcW w:w="2268" w:type="dxa"/>
            <w:shd w:val="clear" w:color="auto" w:fill="auto"/>
            <w:tcMar>
              <w:top w:w="20" w:type="dxa"/>
              <w:left w:w="20" w:type="dxa"/>
              <w:bottom w:w="20" w:type="dxa"/>
              <w:right w:w="20" w:type="dxa"/>
            </w:tcMar>
          </w:tcPr>
          <w:p w14:paraId="688A4DEE" w14:textId="77777777" w:rsidR="002460B8" w:rsidRPr="000D67C6" w:rsidRDefault="002460B8" w:rsidP="002460B8">
            <w:pPr>
              <w:pStyle w:val="T1TableStyle"/>
              <w:rPr>
                <w:rFonts w:ascii="Arial" w:eastAsia="Verdana" w:hAnsi="Arial" w:cs="Arial"/>
                <w:sz w:val="22"/>
                <w:szCs w:val="22"/>
                <w:lang w:val="en-GB"/>
              </w:rPr>
            </w:pPr>
            <w:r w:rsidRPr="000D67C6">
              <w:rPr>
                <w:rFonts w:ascii="Arial" w:eastAsia="Verdana" w:hAnsi="Arial" w:cs="Arial"/>
                <w:sz w:val="22"/>
                <w:szCs w:val="22"/>
                <w:lang w:val="en-GB"/>
              </w:rPr>
              <w:t>Liabilities</w:t>
            </w:r>
          </w:p>
        </w:tc>
        <w:tc>
          <w:tcPr>
            <w:tcW w:w="1276" w:type="dxa"/>
            <w:shd w:val="clear" w:color="auto" w:fill="auto"/>
            <w:tcMar>
              <w:top w:w="20" w:type="dxa"/>
              <w:left w:w="20" w:type="dxa"/>
              <w:bottom w:w="20" w:type="dxa"/>
              <w:right w:w="20" w:type="dxa"/>
            </w:tcMar>
          </w:tcPr>
          <w:p w14:paraId="1CDCA41E" w14:textId="5AC31CE0"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(65,050)</w:t>
            </w:r>
          </w:p>
        </w:tc>
        <w:tc>
          <w:tcPr>
            <w:tcW w:w="1276" w:type="dxa"/>
            <w:shd w:val="clear" w:color="auto" w:fill="auto"/>
            <w:tcMar>
              <w:top w:w="20" w:type="dxa"/>
              <w:left w:w="20" w:type="dxa"/>
              <w:bottom w:w="20" w:type="dxa"/>
              <w:right w:w="20" w:type="dxa"/>
            </w:tcMar>
          </w:tcPr>
          <w:p w14:paraId="5790C1A7" w14:textId="110A3228"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(63,752)</w:t>
            </w:r>
          </w:p>
        </w:tc>
        <w:tc>
          <w:tcPr>
            <w:tcW w:w="1276" w:type="dxa"/>
            <w:shd w:val="clear" w:color="auto" w:fill="auto"/>
            <w:tcMar>
              <w:top w:w="20" w:type="dxa"/>
              <w:left w:w="20" w:type="dxa"/>
              <w:bottom w:w="20" w:type="dxa"/>
              <w:right w:w="20" w:type="dxa"/>
            </w:tcMar>
          </w:tcPr>
          <w:p w14:paraId="67620AB1" w14:textId="6E70FBE9"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(66,375)</w:t>
            </w:r>
          </w:p>
        </w:tc>
        <w:tc>
          <w:tcPr>
            <w:tcW w:w="1417" w:type="dxa"/>
            <w:shd w:val="clear" w:color="auto" w:fill="auto"/>
            <w:tcMar>
              <w:top w:w="20" w:type="dxa"/>
              <w:left w:w="20" w:type="dxa"/>
              <w:bottom w:w="20" w:type="dxa"/>
              <w:right w:w="20" w:type="dxa"/>
            </w:tcMar>
          </w:tcPr>
          <w:p w14:paraId="37411F23" w14:textId="7D162E6C"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(65,316)</w:t>
            </w:r>
          </w:p>
        </w:tc>
        <w:tc>
          <w:tcPr>
            <w:tcW w:w="1418" w:type="dxa"/>
            <w:shd w:val="clear" w:color="auto" w:fill="auto"/>
            <w:tcMar>
              <w:top w:w="20" w:type="dxa"/>
              <w:left w:w="20" w:type="dxa"/>
              <w:bottom w:w="20" w:type="dxa"/>
              <w:right w:w="20" w:type="dxa"/>
            </w:tcMar>
          </w:tcPr>
          <w:p w14:paraId="58545EB3" w14:textId="2F65AA37"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(66,307)</w:t>
            </w:r>
          </w:p>
        </w:tc>
      </w:tr>
      <w:tr w:rsidR="002460B8" w:rsidRPr="000D67C6" w14:paraId="2DF3DC3D" w14:textId="77777777" w:rsidTr="007454BC">
        <w:trPr>
          <w:trHeight w:val="300"/>
        </w:trPr>
        <w:tc>
          <w:tcPr>
            <w:tcW w:w="2268" w:type="dxa"/>
            <w:shd w:val="clear" w:color="auto" w:fill="auto"/>
            <w:tcMar>
              <w:top w:w="20" w:type="dxa"/>
              <w:left w:w="20" w:type="dxa"/>
              <w:bottom w:w="20" w:type="dxa"/>
              <w:right w:w="20" w:type="dxa"/>
            </w:tcMar>
          </w:tcPr>
          <w:p w14:paraId="2427A4C7" w14:textId="77777777" w:rsidR="002460B8" w:rsidRPr="000D67C6" w:rsidRDefault="002460B8" w:rsidP="002460B8">
            <w:pPr>
              <w:pStyle w:val="T1TableStyle"/>
              <w:rPr>
                <w:rFonts w:ascii="Arial" w:eastAsia="Verdana" w:hAnsi="Arial" w:cs="Arial"/>
                <w:sz w:val="22"/>
                <w:szCs w:val="22"/>
                <w:lang w:val="en-GB"/>
              </w:rPr>
            </w:pPr>
            <w:r w:rsidRPr="000D67C6">
              <w:rPr>
                <w:rFonts w:ascii="Arial" w:eastAsia="Verdana" w:hAnsi="Arial" w:cs="Arial"/>
                <w:sz w:val="22"/>
                <w:szCs w:val="22"/>
                <w:lang w:val="en-GB"/>
              </w:rPr>
              <w:t>Assets</w:t>
            </w:r>
          </w:p>
        </w:tc>
        <w:tc>
          <w:tcPr>
            <w:tcW w:w="1276" w:type="dxa"/>
            <w:shd w:val="clear" w:color="auto" w:fill="auto"/>
            <w:tcMar>
              <w:top w:w="20" w:type="dxa"/>
              <w:left w:w="20" w:type="dxa"/>
              <w:bottom w:w="20" w:type="dxa"/>
              <w:right w:w="20" w:type="dxa"/>
            </w:tcMar>
          </w:tcPr>
          <w:p w14:paraId="1FE91DE4" w14:textId="2D10106C"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c>
          <w:tcPr>
            <w:tcW w:w="1276" w:type="dxa"/>
            <w:shd w:val="clear" w:color="auto" w:fill="auto"/>
            <w:tcMar>
              <w:top w:w="20" w:type="dxa"/>
              <w:left w:w="20" w:type="dxa"/>
              <w:bottom w:w="20" w:type="dxa"/>
              <w:right w:w="20" w:type="dxa"/>
            </w:tcMar>
          </w:tcPr>
          <w:p w14:paraId="4D2C8520" w14:textId="6E704153"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c>
          <w:tcPr>
            <w:tcW w:w="1276" w:type="dxa"/>
            <w:shd w:val="clear" w:color="auto" w:fill="auto"/>
            <w:tcMar>
              <w:top w:w="20" w:type="dxa"/>
              <w:left w:w="20" w:type="dxa"/>
              <w:bottom w:w="20" w:type="dxa"/>
              <w:right w:w="20" w:type="dxa"/>
            </w:tcMar>
          </w:tcPr>
          <w:p w14:paraId="3FFBF989" w14:textId="4F3D8C0C"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c>
          <w:tcPr>
            <w:tcW w:w="1417" w:type="dxa"/>
            <w:shd w:val="clear" w:color="auto" w:fill="auto"/>
            <w:tcMar>
              <w:top w:w="20" w:type="dxa"/>
              <w:left w:w="20" w:type="dxa"/>
              <w:bottom w:w="20" w:type="dxa"/>
              <w:right w:w="20" w:type="dxa"/>
            </w:tcMar>
          </w:tcPr>
          <w:p w14:paraId="40A0DF9A" w14:textId="3B20A904"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c>
          <w:tcPr>
            <w:tcW w:w="1418" w:type="dxa"/>
            <w:shd w:val="clear" w:color="auto" w:fill="auto"/>
            <w:tcMar>
              <w:top w:w="20" w:type="dxa"/>
              <w:left w:w="20" w:type="dxa"/>
              <w:bottom w:w="20" w:type="dxa"/>
              <w:right w:w="20" w:type="dxa"/>
            </w:tcMar>
          </w:tcPr>
          <w:p w14:paraId="76AEE0D2" w14:textId="0B3D8C0A"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49,672</w:t>
            </w:r>
          </w:p>
        </w:tc>
      </w:tr>
      <w:tr w:rsidR="002460B8" w:rsidRPr="000D67C6" w14:paraId="7330A840" w14:textId="77777777" w:rsidTr="007454BC">
        <w:trPr>
          <w:trHeight w:val="300"/>
        </w:trPr>
        <w:tc>
          <w:tcPr>
            <w:tcW w:w="2268" w:type="dxa"/>
            <w:shd w:val="clear" w:color="auto" w:fill="auto"/>
            <w:tcMar>
              <w:top w:w="20" w:type="dxa"/>
              <w:left w:w="20" w:type="dxa"/>
              <w:bottom w:w="20" w:type="dxa"/>
              <w:right w:w="20" w:type="dxa"/>
            </w:tcMar>
          </w:tcPr>
          <w:p w14:paraId="7F54E50D" w14:textId="77777777" w:rsidR="002460B8" w:rsidRPr="000D67C6" w:rsidRDefault="002460B8" w:rsidP="002460B8">
            <w:pPr>
              <w:pStyle w:val="T1TableStyle"/>
              <w:rPr>
                <w:rFonts w:ascii="Arial" w:eastAsia="Verdana" w:hAnsi="Arial" w:cs="Arial"/>
                <w:sz w:val="22"/>
                <w:szCs w:val="22"/>
                <w:lang w:val="en-GB"/>
              </w:rPr>
            </w:pPr>
            <w:r w:rsidRPr="000D67C6">
              <w:rPr>
                <w:rFonts w:ascii="Arial" w:eastAsia="Verdana" w:hAnsi="Arial" w:cs="Arial"/>
                <w:sz w:val="22"/>
                <w:szCs w:val="22"/>
                <w:lang w:val="en-GB"/>
              </w:rPr>
              <w:t>(Deficit) / Surplus</w:t>
            </w:r>
          </w:p>
        </w:tc>
        <w:tc>
          <w:tcPr>
            <w:tcW w:w="1276" w:type="dxa"/>
            <w:shd w:val="clear" w:color="auto" w:fill="auto"/>
            <w:tcMar>
              <w:top w:w="20" w:type="dxa"/>
              <w:left w:w="20" w:type="dxa"/>
              <w:bottom w:w="20" w:type="dxa"/>
              <w:right w:w="20" w:type="dxa"/>
            </w:tcMar>
          </w:tcPr>
          <w:p w14:paraId="76E41C34" w14:textId="417202BE"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(15,378)</w:t>
            </w:r>
          </w:p>
        </w:tc>
        <w:tc>
          <w:tcPr>
            <w:tcW w:w="1276" w:type="dxa"/>
            <w:shd w:val="clear" w:color="auto" w:fill="auto"/>
            <w:tcMar>
              <w:top w:w="20" w:type="dxa"/>
              <w:left w:w="20" w:type="dxa"/>
              <w:bottom w:w="20" w:type="dxa"/>
              <w:right w:w="20" w:type="dxa"/>
            </w:tcMar>
          </w:tcPr>
          <w:p w14:paraId="281AFA18" w14:textId="269C947F"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(14,080)</w:t>
            </w:r>
          </w:p>
        </w:tc>
        <w:tc>
          <w:tcPr>
            <w:tcW w:w="1276" w:type="dxa"/>
            <w:shd w:val="clear" w:color="auto" w:fill="auto"/>
            <w:tcMar>
              <w:top w:w="20" w:type="dxa"/>
              <w:left w:w="20" w:type="dxa"/>
              <w:bottom w:w="20" w:type="dxa"/>
              <w:right w:w="20" w:type="dxa"/>
            </w:tcMar>
          </w:tcPr>
          <w:p w14:paraId="2DF9204B" w14:textId="0214768A"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(16,703)</w:t>
            </w:r>
          </w:p>
        </w:tc>
        <w:tc>
          <w:tcPr>
            <w:tcW w:w="1417" w:type="dxa"/>
            <w:shd w:val="clear" w:color="auto" w:fill="auto"/>
            <w:tcMar>
              <w:top w:w="20" w:type="dxa"/>
              <w:left w:w="20" w:type="dxa"/>
              <w:bottom w:w="20" w:type="dxa"/>
              <w:right w:w="20" w:type="dxa"/>
            </w:tcMar>
          </w:tcPr>
          <w:p w14:paraId="4958B237" w14:textId="3012E9C8"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(15,644)</w:t>
            </w:r>
          </w:p>
        </w:tc>
        <w:tc>
          <w:tcPr>
            <w:tcW w:w="1418" w:type="dxa"/>
            <w:shd w:val="clear" w:color="auto" w:fill="auto"/>
            <w:tcMar>
              <w:top w:w="20" w:type="dxa"/>
              <w:left w:w="20" w:type="dxa"/>
              <w:bottom w:w="20" w:type="dxa"/>
              <w:right w:w="20" w:type="dxa"/>
            </w:tcMar>
          </w:tcPr>
          <w:p w14:paraId="6AB9C111" w14:textId="5E3151E8"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(16,635)</w:t>
            </w:r>
          </w:p>
        </w:tc>
      </w:tr>
      <w:tr w:rsidR="002460B8" w:rsidRPr="000D67C6" w14:paraId="2B9F1EDC" w14:textId="77777777" w:rsidTr="007454BC">
        <w:trPr>
          <w:trHeight w:val="300"/>
        </w:trPr>
        <w:tc>
          <w:tcPr>
            <w:tcW w:w="2268" w:type="dxa"/>
            <w:shd w:val="clear" w:color="auto" w:fill="auto"/>
            <w:tcMar>
              <w:top w:w="20" w:type="dxa"/>
              <w:left w:w="20" w:type="dxa"/>
              <w:bottom w:w="20" w:type="dxa"/>
              <w:right w:w="20" w:type="dxa"/>
            </w:tcMar>
          </w:tcPr>
          <w:p w14:paraId="2CB3A1DA" w14:textId="77777777" w:rsidR="002460B8" w:rsidRPr="000D67C6" w:rsidRDefault="002460B8" w:rsidP="002460B8">
            <w:pPr>
              <w:pStyle w:val="T1TableStyle"/>
              <w:rPr>
                <w:rFonts w:ascii="Arial" w:eastAsia="Verdana" w:hAnsi="Arial" w:cs="Arial"/>
                <w:sz w:val="22"/>
                <w:szCs w:val="22"/>
                <w:lang w:val="en-GB"/>
              </w:rPr>
            </w:pPr>
            <w:r w:rsidRPr="000D67C6">
              <w:rPr>
                <w:rFonts w:ascii="Arial" w:eastAsia="Verdana" w:hAnsi="Arial" w:cs="Arial"/>
                <w:sz w:val="22"/>
                <w:szCs w:val="22"/>
                <w:lang w:val="en-GB"/>
              </w:rPr>
              <w:t>Projected Service Cost for Next Year</w:t>
            </w:r>
          </w:p>
        </w:tc>
        <w:tc>
          <w:tcPr>
            <w:tcW w:w="1276" w:type="dxa"/>
            <w:shd w:val="clear" w:color="auto" w:fill="auto"/>
            <w:tcMar>
              <w:top w:w="20" w:type="dxa"/>
              <w:left w:w="20" w:type="dxa"/>
              <w:bottom w:w="20" w:type="dxa"/>
              <w:right w:w="20" w:type="dxa"/>
            </w:tcMar>
          </w:tcPr>
          <w:p w14:paraId="0254F2C1" w14:textId="5A404B75"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2,181</w:t>
            </w:r>
          </w:p>
        </w:tc>
        <w:tc>
          <w:tcPr>
            <w:tcW w:w="1276" w:type="dxa"/>
            <w:shd w:val="clear" w:color="auto" w:fill="auto"/>
            <w:tcMar>
              <w:top w:w="20" w:type="dxa"/>
              <w:left w:w="20" w:type="dxa"/>
              <w:bottom w:w="20" w:type="dxa"/>
              <w:right w:w="20" w:type="dxa"/>
            </w:tcMar>
          </w:tcPr>
          <w:p w14:paraId="0FF17F54" w14:textId="42300BA1"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2,119</w:t>
            </w:r>
          </w:p>
        </w:tc>
        <w:tc>
          <w:tcPr>
            <w:tcW w:w="1276" w:type="dxa"/>
            <w:shd w:val="clear" w:color="auto" w:fill="auto"/>
            <w:tcMar>
              <w:top w:w="20" w:type="dxa"/>
              <w:left w:w="20" w:type="dxa"/>
              <w:bottom w:w="20" w:type="dxa"/>
              <w:right w:w="20" w:type="dxa"/>
            </w:tcMar>
          </w:tcPr>
          <w:p w14:paraId="3EAE693F" w14:textId="1AA11000"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2,246</w:t>
            </w:r>
          </w:p>
        </w:tc>
        <w:tc>
          <w:tcPr>
            <w:tcW w:w="1417" w:type="dxa"/>
            <w:shd w:val="clear" w:color="auto" w:fill="auto"/>
            <w:tcMar>
              <w:top w:w="20" w:type="dxa"/>
              <w:left w:w="20" w:type="dxa"/>
              <w:bottom w:w="20" w:type="dxa"/>
              <w:right w:w="20" w:type="dxa"/>
            </w:tcMar>
          </w:tcPr>
          <w:p w14:paraId="44087B6A" w14:textId="12C1AEED"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2,181</w:t>
            </w:r>
          </w:p>
        </w:tc>
        <w:tc>
          <w:tcPr>
            <w:tcW w:w="1418" w:type="dxa"/>
            <w:shd w:val="clear" w:color="auto" w:fill="auto"/>
            <w:tcMar>
              <w:top w:w="20" w:type="dxa"/>
              <w:left w:w="20" w:type="dxa"/>
              <w:bottom w:w="20" w:type="dxa"/>
              <w:right w:w="20" w:type="dxa"/>
            </w:tcMar>
          </w:tcPr>
          <w:p w14:paraId="14737012" w14:textId="2EE5203B"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2,223</w:t>
            </w:r>
          </w:p>
        </w:tc>
      </w:tr>
      <w:tr w:rsidR="002460B8" w:rsidRPr="000D67C6" w14:paraId="4501ECBC" w14:textId="77777777" w:rsidTr="007454BC">
        <w:trPr>
          <w:trHeight w:val="300"/>
        </w:trPr>
        <w:tc>
          <w:tcPr>
            <w:tcW w:w="2268" w:type="dxa"/>
            <w:shd w:val="clear" w:color="auto" w:fill="auto"/>
            <w:tcMar>
              <w:top w:w="20" w:type="dxa"/>
              <w:left w:w="20" w:type="dxa"/>
              <w:bottom w:w="20" w:type="dxa"/>
              <w:right w:w="20" w:type="dxa"/>
            </w:tcMar>
          </w:tcPr>
          <w:p w14:paraId="126F99DE" w14:textId="77777777" w:rsidR="002460B8" w:rsidRPr="000D67C6" w:rsidRDefault="002460B8" w:rsidP="002460B8">
            <w:pPr>
              <w:pStyle w:val="T1TableStyle"/>
              <w:rPr>
                <w:rFonts w:ascii="Arial" w:eastAsia="Verdana" w:hAnsi="Arial" w:cs="Arial"/>
                <w:sz w:val="22"/>
                <w:szCs w:val="22"/>
                <w:lang w:val="en-GB"/>
              </w:rPr>
            </w:pPr>
            <w:r w:rsidRPr="000D67C6">
              <w:rPr>
                <w:rFonts w:ascii="Arial" w:eastAsia="Verdana" w:hAnsi="Arial" w:cs="Arial"/>
                <w:sz w:val="22"/>
                <w:szCs w:val="22"/>
                <w:lang w:val="en-GB"/>
              </w:rPr>
              <w:t>Projected Net Interest Cost for Next Year</w:t>
            </w:r>
          </w:p>
        </w:tc>
        <w:tc>
          <w:tcPr>
            <w:tcW w:w="1276" w:type="dxa"/>
            <w:shd w:val="clear" w:color="auto" w:fill="auto"/>
            <w:tcMar>
              <w:top w:w="20" w:type="dxa"/>
              <w:left w:w="20" w:type="dxa"/>
              <w:bottom w:w="20" w:type="dxa"/>
              <w:right w:w="20" w:type="dxa"/>
            </w:tcMar>
          </w:tcPr>
          <w:p w14:paraId="5E6E991C" w14:textId="7FF67373"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372</w:t>
            </w:r>
          </w:p>
        </w:tc>
        <w:tc>
          <w:tcPr>
            <w:tcW w:w="1276" w:type="dxa"/>
            <w:shd w:val="clear" w:color="auto" w:fill="auto"/>
            <w:tcMar>
              <w:top w:w="20" w:type="dxa"/>
              <w:left w:w="20" w:type="dxa"/>
              <w:bottom w:w="20" w:type="dxa"/>
              <w:right w:w="20" w:type="dxa"/>
            </w:tcMar>
          </w:tcPr>
          <w:p w14:paraId="53F4C19B" w14:textId="2A236B43"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353</w:t>
            </w:r>
          </w:p>
        </w:tc>
        <w:tc>
          <w:tcPr>
            <w:tcW w:w="1276" w:type="dxa"/>
            <w:shd w:val="clear" w:color="auto" w:fill="auto"/>
            <w:tcMar>
              <w:top w:w="20" w:type="dxa"/>
              <w:left w:w="20" w:type="dxa"/>
              <w:bottom w:w="20" w:type="dxa"/>
              <w:right w:w="20" w:type="dxa"/>
            </w:tcMar>
          </w:tcPr>
          <w:p w14:paraId="6FB42981" w14:textId="63E328BE"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406</w:t>
            </w:r>
          </w:p>
        </w:tc>
        <w:tc>
          <w:tcPr>
            <w:tcW w:w="1417" w:type="dxa"/>
            <w:shd w:val="clear" w:color="auto" w:fill="auto"/>
            <w:tcMar>
              <w:top w:w="20" w:type="dxa"/>
              <w:left w:w="20" w:type="dxa"/>
              <w:bottom w:w="20" w:type="dxa"/>
              <w:right w:w="20" w:type="dxa"/>
            </w:tcMar>
          </w:tcPr>
          <w:p w14:paraId="6DA91DAA" w14:textId="16F12E6E"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380</w:t>
            </w:r>
          </w:p>
        </w:tc>
        <w:tc>
          <w:tcPr>
            <w:tcW w:w="1418" w:type="dxa"/>
            <w:shd w:val="clear" w:color="auto" w:fill="auto"/>
            <w:tcMar>
              <w:top w:w="20" w:type="dxa"/>
              <w:left w:w="20" w:type="dxa"/>
              <w:bottom w:w="20" w:type="dxa"/>
              <w:right w:w="20" w:type="dxa"/>
            </w:tcMar>
          </w:tcPr>
          <w:p w14:paraId="0BE400DE" w14:textId="326E7889" w:rsidR="002460B8" w:rsidRPr="000D67C6" w:rsidRDefault="002460B8" w:rsidP="002460B8">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404</w:t>
            </w:r>
          </w:p>
        </w:tc>
      </w:tr>
    </w:tbl>
    <w:p w14:paraId="75E3C8F4" w14:textId="77777777" w:rsidR="008F013B" w:rsidRPr="000D67C6" w:rsidRDefault="008F013B">
      <w:pPr>
        <w:pStyle w:val="T1TableStyle"/>
        <w:rPr>
          <w:rFonts w:ascii="Arial" w:eastAsia="Calibri" w:hAnsi="Arial" w:cs="Arial"/>
          <w:sz w:val="22"/>
          <w:szCs w:val="22"/>
          <w:lang w:val="en-GB"/>
        </w:rPr>
      </w:pPr>
    </w:p>
    <w:tbl>
      <w:tblPr>
        <w:tblW w:w="9214" w:type="dxa"/>
        <w:tblLayout w:type="fixed"/>
        <w:tblLook w:val="04A0" w:firstRow="1" w:lastRow="0" w:firstColumn="1" w:lastColumn="0" w:noHBand="0" w:noVBand="1"/>
      </w:tblPr>
      <w:tblGrid>
        <w:gridCol w:w="1276"/>
        <w:gridCol w:w="142"/>
        <w:gridCol w:w="142"/>
        <w:gridCol w:w="1134"/>
        <w:gridCol w:w="1275"/>
        <w:gridCol w:w="1276"/>
        <w:gridCol w:w="1418"/>
        <w:gridCol w:w="1275"/>
        <w:gridCol w:w="1276"/>
      </w:tblGrid>
      <w:tr w:rsidR="00B05F79" w:rsidRPr="000D67C6" w14:paraId="6647C09B" w14:textId="77777777" w:rsidTr="009B221A">
        <w:trPr>
          <w:trHeight w:val="541"/>
        </w:trPr>
        <w:tc>
          <w:tcPr>
            <w:tcW w:w="9214" w:type="dxa"/>
            <w:gridSpan w:val="9"/>
            <w:shd w:val="clear" w:color="auto" w:fill="auto"/>
            <w:tcMar>
              <w:top w:w="20" w:type="dxa"/>
              <w:left w:w="20" w:type="dxa"/>
              <w:bottom w:w="20" w:type="dxa"/>
              <w:right w:w="20" w:type="dxa"/>
            </w:tcMar>
          </w:tcPr>
          <w:p w14:paraId="4620757B" w14:textId="77777777" w:rsidR="00B05F79" w:rsidRPr="000D67C6" w:rsidRDefault="00B05F79" w:rsidP="00B05F79">
            <w:pPr>
              <w:pStyle w:val="T1TableStyle"/>
              <w:rPr>
                <w:rFonts w:ascii="Arial" w:eastAsia="Calibri" w:hAnsi="Arial" w:cs="Arial"/>
                <w:color w:val="000000"/>
                <w:sz w:val="22"/>
                <w:szCs w:val="22"/>
                <w:lang w:val="en-GB"/>
              </w:rPr>
            </w:pPr>
            <w:r w:rsidRPr="000D67C6">
              <w:rPr>
                <w:rFonts w:ascii="Arial" w:eastAsia="Verdana" w:hAnsi="Arial" w:cs="Arial"/>
                <w:b/>
                <w:sz w:val="22"/>
                <w:szCs w:val="22"/>
                <w:lang w:val="en-GB"/>
              </w:rPr>
              <w:t>Impact of assumptions on the obligation - Firefighter Pension Scheme</w:t>
            </w:r>
            <w:r w:rsidRPr="000D67C6">
              <w:rPr>
                <w:rFonts w:ascii="Arial" w:eastAsia="Calibri" w:hAnsi="Arial" w:cs="Arial"/>
                <w:color w:val="000000"/>
                <w:sz w:val="22"/>
                <w:szCs w:val="22"/>
                <w:lang w:val="en-GB"/>
              </w:rPr>
              <w:t xml:space="preserve"> </w:t>
            </w:r>
          </w:p>
        </w:tc>
      </w:tr>
      <w:tr w:rsidR="00464E99" w:rsidRPr="000D67C6" w14:paraId="37E729A6" w14:textId="77777777" w:rsidTr="00C57B26">
        <w:trPr>
          <w:trHeight w:val="300"/>
        </w:trPr>
        <w:tc>
          <w:tcPr>
            <w:tcW w:w="1418" w:type="dxa"/>
            <w:gridSpan w:val="2"/>
            <w:shd w:val="clear" w:color="auto" w:fill="auto"/>
            <w:tcMar>
              <w:top w:w="20" w:type="dxa"/>
              <w:left w:w="20" w:type="dxa"/>
              <w:bottom w:w="20" w:type="dxa"/>
              <w:right w:w="20" w:type="dxa"/>
            </w:tcMar>
            <w:vAlign w:val="center"/>
          </w:tcPr>
          <w:p w14:paraId="69B4DABD" w14:textId="49D02870" w:rsidR="008F013B" w:rsidRPr="000D67C6" w:rsidRDefault="008F013B" w:rsidP="003B0DB8">
            <w:pPr>
              <w:pStyle w:val="T1TableStyle"/>
              <w:rPr>
                <w:rFonts w:ascii="Arial" w:eastAsia="Calibri" w:hAnsi="Arial" w:cs="Arial"/>
                <w:color w:val="000000"/>
                <w:sz w:val="22"/>
                <w:szCs w:val="22"/>
                <w:lang w:val="en-GB"/>
              </w:rPr>
            </w:pPr>
          </w:p>
        </w:tc>
        <w:tc>
          <w:tcPr>
            <w:tcW w:w="1276" w:type="dxa"/>
            <w:gridSpan w:val="2"/>
            <w:shd w:val="clear" w:color="auto" w:fill="auto"/>
            <w:tcMar>
              <w:top w:w="20" w:type="dxa"/>
              <w:left w:w="20" w:type="dxa"/>
              <w:bottom w:w="20" w:type="dxa"/>
              <w:right w:w="20" w:type="dxa"/>
            </w:tcMar>
            <w:vAlign w:val="bottom"/>
          </w:tcPr>
          <w:p w14:paraId="5A387C18" w14:textId="29D4087F" w:rsidR="008F013B" w:rsidRPr="000D67C6" w:rsidRDefault="008F013B" w:rsidP="00544BE6">
            <w:pPr>
              <w:pStyle w:val="T1TableStyle"/>
              <w:jc w:val="right"/>
              <w:rPr>
                <w:rFonts w:ascii="Arial" w:eastAsia="Verdana" w:hAnsi="Arial" w:cs="Arial"/>
                <w:b/>
                <w:sz w:val="22"/>
                <w:szCs w:val="22"/>
                <w:lang w:val="en-GB"/>
              </w:rPr>
            </w:pPr>
          </w:p>
        </w:tc>
        <w:tc>
          <w:tcPr>
            <w:tcW w:w="1275" w:type="dxa"/>
            <w:shd w:val="clear" w:color="auto" w:fill="auto"/>
            <w:tcMar>
              <w:top w:w="20" w:type="dxa"/>
              <w:left w:w="20" w:type="dxa"/>
              <w:bottom w:w="20" w:type="dxa"/>
              <w:right w:w="20" w:type="dxa"/>
            </w:tcMar>
            <w:vAlign w:val="bottom"/>
          </w:tcPr>
          <w:p w14:paraId="43FD9317" w14:textId="77777777" w:rsidR="008F013B" w:rsidRPr="000D67C6" w:rsidRDefault="008F013B" w:rsidP="00544BE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Discount Rate on Liabilities</w:t>
            </w:r>
          </w:p>
        </w:tc>
        <w:tc>
          <w:tcPr>
            <w:tcW w:w="1276" w:type="dxa"/>
            <w:shd w:val="clear" w:color="auto" w:fill="auto"/>
            <w:tcMar>
              <w:top w:w="20" w:type="dxa"/>
              <w:left w:w="20" w:type="dxa"/>
              <w:bottom w:w="20" w:type="dxa"/>
              <w:right w:w="20" w:type="dxa"/>
            </w:tcMar>
            <w:vAlign w:val="bottom"/>
          </w:tcPr>
          <w:p w14:paraId="7200A22F" w14:textId="77777777" w:rsidR="008F013B" w:rsidRPr="000D67C6" w:rsidRDefault="008F013B" w:rsidP="00544BE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Increase in Salaries</w:t>
            </w:r>
          </w:p>
        </w:tc>
        <w:tc>
          <w:tcPr>
            <w:tcW w:w="1418" w:type="dxa"/>
            <w:shd w:val="clear" w:color="auto" w:fill="auto"/>
            <w:tcMar>
              <w:top w:w="20" w:type="dxa"/>
              <w:left w:w="20" w:type="dxa"/>
              <w:bottom w:w="20" w:type="dxa"/>
              <w:right w:w="20" w:type="dxa"/>
            </w:tcMar>
            <w:vAlign w:val="bottom"/>
          </w:tcPr>
          <w:p w14:paraId="1D5AD432" w14:textId="77777777" w:rsidR="008F013B" w:rsidRPr="000D67C6" w:rsidRDefault="008F013B" w:rsidP="00544BE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Life Expectancy</w:t>
            </w:r>
          </w:p>
        </w:tc>
        <w:tc>
          <w:tcPr>
            <w:tcW w:w="1275" w:type="dxa"/>
            <w:shd w:val="clear" w:color="auto" w:fill="auto"/>
            <w:tcMar>
              <w:top w:w="20" w:type="dxa"/>
              <w:left w:w="20" w:type="dxa"/>
              <w:bottom w:w="20" w:type="dxa"/>
              <w:right w:w="20" w:type="dxa"/>
            </w:tcMar>
            <w:vAlign w:val="bottom"/>
          </w:tcPr>
          <w:p w14:paraId="408B4407" w14:textId="77777777" w:rsidR="008F013B" w:rsidRPr="000D67C6" w:rsidRDefault="008F013B" w:rsidP="00544BE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Increase in Pensions</w:t>
            </w:r>
          </w:p>
        </w:tc>
        <w:tc>
          <w:tcPr>
            <w:tcW w:w="1276" w:type="dxa"/>
            <w:shd w:val="clear" w:color="auto" w:fill="auto"/>
            <w:tcMar>
              <w:top w:w="20" w:type="dxa"/>
              <w:left w:w="20" w:type="dxa"/>
              <w:bottom w:w="20" w:type="dxa"/>
              <w:right w:w="20" w:type="dxa"/>
            </w:tcMar>
            <w:vAlign w:val="bottom"/>
          </w:tcPr>
          <w:p w14:paraId="39BD8D6C" w14:textId="77777777" w:rsidR="008F013B" w:rsidRPr="000D67C6" w:rsidRDefault="008F013B" w:rsidP="00544BE6">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Retiring Earlier than Expected</w:t>
            </w:r>
          </w:p>
        </w:tc>
      </w:tr>
      <w:tr w:rsidR="008E2F7F" w:rsidRPr="000D67C6" w14:paraId="758C9826" w14:textId="77777777" w:rsidTr="00C57B26">
        <w:trPr>
          <w:trHeight w:val="137"/>
        </w:trPr>
        <w:tc>
          <w:tcPr>
            <w:tcW w:w="1276" w:type="dxa"/>
            <w:shd w:val="clear" w:color="auto" w:fill="auto"/>
            <w:tcMar>
              <w:top w:w="20" w:type="dxa"/>
              <w:left w:w="20" w:type="dxa"/>
              <w:bottom w:w="20" w:type="dxa"/>
              <w:right w:w="20" w:type="dxa"/>
            </w:tcMar>
            <w:vAlign w:val="center"/>
          </w:tcPr>
          <w:p w14:paraId="3A358EBC" w14:textId="77777777" w:rsidR="008E2F7F" w:rsidRPr="000D67C6" w:rsidRDefault="008E2F7F" w:rsidP="008E2F7F">
            <w:pPr>
              <w:pStyle w:val="T1TableStyle"/>
              <w:jc w:val="right"/>
              <w:rPr>
                <w:rFonts w:ascii="Arial" w:eastAsia="Calibri" w:hAnsi="Arial" w:cs="Arial"/>
                <w:color w:val="000000"/>
                <w:sz w:val="22"/>
                <w:szCs w:val="22"/>
                <w:lang w:val="en-GB"/>
              </w:rPr>
            </w:pPr>
            <w:r w:rsidRPr="000D67C6">
              <w:rPr>
                <w:rFonts w:ascii="Arial" w:eastAsia="Calibri" w:hAnsi="Arial" w:cs="Arial"/>
                <w:color w:val="000000"/>
                <w:sz w:val="22"/>
                <w:szCs w:val="22"/>
                <w:lang w:val="en-GB"/>
              </w:rPr>
              <w:t xml:space="preserve"> </w:t>
            </w:r>
          </w:p>
        </w:tc>
        <w:tc>
          <w:tcPr>
            <w:tcW w:w="1418" w:type="dxa"/>
            <w:gridSpan w:val="3"/>
            <w:shd w:val="clear" w:color="auto" w:fill="auto"/>
            <w:tcMar>
              <w:top w:w="20" w:type="dxa"/>
              <w:left w:w="20" w:type="dxa"/>
              <w:bottom w:w="20" w:type="dxa"/>
              <w:right w:w="20" w:type="dxa"/>
            </w:tcMar>
            <w:vAlign w:val="bottom"/>
          </w:tcPr>
          <w:p w14:paraId="6BEF6FC3" w14:textId="77777777" w:rsidR="00CD0591"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 xml:space="preserve">As </w:t>
            </w:r>
          </w:p>
          <w:p w14:paraId="33B19C70" w14:textId="2A57233C"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Reported</w:t>
            </w:r>
          </w:p>
        </w:tc>
        <w:tc>
          <w:tcPr>
            <w:tcW w:w="1275" w:type="dxa"/>
            <w:shd w:val="clear" w:color="auto" w:fill="auto"/>
            <w:tcMar>
              <w:top w:w="20" w:type="dxa"/>
              <w:left w:w="20" w:type="dxa"/>
              <w:bottom w:w="20" w:type="dxa"/>
              <w:right w:w="20" w:type="dxa"/>
            </w:tcMar>
            <w:vAlign w:val="bottom"/>
          </w:tcPr>
          <w:p w14:paraId="3FCB3BDF"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0.5% Increase</w:t>
            </w:r>
          </w:p>
        </w:tc>
        <w:tc>
          <w:tcPr>
            <w:tcW w:w="1276" w:type="dxa"/>
            <w:shd w:val="clear" w:color="auto" w:fill="auto"/>
            <w:tcMar>
              <w:top w:w="20" w:type="dxa"/>
              <w:left w:w="20" w:type="dxa"/>
              <w:bottom w:w="20" w:type="dxa"/>
              <w:right w:w="20" w:type="dxa"/>
            </w:tcMar>
            <w:vAlign w:val="bottom"/>
          </w:tcPr>
          <w:p w14:paraId="72C4A2EA"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0.5% Increase</w:t>
            </w:r>
          </w:p>
        </w:tc>
        <w:tc>
          <w:tcPr>
            <w:tcW w:w="1418" w:type="dxa"/>
            <w:shd w:val="clear" w:color="auto" w:fill="auto"/>
            <w:tcMar>
              <w:top w:w="20" w:type="dxa"/>
              <w:left w:w="20" w:type="dxa"/>
              <w:bottom w:w="20" w:type="dxa"/>
              <w:right w:w="20" w:type="dxa"/>
            </w:tcMar>
            <w:vAlign w:val="bottom"/>
          </w:tcPr>
          <w:p w14:paraId="7CAAE117"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1-year Increase</w:t>
            </w:r>
          </w:p>
        </w:tc>
        <w:tc>
          <w:tcPr>
            <w:tcW w:w="1275" w:type="dxa"/>
            <w:shd w:val="clear" w:color="auto" w:fill="auto"/>
            <w:tcMar>
              <w:top w:w="20" w:type="dxa"/>
              <w:left w:w="20" w:type="dxa"/>
              <w:bottom w:w="20" w:type="dxa"/>
              <w:right w:w="20" w:type="dxa"/>
            </w:tcMar>
            <w:vAlign w:val="bottom"/>
          </w:tcPr>
          <w:p w14:paraId="428A39C0"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0.5% Increase</w:t>
            </w:r>
          </w:p>
        </w:tc>
        <w:tc>
          <w:tcPr>
            <w:tcW w:w="1276" w:type="dxa"/>
            <w:shd w:val="clear" w:color="auto" w:fill="auto"/>
            <w:tcMar>
              <w:top w:w="20" w:type="dxa"/>
              <w:left w:w="20" w:type="dxa"/>
              <w:bottom w:w="20" w:type="dxa"/>
              <w:right w:w="20" w:type="dxa"/>
            </w:tcMar>
            <w:vAlign w:val="bottom"/>
          </w:tcPr>
          <w:p w14:paraId="4BD6411B"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1 Year Earlier</w:t>
            </w:r>
          </w:p>
        </w:tc>
      </w:tr>
      <w:tr w:rsidR="008E2F7F" w:rsidRPr="000D67C6" w14:paraId="3A956A7E" w14:textId="77777777" w:rsidTr="00C57B26">
        <w:trPr>
          <w:trHeight w:val="300"/>
        </w:trPr>
        <w:tc>
          <w:tcPr>
            <w:tcW w:w="1418" w:type="dxa"/>
            <w:gridSpan w:val="2"/>
            <w:tcBorders>
              <w:bottom w:val="single" w:sz="2" w:space="0" w:color="000000"/>
            </w:tcBorders>
            <w:shd w:val="clear" w:color="auto" w:fill="auto"/>
            <w:tcMar>
              <w:top w:w="20" w:type="dxa"/>
              <w:left w:w="20" w:type="dxa"/>
              <w:bottom w:w="20" w:type="dxa"/>
              <w:right w:w="20" w:type="dxa"/>
            </w:tcMar>
          </w:tcPr>
          <w:p w14:paraId="2DB5E6DD" w14:textId="77777777" w:rsidR="008E2F7F" w:rsidRPr="000D67C6" w:rsidRDefault="008E2F7F" w:rsidP="008E2F7F">
            <w:pPr>
              <w:pStyle w:val="T1TableStyle"/>
              <w:jc w:val="center"/>
              <w:rPr>
                <w:rFonts w:ascii="Arial" w:eastAsia="Verdana" w:hAnsi="Arial" w:cs="Arial"/>
                <w:b/>
                <w:sz w:val="22"/>
                <w:szCs w:val="22"/>
                <w:lang w:val="en-GB"/>
              </w:rPr>
            </w:pPr>
            <w:r w:rsidRPr="000D67C6">
              <w:rPr>
                <w:rFonts w:ascii="Arial" w:eastAsia="Verdana" w:hAnsi="Arial" w:cs="Arial"/>
                <w:b/>
                <w:sz w:val="22"/>
                <w:szCs w:val="22"/>
                <w:lang w:val="en-GB"/>
              </w:rPr>
              <w:t xml:space="preserve"> </w:t>
            </w:r>
          </w:p>
        </w:tc>
        <w:tc>
          <w:tcPr>
            <w:tcW w:w="1276" w:type="dxa"/>
            <w:gridSpan w:val="2"/>
            <w:tcBorders>
              <w:bottom w:val="single" w:sz="2" w:space="0" w:color="000000"/>
            </w:tcBorders>
            <w:shd w:val="clear" w:color="auto" w:fill="auto"/>
            <w:tcMar>
              <w:top w:w="20" w:type="dxa"/>
              <w:left w:w="20" w:type="dxa"/>
              <w:bottom w:w="20" w:type="dxa"/>
              <w:right w:w="20" w:type="dxa"/>
            </w:tcMar>
          </w:tcPr>
          <w:p w14:paraId="366665E8"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5" w:type="dxa"/>
            <w:tcBorders>
              <w:bottom w:val="single" w:sz="2" w:space="0" w:color="000000"/>
            </w:tcBorders>
            <w:shd w:val="clear" w:color="auto" w:fill="auto"/>
            <w:tcMar>
              <w:top w:w="20" w:type="dxa"/>
              <w:left w:w="20" w:type="dxa"/>
              <w:bottom w:w="20" w:type="dxa"/>
              <w:right w:w="20" w:type="dxa"/>
            </w:tcMar>
          </w:tcPr>
          <w:p w14:paraId="116042E9"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tcPr>
          <w:p w14:paraId="34F39F04"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418" w:type="dxa"/>
            <w:tcBorders>
              <w:bottom w:val="single" w:sz="2" w:space="0" w:color="000000"/>
            </w:tcBorders>
            <w:shd w:val="clear" w:color="auto" w:fill="auto"/>
            <w:tcMar>
              <w:top w:w="20" w:type="dxa"/>
              <w:left w:w="20" w:type="dxa"/>
              <w:bottom w:w="20" w:type="dxa"/>
              <w:right w:w="20" w:type="dxa"/>
            </w:tcMar>
          </w:tcPr>
          <w:p w14:paraId="0128230A"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5" w:type="dxa"/>
            <w:tcBorders>
              <w:bottom w:val="single" w:sz="2" w:space="0" w:color="000000"/>
            </w:tcBorders>
            <w:shd w:val="clear" w:color="auto" w:fill="auto"/>
            <w:tcMar>
              <w:top w:w="20" w:type="dxa"/>
              <w:left w:w="20" w:type="dxa"/>
              <w:bottom w:w="20" w:type="dxa"/>
              <w:right w:w="20" w:type="dxa"/>
            </w:tcMar>
          </w:tcPr>
          <w:p w14:paraId="7BD4EE27"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c>
          <w:tcPr>
            <w:tcW w:w="1276" w:type="dxa"/>
            <w:tcBorders>
              <w:bottom w:val="single" w:sz="2" w:space="0" w:color="000000"/>
            </w:tcBorders>
            <w:shd w:val="clear" w:color="auto" w:fill="auto"/>
            <w:tcMar>
              <w:top w:w="20" w:type="dxa"/>
              <w:left w:w="20" w:type="dxa"/>
              <w:bottom w:w="20" w:type="dxa"/>
              <w:right w:w="20" w:type="dxa"/>
            </w:tcMar>
          </w:tcPr>
          <w:p w14:paraId="32C13EDD" w14:textId="77777777" w:rsidR="008E2F7F" w:rsidRPr="000D67C6" w:rsidRDefault="008E2F7F" w:rsidP="008E2F7F">
            <w:pPr>
              <w:pStyle w:val="T1TableStyle"/>
              <w:jc w:val="right"/>
              <w:rPr>
                <w:rFonts w:ascii="Arial" w:eastAsia="Verdana" w:hAnsi="Arial" w:cs="Arial"/>
                <w:b/>
                <w:sz w:val="22"/>
                <w:szCs w:val="22"/>
                <w:lang w:val="en-GB"/>
              </w:rPr>
            </w:pPr>
            <w:r w:rsidRPr="000D67C6">
              <w:rPr>
                <w:rFonts w:ascii="Arial" w:eastAsia="Verdana" w:hAnsi="Arial" w:cs="Arial"/>
                <w:b/>
                <w:sz w:val="22"/>
                <w:szCs w:val="22"/>
                <w:lang w:val="en-GB"/>
              </w:rPr>
              <w:t>£000</w:t>
            </w:r>
          </w:p>
        </w:tc>
      </w:tr>
      <w:tr w:rsidR="009046BF" w:rsidRPr="000D67C6" w14:paraId="2940F0C0" w14:textId="77777777" w:rsidTr="00351957">
        <w:trPr>
          <w:trHeight w:val="300"/>
        </w:trPr>
        <w:tc>
          <w:tcPr>
            <w:tcW w:w="1560" w:type="dxa"/>
            <w:gridSpan w:val="3"/>
            <w:shd w:val="clear" w:color="auto" w:fill="auto"/>
            <w:tcMar>
              <w:top w:w="20" w:type="dxa"/>
              <w:left w:w="20" w:type="dxa"/>
              <w:bottom w:w="20" w:type="dxa"/>
              <w:right w:w="20" w:type="dxa"/>
            </w:tcMar>
          </w:tcPr>
          <w:p w14:paraId="6D0D622F" w14:textId="77777777" w:rsidR="009046BF" w:rsidRPr="000D67C6" w:rsidRDefault="009046BF" w:rsidP="00351957">
            <w:pPr>
              <w:pStyle w:val="T1TableStyle"/>
              <w:rPr>
                <w:rFonts w:ascii="Arial" w:eastAsia="Verdana" w:hAnsi="Arial" w:cs="Arial"/>
                <w:sz w:val="22"/>
                <w:szCs w:val="22"/>
                <w:lang w:val="en-GB"/>
              </w:rPr>
            </w:pPr>
            <w:r w:rsidRPr="000D67C6">
              <w:rPr>
                <w:rFonts w:ascii="Arial" w:eastAsia="Verdana" w:hAnsi="Arial" w:cs="Arial"/>
                <w:sz w:val="22"/>
                <w:szCs w:val="22"/>
                <w:lang w:val="en-GB"/>
              </w:rPr>
              <w:t xml:space="preserve">FFPS </w:t>
            </w:r>
          </w:p>
        </w:tc>
        <w:tc>
          <w:tcPr>
            <w:tcW w:w="1134" w:type="dxa"/>
            <w:shd w:val="clear" w:color="auto" w:fill="auto"/>
            <w:tcMar>
              <w:top w:w="20" w:type="dxa"/>
              <w:left w:w="20" w:type="dxa"/>
              <w:bottom w:w="20" w:type="dxa"/>
              <w:right w:w="20" w:type="dxa"/>
            </w:tcMar>
          </w:tcPr>
          <w:p w14:paraId="357C8ECD" w14:textId="58B9B571"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w:t>
            </w:r>
            <w:r w:rsidR="003C6300">
              <w:rPr>
                <w:rFonts w:ascii="Arial" w:eastAsia="Verdana" w:hAnsi="Arial" w:cs="Arial"/>
                <w:sz w:val="22"/>
                <w:szCs w:val="22"/>
                <w:lang w:val="en-GB"/>
              </w:rPr>
              <w:t>4</w:t>
            </w:r>
            <w:r w:rsidRPr="000D67C6">
              <w:rPr>
                <w:rFonts w:ascii="Arial" w:eastAsia="Verdana" w:hAnsi="Arial" w:cs="Arial"/>
                <w:sz w:val="22"/>
                <w:szCs w:val="22"/>
                <w:lang w:val="en-GB"/>
              </w:rPr>
              <w:t>,</w:t>
            </w:r>
            <w:r w:rsidR="003C6300">
              <w:rPr>
                <w:rFonts w:ascii="Arial" w:eastAsia="Verdana" w:hAnsi="Arial" w:cs="Arial"/>
                <w:sz w:val="22"/>
                <w:szCs w:val="22"/>
                <w:lang w:val="en-GB"/>
              </w:rPr>
              <w:t>2</w:t>
            </w:r>
            <w:r w:rsidRPr="000D67C6">
              <w:rPr>
                <w:rFonts w:ascii="Arial" w:eastAsia="Verdana" w:hAnsi="Arial" w:cs="Arial"/>
                <w:sz w:val="22"/>
                <w:szCs w:val="22"/>
                <w:lang w:val="en-GB"/>
              </w:rPr>
              <w:t>87)</w:t>
            </w:r>
          </w:p>
        </w:tc>
        <w:tc>
          <w:tcPr>
            <w:tcW w:w="1275" w:type="dxa"/>
            <w:shd w:val="clear" w:color="auto" w:fill="auto"/>
            <w:tcMar>
              <w:top w:w="20" w:type="dxa"/>
              <w:left w:w="20" w:type="dxa"/>
              <w:bottom w:w="20" w:type="dxa"/>
              <w:right w:w="20" w:type="dxa"/>
            </w:tcMar>
          </w:tcPr>
          <w:p w14:paraId="067F0D57" w14:textId="402CEFFB"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(47</w:t>
            </w:r>
            <w:r w:rsidR="0009508C">
              <w:rPr>
                <w:rFonts w:ascii="Arial" w:eastAsia="Verdana" w:hAnsi="Arial" w:cs="Arial"/>
                <w:sz w:val="22"/>
                <w:szCs w:val="22"/>
                <w:lang w:val="en-GB"/>
              </w:rPr>
              <w:t>7</w:t>
            </w:r>
            <w:r w:rsidRPr="000D67C6">
              <w:rPr>
                <w:rFonts w:ascii="Arial" w:eastAsia="Verdana" w:hAnsi="Arial" w:cs="Arial"/>
                <w:sz w:val="22"/>
                <w:szCs w:val="22"/>
                <w:lang w:val="en-GB"/>
              </w:rPr>
              <w:t>,</w:t>
            </w:r>
            <w:r w:rsidR="0009508C">
              <w:rPr>
                <w:rFonts w:ascii="Arial" w:eastAsia="Verdana" w:hAnsi="Arial" w:cs="Arial"/>
                <w:sz w:val="22"/>
                <w:szCs w:val="22"/>
                <w:lang w:val="en-GB"/>
              </w:rPr>
              <w:t>2</w:t>
            </w:r>
            <w:r w:rsidRPr="000D67C6">
              <w:rPr>
                <w:rFonts w:ascii="Arial" w:eastAsia="Verdana" w:hAnsi="Arial" w:cs="Arial"/>
                <w:sz w:val="22"/>
                <w:szCs w:val="22"/>
                <w:lang w:val="en-GB"/>
              </w:rPr>
              <w:t>87)</w:t>
            </w:r>
          </w:p>
        </w:tc>
        <w:tc>
          <w:tcPr>
            <w:tcW w:w="1276" w:type="dxa"/>
            <w:shd w:val="clear" w:color="auto" w:fill="auto"/>
            <w:tcMar>
              <w:top w:w="20" w:type="dxa"/>
              <w:left w:w="20" w:type="dxa"/>
              <w:bottom w:w="20" w:type="dxa"/>
              <w:right w:w="20" w:type="dxa"/>
            </w:tcMar>
          </w:tcPr>
          <w:p w14:paraId="532F854A" w14:textId="2EF21487"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w:t>
            </w:r>
            <w:r w:rsidR="0005242F">
              <w:rPr>
                <w:rFonts w:ascii="Arial" w:eastAsia="Verdana" w:hAnsi="Arial" w:cs="Arial"/>
                <w:sz w:val="22"/>
                <w:szCs w:val="22"/>
                <w:lang w:val="en-GB"/>
              </w:rPr>
              <w:t>31</w:t>
            </w:r>
            <w:r w:rsidRPr="000D67C6">
              <w:rPr>
                <w:rFonts w:ascii="Arial" w:eastAsia="Verdana" w:hAnsi="Arial" w:cs="Arial"/>
                <w:sz w:val="22"/>
                <w:szCs w:val="22"/>
                <w:lang w:val="en-GB"/>
              </w:rPr>
              <w:t>,</w:t>
            </w:r>
            <w:r w:rsidR="00897686">
              <w:rPr>
                <w:rFonts w:ascii="Arial" w:eastAsia="Verdana" w:hAnsi="Arial" w:cs="Arial"/>
                <w:sz w:val="22"/>
                <w:szCs w:val="22"/>
                <w:lang w:val="en-GB"/>
              </w:rPr>
              <w:t>2</w:t>
            </w:r>
            <w:r w:rsidRPr="000D67C6">
              <w:rPr>
                <w:rFonts w:ascii="Arial" w:eastAsia="Verdana" w:hAnsi="Arial" w:cs="Arial"/>
                <w:sz w:val="22"/>
                <w:szCs w:val="22"/>
                <w:lang w:val="en-GB"/>
              </w:rPr>
              <w:t>87)</w:t>
            </w:r>
          </w:p>
        </w:tc>
        <w:tc>
          <w:tcPr>
            <w:tcW w:w="1418" w:type="dxa"/>
            <w:shd w:val="clear" w:color="auto" w:fill="auto"/>
            <w:tcMar>
              <w:top w:w="20" w:type="dxa"/>
              <w:left w:w="20" w:type="dxa"/>
              <w:bottom w:w="20" w:type="dxa"/>
              <w:right w:w="20" w:type="dxa"/>
            </w:tcMar>
          </w:tcPr>
          <w:p w14:paraId="61195B0C" w14:textId="772E6287"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(53</w:t>
            </w:r>
            <w:r w:rsidR="00590DA8">
              <w:rPr>
                <w:rFonts w:ascii="Arial" w:eastAsia="Verdana" w:hAnsi="Arial" w:cs="Arial"/>
                <w:sz w:val="22"/>
                <w:szCs w:val="22"/>
                <w:lang w:val="en-GB"/>
              </w:rPr>
              <w:t>7</w:t>
            </w:r>
            <w:r w:rsidRPr="000D67C6">
              <w:rPr>
                <w:rFonts w:ascii="Arial" w:eastAsia="Verdana" w:hAnsi="Arial" w:cs="Arial"/>
                <w:sz w:val="22"/>
                <w:szCs w:val="22"/>
                <w:lang w:val="en-GB"/>
              </w:rPr>
              <w:t>,</w:t>
            </w:r>
            <w:r w:rsidR="00590DA8">
              <w:rPr>
                <w:rFonts w:ascii="Arial" w:eastAsia="Verdana" w:hAnsi="Arial" w:cs="Arial"/>
                <w:sz w:val="22"/>
                <w:szCs w:val="22"/>
                <w:lang w:val="en-GB"/>
              </w:rPr>
              <w:t>2</w:t>
            </w:r>
            <w:r w:rsidRPr="000D67C6">
              <w:rPr>
                <w:rFonts w:ascii="Arial" w:eastAsia="Verdana" w:hAnsi="Arial" w:cs="Arial"/>
                <w:sz w:val="22"/>
                <w:szCs w:val="22"/>
                <w:lang w:val="en-GB"/>
              </w:rPr>
              <w:t>87)</w:t>
            </w:r>
          </w:p>
        </w:tc>
        <w:tc>
          <w:tcPr>
            <w:tcW w:w="1275" w:type="dxa"/>
            <w:shd w:val="clear" w:color="auto" w:fill="auto"/>
            <w:tcMar>
              <w:top w:w="20" w:type="dxa"/>
              <w:left w:w="20" w:type="dxa"/>
              <w:bottom w:w="20" w:type="dxa"/>
              <w:right w:w="20" w:type="dxa"/>
            </w:tcMar>
          </w:tcPr>
          <w:p w14:paraId="24C6BC2B" w14:textId="006D3494"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w:t>
            </w:r>
            <w:r w:rsidR="00491EF9">
              <w:rPr>
                <w:rFonts w:ascii="Arial" w:eastAsia="Verdana" w:hAnsi="Arial" w:cs="Arial"/>
                <w:sz w:val="22"/>
                <w:szCs w:val="22"/>
                <w:lang w:val="en-GB"/>
              </w:rPr>
              <w:t>60</w:t>
            </w:r>
            <w:r w:rsidRPr="000D67C6">
              <w:rPr>
                <w:rFonts w:ascii="Arial" w:eastAsia="Verdana" w:hAnsi="Arial" w:cs="Arial"/>
                <w:sz w:val="22"/>
                <w:szCs w:val="22"/>
                <w:lang w:val="en-GB"/>
              </w:rPr>
              <w:t>,</w:t>
            </w:r>
            <w:r w:rsidR="00491EF9">
              <w:rPr>
                <w:rFonts w:ascii="Arial" w:eastAsia="Verdana" w:hAnsi="Arial" w:cs="Arial"/>
                <w:sz w:val="22"/>
                <w:szCs w:val="22"/>
                <w:lang w:val="en-GB"/>
              </w:rPr>
              <w:t>2</w:t>
            </w:r>
            <w:r w:rsidRPr="000D67C6">
              <w:rPr>
                <w:rFonts w:ascii="Arial" w:eastAsia="Verdana" w:hAnsi="Arial" w:cs="Arial"/>
                <w:sz w:val="22"/>
                <w:szCs w:val="22"/>
                <w:lang w:val="en-GB"/>
              </w:rPr>
              <w:t>87)</w:t>
            </w:r>
          </w:p>
        </w:tc>
        <w:tc>
          <w:tcPr>
            <w:tcW w:w="1276" w:type="dxa"/>
            <w:shd w:val="clear" w:color="auto" w:fill="auto"/>
            <w:tcMar>
              <w:top w:w="20" w:type="dxa"/>
              <w:left w:w="20" w:type="dxa"/>
              <w:bottom w:w="20" w:type="dxa"/>
              <w:right w:w="20" w:type="dxa"/>
            </w:tcMar>
          </w:tcPr>
          <w:p w14:paraId="772D8B2B" w14:textId="7DDB9E8E" w:rsidR="009046BF" w:rsidRPr="000D67C6" w:rsidRDefault="009046BF" w:rsidP="00351957">
            <w:pPr>
              <w:pStyle w:val="T1TableStyle"/>
              <w:jc w:val="right"/>
              <w:rPr>
                <w:rFonts w:ascii="Arial" w:eastAsia="Verdana" w:hAnsi="Arial" w:cs="Arial"/>
                <w:sz w:val="22"/>
                <w:szCs w:val="22"/>
                <w:lang w:val="en-GB"/>
              </w:rPr>
            </w:pPr>
            <w:r w:rsidRPr="000D67C6">
              <w:rPr>
                <w:rFonts w:ascii="Arial" w:eastAsia="Verdana" w:hAnsi="Arial" w:cs="Arial"/>
                <w:sz w:val="22"/>
                <w:szCs w:val="22"/>
                <w:lang w:val="en-GB"/>
              </w:rPr>
              <w:t>(52</w:t>
            </w:r>
            <w:r w:rsidR="00F64AEF">
              <w:rPr>
                <w:rFonts w:ascii="Arial" w:eastAsia="Verdana" w:hAnsi="Arial" w:cs="Arial"/>
                <w:sz w:val="22"/>
                <w:szCs w:val="22"/>
                <w:lang w:val="en-GB"/>
              </w:rPr>
              <w:t>4</w:t>
            </w:r>
            <w:r w:rsidRPr="000D67C6">
              <w:rPr>
                <w:rFonts w:ascii="Arial" w:eastAsia="Verdana" w:hAnsi="Arial" w:cs="Arial"/>
                <w:sz w:val="22"/>
                <w:szCs w:val="22"/>
                <w:lang w:val="en-GB"/>
              </w:rPr>
              <w:t>,</w:t>
            </w:r>
            <w:r w:rsidR="00F64AEF">
              <w:rPr>
                <w:rFonts w:ascii="Arial" w:eastAsia="Verdana" w:hAnsi="Arial" w:cs="Arial"/>
                <w:sz w:val="22"/>
                <w:szCs w:val="22"/>
                <w:lang w:val="en-GB"/>
              </w:rPr>
              <w:t>2</w:t>
            </w:r>
            <w:r w:rsidRPr="000D67C6">
              <w:rPr>
                <w:rFonts w:ascii="Arial" w:eastAsia="Verdana" w:hAnsi="Arial" w:cs="Arial"/>
                <w:sz w:val="22"/>
                <w:szCs w:val="22"/>
                <w:lang w:val="en-GB"/>
              </w:rPr>
              <w:t>87)</w:t>
            </w:r>
          </w:p>
        </w:tc>
      </w:tr>
    </w:tbl>
    <w:p w14:paraId="7C6CA5BD" w14:textId="6355CB5D" w:rsidR="00905616" w:rsidRPr="000D67C6" w:rsidRDefault="00905616" w:rsidP="00EB7A52">
      <w:pPr>
        <w:pStyle w:val="Normal0"/>
        <w:spacing w:line="259" w:lineRule="auto"/>
        <w:jc w:val="both"/>
        <w:rPr>
          <w:rFonts w:ascii="Arial" w:eastAsia="Calibri" w:hAnsi="Arial" w:cs="Arial"/>
          <w:b/>
          <w:sz w:val="22"/>
          <w:szCs w:val="22"/>
          <w:lang w:val="en-GB"/>
        </w:rPr>
      </w:pPr>
    </w:p>
    <w:p w14:paraId="3086CA95" w14:textId="77777777" w:rsidR="009162E7" w:rsidRPr="000D67C6" w:rsidRDefault="009162E7">
      <w:pPr>
        <w:rPr>
          <w:rFonts w:ascii="Arial" w:eastAsia="Calibri" w:hAnsi="Arial" w:cs="Arial"/>
          <w:b/>
          <w:sz w:val="22"/>
          <w:szCs w:val="22"/>
          <w:lang w:val="en-GB"/>
        </w:rPr>
      </w:pPr>
      <w:r w:rsidRPr="000D67C6">
        <w:rPr>
          <w:rFonts w:ascii="Arial" w:eastAsia="Calibri" w:hAnsi="Arial" w:cs="Arial"/>
          <w:b/>
          <w:sz w:val="22"/>
          <w:szCs w:val="22"/>
          <w:lang w:val="en-GB"/>
        </w:rPr>
        <w:br w:type="page"/>
      </w:r>
    </w:p>
    <w:p w14:paraId="6F1F4E5A" w14:textId="715A4E9D" w:rsidR="007454BC" w:rsidRPr="000D67C6" w:rsidRDefault="007454BC" w:rsidP="00EB7A52">
      <w:pPr>
        <w:pStyle w:val="Normal0"/>
        <w:spacing w:line="259" w:lineRule="auto"/>
        <w:jc w:val="both"/>
        <w:rPr>
          <w:rFonts w:ascii="Arial" w:eastAsia="Calibri" w:hAnsi="Arial" w:cs="Arial"/>
          <w:b/>
          <w:sz w:val="22"/>
          <w:szCs w:val="22"/>
          <w:lang w:val="en-GB"/>
        </w:rPr>
      </w:pPr>
      <w:r w:rsidRPr="000D67C6">
        <w:rPr>
          <w:rFonts w:ascii="Arial" w:eastAsia="Calibri" w:hAnsi="Arial" w:cs="Arial"/>
          <w:b/>
          <w:sz w:val="22"/>
          <w:szCs w:val="22"/>
          <w:lang w:val="en-GB"/>
        </w:rPr>
        <w:t>Impact on the Authority's Cash Flows</w:t>
      </w:r>
    </w:p>
    <w:p w14:paraId="1F0DB4EE" w14:textId="77777777" w:rsidR="007454BC" w:rsidRPr="000D67C6" w:rsidRDefault="007454BC" w:rsidP="00EB7A52">
      <w:pPr>
        <w:pStyle w:val="Normal0"/>
        <w:spacing w:line="259" w:lineRule="auto"/>
        <w:jc w:val="both"/>
        <w:rPr>
          <w:rFonts w:ascii="Arial" w:eastAsia="Calibri" w:hAnsi="Arial" w:cs="Arial"/>
          <w:color w:val="5B9BD5" w:themeColor="accent1"/>
          <w:sz w:val="22"/>
          <w:szCs w:val="22"/>
          <w:lang w:val="en-GB"/>
        </w:rPr>
      </w:pPr>
    </w:p>
    <w:p w14:paraId="6BE2C708" w14:textId="77777777" w:rsidR="009A0F09" w:rsidRPr="000D67C6" w:rsidRDefault="009A0F09" w:rsidP="00941D48">
      <w:pPr>
        <w:pStyle w:val="Default"/>
        <w:jc w:val="both"/>
        <w:rPr>
          <w:rFonts w:ascii="Arial" w:eastAsia="Calibri" w:hAnsi="Arial" w:cs="Arial"/>
          <w:color w:val="auto"/>
          <w:sz w:val="22"/>
          <w:szCs w:val="22"/>
        </w:rPr>
      </w:pPr>
      <w:r w:rsidRPr="000D67C6">
        <w:rPr>
          <w:rFonts w:ascii="Arial" w:eastAsia="Calibri" w:hAnsi="Arial" w:cs="Arial"/>
          <w:color w:val="auto"/>
          <w:sz w:val="22"/>
          <w:szCs w:val="22"/>
        </w:rPr>
        <w:t xml:space="preserve">We recognise the cost of retirement benefits in the reported cost of services when they are earned by employees, rather than when the benefits are eventually paid as pensions. However, the charge we are required to make against the levy is based on the cash payable in the year, so the real cost of post-employment/retirement benefits is reversed out of the General Fund via the Movement in Reserves Statement. The transactions in the preceding table have been made in the Comprehensive Income and Expenditure Statement and the General Fund Balance via the Movement in Reserves Statement during the year. </w:t>
      </w:r>
    </w:p>
    <w:p w14:paraId="75FA5D10" w14:textId="77777777" w:rsidR="00905616" w:rsidRPr="000D67C6" w:rsidRDefault="00905616" w:rsidP="00941D48">
      <w:pPr>
        <w:pStyle w:val="Default"/>
        <w:jc w:val="both"/>
        <w:rPr>
          <w:rFonts w:ascii="Arial" w:eastAsia="Calibri" w:hAnsi="Arial" w:cs="Arial"/>
          <w:color w:val="auto"/>
          <w:sz w:val="22"/>
          <w:szCs w:val="22"/>
        </w:rPr>
      </w:pPr>
    </w:p>
    <w:p w14:paraId="20D12307" w14:textId="77777777" w:rsidR="009A0F09" w:rsidRPr="000D67C6" w:rsidRDefault="009A0F09" w:rsidP="00941D48">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 xml:space="preserve">The table above shows the amount included in the Balance Sheet arising from the </w:t>
      </w:r>
      <w:r w:rsidR="00905616" w:rsidRPr="000D67C6">
        <w:rPr>
          <w:rFonts w:ascii="Arial" w:eastAsia="Calibri" w:hAnsi="Arial" w:cs="Arial"/>
          <w:sz w:val="22"/>
          <w:szCs w:val="22"/>
          <w:lang w:val="en-GB"/>
        </w:rPr>
        <w:t>A</w:t>
      </w:r>
      <w:r w:rsidRPr="000D67C6">
        <w:rPr>
          <w:rFonts w:ascii="Arial" w:eastAsia="Calibri" w:hAnsi="Arial" w:cs="Arial"/>
          <w:sz w:val="22"/>
          <w:szCs w:val="22"/>
          <w:lang w:val="en-GB"/>
        </w:rPr>
        <w:t>uthority’s obligation in respect of its defined benefit plans.</w:t>
      </w:r>
    </w:p>
    <w:p w14:paraId="13B99E07" w14:textId="77777777" w:rsidR="009162E7" w:rsidRPr="00055140" w:rsidRDefault="009162E7" w:rsidP="006133F2">
      <w:pPr>
        <w:pStyle w:val="Normal0"/>
        <w:spacing w:line="259" w:lineRule="auto"/>
        <w:rPr>
          <w:rFonts w:ascii="Arial" w:hAnsi="Arial" w:cs="Arial"/>
          <w:b/>
          <w:sz w:val="36"/>
          <w:lang w:val="en-GB"/>
        </w:rPr>
      </w:pPr>
    </w:p>
    <w:p w14:paraId="45C51C61" w14:textId="02410717" w:rsidR="008F013B" w:rsidRPr="000D67C6" w:rsidRDefault="002F5FB5" w:rsidP="006133F2">
      <w:pPr>
        <w:pStyle w:val="Normal0"/>
        <w:spacing w:line="259" w:lineRule="auto"/>
        <w:rPr>
          <w:rFonts w:ascii="Arial" w:hAnsi="Arial" w:cs="Arial"/>
          <w:b/>
          <w:sz w:val="28"/>
          <w:lang w:val="en-GB"/>
        </w:rPr>
      </w:pPr>
      <w:r w:rsidRPr="000D67C6">
        <w:rPr>
          <w:rFonts w:ascii="Arial" w:hAnsi="Arial" w:cs="Arial"/>
          <w:b/>
          <w:sz w:val="28"/>
          <w:lang w:val="en-GB"/>
        </w:rPr>
        <w:t>Note 31</w:t>
      </w:r>
      <w:r w:rsidR="006133F2" w:rsidRPr="000D67C6">
        <w:rPr>
          <w:rFonts w:ascii="Arial" w:hAnsi="Arial" w:cs="Arial"/>
          <w:b/>
          <w:sz w:val="28"/>
          <w:lang w:val="en-GB"/>
        </w:rPr>
        <w:t xml:space="preserve"> </w:t>
      </w:r>
      <w:r w:rsidR="00905616" w:rsidRPr="000D67C6">
        <w:rPr>
          <w:rFonts w:ascii="Arial" w:hAnsi="Arial" w:cs="Arial"/>
          <w:b/>
          <w:sz w:val="28"/>
          <w:lang w:val="en-GB"/>
        </w:rPr>
        <w:t xml:space="preserve">- </w:t>
      </w:r>
      <w:r w:rsidR="006133F2" w:rsidRPr="000D67C6">
        <w:rPr>
          <w:rFonts w:ascii="Arial" w:hAnsi="Arial" w:cs="Arial"/>
          <w:b/>
          <w:sz w:val="28"/>
          <w:lang w:val="en-GB"/>
        </w:rPr>
        <w:t>Nature &amp; Extent of Risks arising from Financial Instruments</w:t>
      </w:r>
    </w:p>
    <w:p w14:paraId="35DE9021" w14:textId="77777777" w:rsidR="009A0F09" w:rsidRPr="00055140" w:rsidRDefault="009A0F09" w:rsidP="006133F2">
      <w:pPr>
        <w:pStyle w:val="Normal0"/>
        <w:spacing w:line="259" w:lineRule="auto"/>
        <w:rPr>
          <w:rFonts w:ascii="Arial" w:hAnsi="Arial" w:cs="Arial"/>
          <w:b/>
          <w:sz w:val="22"/>
          <w:lang w:val="en-GB"/>
        </w:rPr>
      </w:pPr>
    </w:p>
    <w:p w14:paraId="364C0221" w14:textId="77777777" w:rsidR="009A0F09" w:rsidRPr="000D67C6" w:rsidRDefault="009A0F09" w:rsidP="009A0F09">
      <w:pPr>
        <w:pStyle w:val="Normal0"/>
        <w:spacing w:line="259" w:lineRule="auto"/>
        <w:rPr>
          <w:rFonts w:ascii="Arial" w:eastAsia="Calibri" w:hAnsi="Arial" w:cs="Arial"/>
          <w:sz w:val="22"/>
          <w:szCs w:val="22"/>
          <w:lang w:val="en-GB"/>
        </w:rPr>
      </w:pPr>
      <w:r w:rsidRPr="000D67C6">
        <w:rPr>
          <w:rFonts w:ascii="Arial" w:eastAsia="Calibri" w:hAnsi="Arial" w:cs="Arial"/>
          <w:sz w:val="22"/>
          <w:szCs w:val="22"/>
          <w:lang w:val="en-GB"/>
        </w:rPr>
        <w:t>The Authority’s activities expose it to a variety of financial risks:</w:t>
      </w:r>
    </w:p>
    <w:p w14:paraId="1CFA720C" w14:textId="77777777" w:rsidR="009A0F09" w:rsidRPr="000D67C6" w:rsidRDefault="009A0F09" w:rsidP="009A0F09">
      <w:pPr>
        <w:pStyle w:val="NormalIndent"/>
        <w:ind w:left="0"/>
        <w:jc w:val="both"/>
        <w:rPr>
          <w:rFonts w:ascii="Arial" w:hAnsi="Arial" w:cs="Arial"/>
          <w:color w:val="000000"/>
        </w:rPr>
      </w:pPr>
    </w:p>
    <w:p w14:paraId="4EF609D4" w14:textId="77777777" w:rsidR="009A0F09" w:rsidRPr="000D67C6" w:rsidRDefault="009A0F09" w:rsidP="00C4608B">
      <w:pPr>
        <w:pStyle w:val="NormalIndent"/>
        <w:numPr>
          <w:ilvl w:val="0"/>
          <w:numId w:val="31"/>
        </w:numPr>
        <w:jc w:val="both"/>
        <w:rPr>
          <w:rFonts w:ascii="Arial" w:hAnsi="Arial" w:cs="Arial"/>
          <w:color w:val="000000"/>
          <w:sz w:val="22"/>
          <w:szCs w:val="22"/>
        </w:rPr>
      </w:pPr>
      <w:r w:rsidRPr="000D67C6">
        <w:rPr>
          <w:rFonts w:ascii="Arial" w:hAnsi="Arial" w:cs="Arial"/>
          <w:color w:val="000000"/>
          <w:sz w:val="22"/>
          <w:szCs w:val="22"/>
        </w:rPr>
        <w:t>Credit risk – the possibility that other parties might fail to pay amounts due to the Authority</w:t>
      </w:r>
      <w:r w:rsidR="009B221A" w:rsidRPr="000D67C6">
        <w:rPr>
          <w:rFonts w:ascii="Arial" w:hAnsi="Arial" w:cs="Arial"/>
          <w:color w:val="000000"/>
          <w:sz w:val="22"/>
          <w:szCs w:val="22"/>
        </w:rPr>
        <w:t>.</w:t>
      </w:r>
    </w:p>
    <w:p w14:paraId="4FE3F131" w14:textId="77777777" w:rsidR="009A0F09" w:rsidRPr="000D67C6" w:rsidRDefault="009A0F09" w:rsidP="00C4608B">
      <w:pPr>
        <w:pStyle w:val="NormalIndent"/>
        <w:numPr>
          <w:ilvl w:val="0"/>
          <w:numId w:val="31"/>
        </w:numPr>
        <w:jc w:val="both"/>
        <w:rPr>
          <w:rFonts w:ascii="Arial" w:hAnsi="Arial" w:cs="Arial"/>
          <w:color w:val="000000"/>
          <w:sz w:val="22"/>
          <w:szCs w:val="22"/>
        </w:rPr>
      </w:pPr>
      <w:r w:rsidRPr="000D67C6">
        <w:rPr>
          <w:rFonts w:ascii="Arial" w:hAnsi="Arial" w:cs="Arial"/>
          <w:color w:val="000000"/>
          <w:sz w:val="22"/>
          <w:szCs w:val="22"/>
        </w:rPr>
        <w:t>Liquidity risk – the possibility that the Authority might not have funds available to meet its commitments to make payments.</w:t>
      </w:r>
    </w:p>
    <w:p w14:paraId="76A8C335" w14:textId="77777777" w:rsidR="009A0F09" w:rsidRPr="000D67C6" w:rsidRDefault="009A0F09" w:rsidP="00C4608B">
      <w:pPr>
        <w:pStyle w:val="NormalIndent"/>
        <w:numPr>
          <w:ilvl w:val="0"/>
          <w:numId w:val="31"/>
        </w:numPr>
        <w:jc w:val="both"/>
        <w:rPr>
          <w:rFonts w:ascii="Arial" w:hAnsi="Arial" w:cs="Arial"/>
          <w:color w:val="000000"/>
          <w:sz w:val="22"/>
          <w:szCs w:val="22"/>
        </w:rPr>
      </w:pPr>
      <w:r w:rsidRPr="000D67C6">
        <w:rPr>
          <w:rFonts w:ascii="Arial" w:hAnsi="Arial" w:cs="Arial"/>
          <w:color w:val="000000"/>
          <w:sz w:val="22"/>
          <w:szCs w:val="22"/>
        </w:rPr>
        <w:t>Market risk – the possibility that financial loss might arise for the Authority as a result of changes in such measures as interest rates and stock market movement.</w:t>
      </w:r>
    </w:p>
    <w:p w14:paraId="4355C35C" w14:textId="77777777" w:rsidR="009A0F09" w:rsidRPr="000D67C6" w:rsidRDefault="009A0F09" w:rsidP="009A0F09">
      <w:pPr>
        <w:pStyle w:val="NormalIndent"/>
        <w:ind w:left="360"/>
        <w:jc w:val="both"/>
        <w:rPr>
          <w:rFonts w:ascii="Arial" w:hAnsi="Arial" w:cs="Arial"/>
          <w:color w:val="000000"/>
        </w:rPr>
      </w:pPr>
    </w:p>
    <w:p w14:paraId="4C348B0B" w14:textId="77777777" w:rsidR="009A0F09" w:rsidRPr="000D67C6" w:rsidRDefault="009A0F09" w:rsidP="005C44A9">
      <w:pPr>
        <w:pStyle w:val="Normal0"/>
        <w:spacing w:line="259" w:lineRule="auto"/>
        <w:jc w:val="both"/>
        <w:rPr>
          <w:rFonts w:ascii="Arial" w:eastAsia="Calibri" w:hAnsi="Arial" w:cs="Arial"/>
          <w:sz w:val="22"/>
          <w:szCs w:val="22"/>
          <w:lang w:val="en-GB"/>
        </w:rPr>
      </w:pPr>
      <w:r w:rsidRPr="000D67C6">
        <w:rPr>
          <w:rFonts w:ascii="Arial" w:eastAsia="Calibri" w:hAnsi="Arial" w:cs="Arial"/>
          <w:sz w:val="22"/>
          <w:szCs w:val="22"/>
          <w:lang w:val="en-GB"/>
        </w:rPr>
        <w:t>The Authority’s overall risk management programme focuses on the unpredictability of financial markets and seeks to minimise potential adverse effects on the resources available to fund services. Financial risk management is carried out under policies approved by the Authority in the Annual Treasury Management Strategy. The Authority provides written principles to overall risk management, as well as written guidance covering specific areas, such as interest rate risk, credit risk and the investment of surplus cash.</w:t>
      </w:r>
    </w:p>
    <w:p w14:paraId="16C7110C" w14:textId="77777777" w:rsidR="009A0F09" w:rsidRPr="000D67C6" w:rsidRDefault="009A0F09" w:rsidP="009A0F09">
      <w:pPr>
        <w:pStyle w:val="NormalIndent"/>
        <w:ind w:left="360"/>
        <w:jc w:val="both"/>
        <w:rPr>
          <w:rFonts w:ascii="Arial" w:hAnsi="Arial" w:cs="Arial"/>
          <w:color w:val="000000"/>
        </w:rPr>
      </w:pPr>
    </w:p>
    <w:p w14:paraId="6DE5A9FC" w14:textId="77777777" w:rsidR="009A0F09" w:rsidRPr="000D67C6" w:rsidRDefault="009A0F09" w:rsidP="009A0F09">
      <w:pPr>
        <w:pStyle w:val="NormalIndent"/>
        <w:ind w:left="0"/>
        <w:jc w:val="both"/>
        <w:rPr>
          <w:rFonts w:ascii="Arial" w:hAnsi="Arial" w:cs="Arial"/>
          <w:b/>
          <w:color w:val="000000"/>
          <w:sz w:val="22"/>
          <w:szCs w:val="22"/>
        </w:rPr>
      </w:pPr>
      <w:r w:rsidRPr="000D67C6">
        <w:rPr>
          <w:rFonts w:ascii="Arial" w:hAnsi="Arial" w:cs="Arial"/>
          <w:b/>
          <w:color w:val="000000"/>
          <w:sz w:val="22"/>
          <w:szCs w:val="22"/>
        </w:rPr>
        <w:t>Credit Risk</w:t>
      </w:r>
    </w:p>
    <w:p w14:paraId="1EB72455" w14:textId="77777777" w:rsidR="009A0F09" w:rsidRPr="000D67C6" w:rsidRDefault="009A0F09" w:rsidP="009A0F09">
      <w:pPr>
        <w:pStyle w:val="NormalIndent"/>
        <w:ind w:left="0"/>
        <w:jc w:val="both"/>
        <w:rPr>
          <w:rFonts w:ascii="Arial" w:hAnsi="Arial" w:cs="Arial"/>
          <w:b/>
          <w:color w:val="000000"/>
          <w:sz w:val="22"/>
          <w:szCs w:val="22"/>
        </w:rPr>
      </w:pPr>
    </w:p>
    <w:p w14:paraId="72F9870D" w14:textId="77777777" w:rsidR="009A0F09" w:rsidRPr="000D67C6" w:rsidRDefault="009A0F09" w:rsidP="009A0F09">
      <w:pPr>
        <w:pStyle w:val="NormalIndent"/>
        <w:ind w:left="0"/>
        <w:jc w:val="both"/>
        <w:rPr>
          <w:rFonts w:ascii="Arial" w:hAnsi="Arial" w:cs="Arial"/>
          <w:color w:val="000000"/>
          <w:sz w:val="22"/>
          <w:szCs w:val="22"/>
        </w:rPr>
      </w:pPr>
      <w:r w:rsidRPr="000D67C6">
        <w:rPr>
          <w:rFonts w:ascii="Arial" w:hAnsi="Arial" w:cs="Arial"/>
          <w:color w:val="000000"/>
          <w:sz w:val="22"/>
          <w:szCs w:val="22"/>
        </w:rPr>
        <w:t>Credit risk arises from deposits with banks and financial institutions, the value of credit exposure to the Authority’s customers is low and considered not to pose a risk.</w:t>
      </w:r>
    </w:p>
    <w:p w14:paraId="69BEE413" w14:textId="77777777" w:rsidR="009A0F09" w:rsidRPr="000D67C6" w:rsidRDefault="009A0F09" w:rsidP="009A0F09">
      <w:pPr>
        <w:pStyle w:val="NormalIndent"/>
        <w:ind w:left="0"/>
        <w:jc w:val="both"/>
        <w:rPr>
          <w:rFonts w:ascii="Arial" w:hAnsi="Arial" w:cs="Arial"/>
          <w:color w:val="000000"/>
          <w:sz w:val="22"/>
          <w:szCs w:val="22"/>
        </w:rPr>
      </w:pPr>
    </w:p>
    <w:p w14:paraId="5B408B89" w14:textId="77777777" w:rsidR="009A0F09" w:rsidRPr="000D67C6" w:rsidRDefault="009A0F09" w:rsidP="009A0F09">
      <w:pPr>
        <w:pStyle w:val="NormalIndent"/>
        <w:ind w:left="0"/>
        <w:jc w:val="both"/>
        <w:rPr>
          <w:rFonts w:ascii="Arial" w:hAnsi="Arial" w:cs="Arial"/>
          <w:color w:val="000000"/>
          <w:sz w:val="22"/>
          <w:szCs w:val="22"/>
        </w:rPr>
      </w:pPr>
      <w:r w:rsidRPr="000D67C6">
        <w:rPr>
          <w:rFonts w:ascii="Arial" w:hAnsi="Arial" w:cs="Arial"/>
          <w:color w:val="000000"/>
          <w:sz w:val="22"/>
          <w:szCs w:val="22"/>
        </w:rPr>
        <w:t>This risk is minimised through the Annual Investment strategy, which requires that deposits are not made with financial institutions unless they meet iden</w:t>
      </w:r>
      <w:r w:rsidR="00F6123F" w:rsidRPr="000D67C6">
        <w:rPr>
          <w:rFonts w:ascii="Arial" w:hAnsi="Arial" w:cs="Arial"/>
          <w:color w:val="000000"/>
          <w:sz w:val="22"/>
          <w:szCs w:val="22"/>
        </w:rPr>
        <w:t>tified minimum credit criteria. The amounts invested are restricted to prudent and affordable amounts as set out in the approved strategy.</w:t>
      </w:r>
    </w:p>
    <w:p w14:paraId="5635F06B" w14:textId="77777777" w:rsidR="009A0F09" w:rsidRPr="000D67C6" w:rsidRDefault="009A0F09" w:rsidP="009A0F09">
      <w:pPr>
        <w:pStyle w:val="NormalIndent"/>
        <w:ind w:left="0"/>
        <w:jc w:val="both"/>
        <w:rPr>
          <w:rFonts w:ascii="Arial" w:hAnsi="Arial" w:cs="Arial"/>
          <w:color w:val="000000"/>
          <w:sz w:val="22"/>
          <w:szCs w:val="22"/>
        </w:rPr>
      </w:pPr>
    </w:p>
    <w:p w14:paraId="6E55170E" w14:textId="77777777" w:rsidR="009A0F09" w:rsidRPr="000D67C6" w:rsidRDefault="009A0F09" w:rsidP="009A0F09">
      <w:pPr>
        <w:pStyle w:val="NormalIndent"/>
        <w:ind w:left="0"/>
        <w:jc w:val="both"/>
        <w:rPr>
          <w:rFonts w:ascii="Arial" w:hAnsi="Arial" w:cs="Arial"/>
          <w:color w:val="000000"/>
          <w:sz w:val="22"/>
          <w:szCs w:val="22"/>
        </w:rPr>
      </w:pPr>
      <w:r w:rsidRPr="000D67C6">
        <w:rPr>
          <w:rFonts w:ascii="Arial" w:hAnsi="Arial" w:cs="Arial"/>
          <w:color w:val="000000"/>
          <w:sz w:val="22"/>
          <w:szCs w:val="22"/>
        </w:rPr>
        <w:t xml:space="preserve">The current strategy is to invest internally as far as possible, thus reducing the need to borrow and reducing the cash surplus available for investment and the period those surpluses are available. </w:t>
      </w:r>
    </w:p>
    <w:p w14:paraId="51625A4A" w14:textId="77777777" w:rsidR="00F6123F" w:rsidRPr="000D67C6" w:rsidRDefault="00F6123F" w:rsidP="009A0F09">
      <w:pPr>
        <w:pStyle w:val="NormalIndent"/>
        <w:ind w:left="0"/>
        <w:jc w:val="both"/>
        <w:rPr>
          <w:rFonts w:ascii="Arial" w:hAnsi="Arial" w:cs="Arial"/>
          <w:color w:val="000000"/>
          <w:sz w:val="22"/>
          <w:szCs w:val="22"/>
        </w:rPr>
      </w:pPr>
    </w:p>
    <w:p w14:paraId="452E996E" w14:textId="77777777" w:rsidR="009A0F09" w:rsidRPr="000D67C6" w:rsidRDefault="009A0F09" w:rsidP="009A0F09">
      <w:pPr>
        <w:pStyle w:val="NormalIndent"/>
        <w:ind w:left="0"/>
        <w:jc w:val="both"/>
        <w:rPr>
          <w:rFonts w:ascii="Arial" w:hAnsi="Arial" w:cs="Arial"/>
          <w:color w:val="000000"/>
          <w:sz w:val="22"/>
          <w:szCs w:val="22"/>
        </w:rPr>
      </w:pPr>
      <w:r w:rsidRPr="000D67C6">
        <w:rPr>
          <w:rFonts w:ascii="Arial" w:hAnsi="Arial" w:cs="Arial"/>
          <w:color w:val="000000"/>
          <w:sz w:val="22"/>
          <w:szCs w:val="22"/>
        </w:rPr>
        <w:t xml:space="preserve">The Authority’s maximum exposure to credit risk is in relation to its investments with its bank. Recent experience has shown that it is rare for such entities to be unable to meet their commitments. A risk of non-recovery applies to all of the Authority’s deposits, but there was </w:t>
      </w:r>
      <w:r w:rsidR="00C15A6E" w:rsidRPr="000D67C6">
        <w:rPr>
          <w:rFonts w:ascii="Arial" w:hAnsi="Arial" w:cs="Arial"/>
          <w:color w:val="000000"/>
          <w:sz w:val="22"/>
          <w:szCs w:val="22"/>
        </w:rPr>
        <w:t>no evidence at the 31 March 201</w:t>
      </w:r>
      <w:r w:rsidR="00BB4180" w:rsidRPr="000D67C6">
        <w:rPr>
          <w:rFonts w:ascii="Arial" w:hAnsi="Arial" w:cs="Arial"/>
          <w:color w:val="000000"/>
          <w:sz w:val="22"/>
          <w:szCs w:val="22"/>
        </w:rPr>
        <w:t>9</w:t>
      </w:r>
      <w:r w:rsidRPr="000D67C6">
        <w:rPr>
          <w:rFonts w:ascii="Arial" w:hAnsi="Arial" w:cs="Arial"/>
          <w:color w:val="000000"/>
          <w:sz w:val="22"/>
          <w:szCs w:val="22"/>
        </w:rPr>
        <w:t xml:space="preserve"> that this was likely to crystallise.</w:t>
      </w:r>
    </w:p>
    <w:p w14:paraId="27C0F4EB" w14:textId="77777777" w:rsidR="009A0F09" w:rsidRPr="000D67C6" w:rsidRDefault="009A0F09" w:rsidP="009A0F09">
      <w:pPr>
        <w:pStyle w:val="NormalIndent"/>
        <w:ind w:left="0"/>
        <w:jc w:val="both"/>
        <w:rPr>
          <w:rFonts w:ascii="Arial" w:hAnsi="Arial" w:cs="Arial"/>
          <w:color w:val="000000"/>
        </w:rPr>
      </w:pPr>
    </w:p>
    <w:p w14:paraId="06833472" w14:textId="77777777" w:rsidR="00055140" w:rsidRDefault="00055140" w:rsidP="009A0F09">
      <w:pPr>
        <w:pStyle w:val="NormalIndent"/>
        <w:ind w:left="0"/>
        <w:jc w:val="both"/>
        <w:rPr>
          <w:rFonts w:ascii="Arial" w:hAnsi="Arial" w:cs="Arial"/>
          <w:b/>
          <w:color w:val="000000"/>
          <w:sz w:val="22"/>
          <w:szCs w:val="22"/>
        </w:rPr>
      </w:pPr>
    </w:p>
    <w:p w14:paraId="30809AB0" w14:textId="0B563D88" w:rsidR="009A0F09" w:rsidRPr="000D67C6" w:rsidRDefault="009A0F09" w:rsidP="009A0F09">
      <w:pPr>
        <w:pStyle w:val="NormalIndent"/>
        <w:ind w:left="0"/>
        <w:jc w:val="both"/>
        <w:rPr>
          <w:rFonts w:ascii="Arial" w:hAnsi="Arial" w:cs="Arial"/>
          <w:b/>
          <w:color w:val="000000"/>
          <w:sz w:val="22"/>
          <w:szCs w:val="22"/>
        </w:rPr>
      </w:pPr>
      <w:r w:rsidRPr="000D67C6">
        <w:rPr>
          <w:rFonts w:ascii="Arial" w:hAnsi="Arial" w:cs="Arial"/>
          <w:b/>
          <w:color w:val="000000"/>
          <w:sz w:val="22"/>
          <w:szCs w:val="22"/>
        </w:rPr>
        <w:t>Liquidity Risk</w:t>
      </w:r>
    </w:p>
    <w:p w14:paraId="50BB1812" w14:textId="77777777" w:rsidR="009A0F09" w:rsidRPr="000D67C6" w:rsidRDefault="009A0F09" w:rsidP="009A0F09">
      <w:pPr>
        <w:pStyle w:val="NormalIndent"/>
        <w:ind w:left="0"/>
        <w:jc w:val="both"/>
        <w:rPr>
          <w:rFonts w:ascii="Arial" w:hAnsi="Arial" w:cs="Arial"/>
          <w:color w:val="000000"/>
          <w:sz w:val="22"/>
          <w:szCs w:val="22"/>
        </w:rPr>
      </w:pPr>
    </w:p>
    <w:p w14:paraId="349744FB" w14:textId="77777777" w:rsidR="009A0F09" w:rsidRPr="000D67C6" w:rsidRDefault="009A0F09" w:rsidP="009A0F09">
      <w:pPr>
        <w:pStyle w:val="NormalIndent"/>
        <w:ind w:left="0"/>
        <w:jc w:val="both"/>
        <w:rPr>
          <w:rFonts w:ascii="Arial" w:hAnsi="Arial" w:cs="Arial"/>
          <w:color w:val="000000"/>
          <w:sz w:val="22"/>
          <w:szCs w:val="22"/>
        </w:rPr>
      </w:pPr>
      <w:r w:rsidRPr="000D67C6">
        <w:rPr>
          <w:rFonts w:ascii="Arial" w:hAnsi="Arial" w:cs="Arial"/>
          <w:color w:val="000000"/>
          <w:sz w:val="22"/>
          <w:szCs w:val="22"/>
        </w:rPr>
        <w:t>The Authority monitors its cash balance to ensure that cash is available as needed. If unexpected movements happen, the Authority has ready access to borrowings from the UK Debt Management Office. There is no significant risk that it will be unable to raise finance to meet its commitments under financial instruments. Instead, the risk is that the Authority will be bound to replenish a significant proportion of its borrowings at a time of unfavourable interest rates. The strategy is to ensure that loans mature within the approved limits shown in the table below through a combination of careful planning of new loans taken out and (where it is economic to do so) making early repayments. The maturity analysis of financial liabilities is as follows:</w:t>
      </w:r>
    </w:p>
    <w:p w14:paraId="2A3E0DE1" w14:textId="77777777" w:rsidR="00D255AF" w:rsidRPr="000D67C6" w:rsidRDefault="00D255AF" w:rsidP="009A0F09">
      <w:pPr>
        <w:pStyle w:val="NormalIndent"/>
        <w:ind w:left="0"/>
        <w:jc w:val="both"/>
        <w:rPr>
          <w:rFonts w:ascii="Arial" w:hAnsi="Arial" w:cs="Arial"/>
          <w:color w:val="000000"/>
          <w:sz w:val="22"/>
          <w:szCs w:val="22"/>
        </w:rPr>
      </w:pPr>
    </w:p>
    <w:p w14:paraId="29A72929" w14:textId="77777777" w:rsidR="00D255AF" w:rsidRPr="000D67C6" w:rsidRDefault="00D255AF" w:rsidP="009A0F09">
      <w:pPr>
        <w:pStyle w:val="NormalIndent"/>
        <w:ind w:left="0"/>
        <w:jc w:val="both"/>
        <w:rPr>
          <w:rFonts w:ascii="Arial" w:hAnsi="Arial" w:cs="Arial"/>
          <w:color w:val="000000"/>
          <w:sz w:val="22"/>
          <w:szCs w:val="22"/>
        </w:rPr>
      </w:pPr>
    </w:p>
    <w:tbl>
      <w:tblPr>
        <w:tblW w:w="7885" w:type="dxa"/>
        <w:jc w:val="center"/>
        <w:tblLook w:val="04A0" w:firstRow="1" w:lastRow="0" w:firstColumn="1" w:lastColumn="0" w:noHBand="0" w:noVBand="1"/>
      </w:tblPr>
      <w:tblGrid>
        <w:gridCol w:w="2846"/>
        <w:gridCol w:w="1243"/>
        <w:gridCol w:w="1244"/>
        <w:gridCol w:w="1276"/>
        <w:gridCol w:w="1276"/>
      </w:tblGrid>
      <w:tr w:rsidR="00A04841" w:rsidRPr="000D67C6" w14:paraId="7A7BDCD7" w14:textId="77777777" w:rsidTr="00A04841">
        <w:trPr>
          <w:trHeight w:val="792"/>
          <w:jc w:val="center"/>
        </w:trPr>
        <w:tc>
          <w:tcPr>
            <w:tcW w:w="2846" w:type="dxa"/>
            <w:shd w:val="clear" w:color="auto" w:fill="auto"/>
            <w:vAlign w:val="center"/>
            <w:hideMark/>
          </w:tcPr>
          <w:p w14:paraId="0CE2DB1F" w14:textId="77777777" w:rsidR="00A04841" w:rsidRPr="000D67C6" w:rsidRDefault="00A04841" w:rsidP="00FE7C09">
            <w:pPr>
              <w:jc w:val="center"/>
              <w:rPr>
                <w:rFonts w:ascii="Arial" w:eastAsia="Times New Roman" w:hAnsi="Arial" w:cs="Arial"/>
                <w:b/>
                <w:bCs/>
                <w:color w:val="000000"/>
                <w:sz w:val="22"/>
                <w:szCs w:val="22"/>
                <w:lang w:val="en-GB" w:eastAsia="en-GB"/>
              </w:rPr>
            </w:pPr>
            <w:r w:rsidRPr="000D67C6">
              <w:rPr>
                <w:rFonts w:ascii="Arial" w:hAnsi="Arial" w:cs="Arial"/>
                <w:color w:val="000000"/>
              </w:rPr>
              <w:br w:type="page"/>
            </w:r>
          </w:p>
        </w:tc>
        <w:tc>
          <w:tcPr>
            <w:tcW w:w="1243" w:type="dxa"/>
            <w:shd w:val="clear" w:color="auto" w:fill="auto"/>
            <w:vAlign w:val="center"/>
            <w:hideMark/>
          </w:tcPr>
          <w:p w14:paraId="75FCE3D7" w14:textId="77777777" w:rsidR="00A04841" w:rsidRPr="000D67C6" w:rsidRDefault="00A04841" w:rsidP="000802B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Approved minimum limits</w:t>
            </w:r>
          </w:p>
        </w:tc>
        <w:tc>
          <w:tcPr>
            <w:tcW w:w="1244" w:type="dxa"/>
            <w:shd w:val="clear" w:color="auto" w:fill="auto"/>
            <w:vAlign w:val="center"/>
            <w:hideMark/>
          </w:tcPr>
          <w:p w14:paraId="01BD9610" w14:textId="77777777" w:rsidR="00A04841" w:rsidRPr="000D67C6" w:rsidRDefault="00A04841" w:rsidP="000802B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Approved maximum limits</w:t>
            </w:r>
          </w:p>
        </w:tc>
        <w:tc>
          <w:tcPr>
            <w:tcW w:w="1276" w:type="dxa"/>
            <w:shd w:val="clear" w:color="auto" w:fill="auto"/>
            <w:vAlign w:val="center"/>
            <w:hideMark/>
          </w:tcPr>
          <w:p w14:paraId="6132871A"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xml:space="preserve">Actual </w:t>
            </w:r>
          </w:p>
          <w:p w14:paraId="6A75DF7D"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31 March 2019</w:t>
            </w:r>
          </w:p>
        </w:tc>
        <w:tc>
          <w:tcPr>
            <w:tcW w:w="1276" w:type="dxa"/>
            <w:shd w:val="clear" w:color="auto" w:fill="auto"/>
            <w:vAlign w:val="center"/>
            <w:hideMark/>
          </w:tcPr>
          <w:p w14:paraId="470BB698" w14:textId="77777777" w:rsidR="00A04841" w:rsidRPr="000D67C6" w:rsidRDefault="00A04841" w:rsidP="000802B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w:t>
            </w:r>
          </w:p>
          <w:p w14:paraId="2768CC8C" w14:textId="77777777" w:rsidR="00A04841" w:rsidRPr="000D67C6" w:rsidRDefault="00A04841" w:rsidP="000802B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31 March 2019</w:t>
            </w:r>
          </w:p>
        </w:tc>
      </w:tr>
      <w:tr w:rsidR="00A04841" w:rsidRPr="000D67C6" w14:paraId="16398222" w14:textId="77777777" w:rsidTr="00A04841">
        <w:trPr>
          <w:trHeight w:val="408"/>
          <w:jc w:val="center"/>
        </w:trPr>
        <w:tc>
          <w:tcPr>
            <w:tcW w:w="2846" w:type="dxa"/>
            <w:tcBorders>
              <w:bottom w:val="single" w:sz="4" w:space="0" w:color="auto"/>
            </w:tcBorders>
            <w:shd w:val="clear" w:color="auto" w:fill="auto"/>
            <w:noWrap/>
            <w:vAlign w:val="center"/>
            <w:hideMark/>
          </w:tcPr>
          <w:p w14:paraId="7CD416F8" w14:textId="77777777" w:rsidR="00A04841" w:rsidRPr="000D67C6" w:rsidRDefault="00A04841" w:rsidP="000802B7">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43" w:type="dxa"/>
            <w:tcBorders>
              <w:bottom w:val="single" w:sz="4" w:space="0" w:color="auto"/>
            </w:tcBorders>
            <w:shd w:val="clear" w:color="auto" w:fill="auto"/>
            <w:noWrap/>
            <w:vAlign w:val="center"/>
            <w:hideMark/>
          </w:tcPr>
          <w:p w14:paraId="6F821377"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44" w:type="dxa"/>
            <w:tcBorders>
              <w:bottom w:val="single" w:sz="4" w:space="0" w:color="auto"/>
            </w:tcBorders>
            <w:shd w:val="clear" w:color="auto" w:fill="auto"/>
            <w:noWrap/>
            <w:vAlign w:val="center"/>
            <w:hideMark/>
          </w:tcPr>
          <w:p w14:paraId="6C31A14E"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76" w:type="dxa"/>
            <w:tcBorders>
              <w:bottom w:val="single" w:sz="4" w:space="0" w:color="auto"/>
            </w:tcBorders>
            <w:shd w:val="clear" w:color="auto" w:fill="auto"/>
            <w:noWrap/>
            <w:vAlign w:val="center"/>
            <w:hideMark/>
          </w:tcPr>
          <w:p w14:paraId="47062EE3"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276" w:type="dxa"/>
            <w:tcBorders>
              <w:bottom w:val="single" w:sz="4" w:space="0" w:color="auto"/>
            </w:tcBorders>
            <w:shd w:val="clear" w:color="auto" w:fill="auto"/>
            <w:noWrap/>
            <w:vAlign w:val="center"/>
            <w:hideMark/>
          </w:tcPr>
          <w:p w14:paraId="5341968D" w14:textId="77777777" w:rsidR="00A04841" w:rsidRPr="000D67C6" w:rsidRDefault="00A04841" w:rsidP="000802B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r>
      <w:tr w:rsidR="00A04841" w:rsidRPr="000D67C6" w14:paraId="4A321763" w14:textId="77777777" w:rsidTr="00A04841">
        <w:trPr>
          <w:trHeight w:val="300"/>
          <w:jc w:val="center"/>
        </w:trPr>
        <w:tc>
          <w:tcPr>
            <w:tcW w:w="2846" w:type="dxa"/>
            <w:tcBorders>
              <w:top w:val="single" w:sz="4" w:space="0" w:color="auto"/>
            </w:tcBorders>
            <w:shd w:val="clear" w:color="auto" w:fill="auto"/>
            <w:vAlign w:val="center"/>
            <w:hideMark/>
          </w:tcPr>
          <w:p w14:paraId="3741FCD6" w14:textId="77777777" w:rsidR="00A04841" w:rsidRPr="000D67C6" w:rsidRDefault="00A04841" w:rsidP="000F4679">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Less than 1 year</w:t>
            </w:r>
          </w:p>
        </w:tc>
        <w:tc>
          <w:tcPr>
            <w:tcW w:w="1243" w:type="dxa"/>
            <w:tcBorders>
              <w:top w:val="single" w:sz="4" w:space="0" w:color="auto"/>
            </w:tcBorders>
            <w:shd w:val="clear" w:color="auto" w:fill="auto"/>
            <w:vAlign w:val="center"/>
            <w:hideMark/>
          </w:tcPr>
          <w:p w14:paraId="798D7734"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tcBorders>
              <w:top w:val="single" w:sz="4" w:space="0" w:color="auto"/>
            </w:tcBorders>
            <w:shd w:val="clear" w:color="auto" w:fill="auto"/>
            <w:vAlign w:val="center"/>
            <w:hideMark/>
          </w:tcPr>
          <w:p w14:paraId="43230173"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30%</w:t>
            </w:r>
          </w:p>
        </w:tc>
        <w:tc>
          <w:tcPr>
            <w:tcW w:w="1276" w:type="dxa"/>
            <w:tcBorders>
              <w:top w:val="single" w:sz="4" w:space="0" w:color="auto"/>
            </w:tcBorders>
            <w:shd w:val="clear" w:color="auto" w:fill="auto"/>
            <w:vAlign w:val="center"/>
          </w:tcPr>
          <w:p w14:paraId="30FB607C" w14:textId="77777777" w:rsidR="00A04841" w:rsidRPr="000D67C6" w:rsidRDefault="00A04841" w:rsidP="000F4679">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1,321</w:t>
            </w:r>
          </w:p>
        </w:tc>
        <w:tc>
          <w:tcPr>
            <w:tcW w:w="1276" w:type="dxa"/>
            <w:tcBorders>
              <w:top w:val="single" w:sz="4" w:space="0" w:color="auto"/>
            </w:tcBorders>
            <w:shd w:val="clear" w:color="auto" w:fill="auto"/>
            <w:vAlign w:val="center"/>
          </w:tcPr>
          <w:p w14:paraId="36B1485E"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8%</w:t>
            </w:r>
          </w:p>
        </w:tc>
      </w:tr>
      <w:tr w:rsidR="00A04841" w:rsidRPr="000D67C6" w14:paraId="499588AE" w14:textId="77777777" w:rsidTr="00A04841">
        <w:trPr>
          <w:trHeight w:val="300"/>
          <w:jc w:val="center"/>
        </w:trPr>
        <w:tc>
          <w:tcPr>
            <w:tcW w:w="2846" w:type="dxa"/>
            <w:shd w:val="clear" w:color="auto" w:fill="auto"/>
            <w:vAlign w:val="center"/>
            <w:hideMark/>
          </w:tcPr>
          <w:p w14:paraId="7EB8179D" w14:textId="77777777" w:rsidR="00A04841" w:rsidRPr="000D67C6" w:rsidRDefault="00A04841" w:rsidP="000F4679">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1 and 2 years</w:t>
            </w:r>
          </w:p>
        </w:tc>
        <w:tc>
          <w:tcPr>
            <w:tcW w:w="1243" w:type="dxa"/>
            <w:shd w:val="clear" w:color="auto" w:fill="auto"/>
            <w:vAlign w:val="center"/>
            <w:hideMark/>
          </w:tcPr>
          <w:p w14:paraId="776EDC64"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7309D9FE"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30%</w:t>
            </w:r>
          </w:p>
        </w:tc>
        <w:tc>
          <w:tcPr>
            <w:tcW w:w="1276" w:type="dxa"/>
            <w:shd w:val="clear" w:color="auto" w:fill="auto"/>
            <w:vAlign w:val="center"/>
          </w:tcPr>
          <w:p w14:paraId="5BFCD43E" w14:textId="77777777" w:rsidR="00A04841" w:rsidRPr="000D67C6" w:rsidRDefault="00A04841" w:rsidP="000F4679">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268</w:t>
            </w:r>
          </w:p>
        </w:tc>
        <w:tc>
          <w:tcPr>
            <w:tcW w:w="1276" w:type="dxa"/>
            <w:shd w:val="clear" w:color="auto" w:fill="auto"/>
            <w:vAlign w:val="center"/>
          </w:tcPr>
          <w:p w14:paraId="0D6728D1"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w:t>
            </w:r>
          </w:p>
        </w:tc>
      </w:tr>
      <w:tr w:rsidR="00A04841" w:rsidRPr="000D67C6" w14:paraId="1EB93D93" w14:textId="77777777" w:rsidTr="00A04841">
        <w:trPr>
          <w:trHeight w:val="300"/>
          <w:jc w:val="center"/>
        </w:trPr>
        <w:tc>
          <w:tcPr>
            <w:tcW w:w="2846" w:type="dxa"/>
            <w:shd w:val="clear" w:color="auto" w:fill="auto"/>
            <w:vAlign w:val="center"/>
            <w:hideMark/>
          </w:tcPr>
          <w:p w14:paraId="08A9623E" w14:textId="77777777" w:rsidR="00A04841" w:rsidRPr="000D67C6" w:rsidRDefault="00A04841" w:rsidP="000F4679">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2 and 5 years</w:t>
            </w:r>
          </w:p>
        </w:tc>
        <w:tc>
          <w:tcPr>
            <w:tcW w:w="1243" w:type="dxa"/>
            <w:shd w:val="clear" w:color="auto" w:fill="auto"/>
            <w:vAlign w:val="center"/>
            <w:hideMark/>
          </w:tcPr>
          <w:p w14:paraId="652A8EA2"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2CAEB9D7"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50%</w:t>
            </w:r>
          </w:p>
        </w:tc>
        <w:tc>
          <w:tcPr>
            <w:tcW w:w="1276" w:type="dxa"/>
            <w:shd w:val="clear" w:color="auto" w:fill="auto"/>
            <w:vAlign w:val="center"/>
          </w:tcPr>
          <w:p w14:paraId="461C308A" w14:textId="77777777" w:rsidR="00A04841" w:rsidRPr="000D67C6" w:rsidRDefault="00A04841" w:rsidP="000F4679">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450</w:t>
            </w:r>
          </w:p>
        </w:tc>
        <w:tc>
          <w:tcPr>
            <w:tcW w:w="1276" w:type="dxa"/>
            <w:shd w:val="clear" w:color="auto" w:fill="auto"/>
            <w:vAlign w:val="center"/>
          </w:tcPr>
          <w:p w14:paraId="427F0A41"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w:t>
            </w:r>
          </w:p>
        </w:tc>
      </w:tr>
      <w:tr w:rsidR="00A04841" w:rsidRPr="000D67C6" w14:paraId="65512D24" w14:textId="77777777" w:rsidTr="00A04841">
        <w:trPr>
          <w:trHeight w:val="300"/>
          <w:jc w:val="center"/>
        </w:trPr>
        <w:tc>
          <w:tcPr>
            <w:tcW w:w="2846" w:type="dxa"/>
            <w:shd w:val="clear" w:color="auto" w:fill="auto"/>
            <w:vAlign w:val="center"/>
            <w:hideMark/>
          </w:tcPr>
          <w:p w14:paraId="437C01B3" w14:textId="77777777" w:rsidR="00A04841" w:rsidRPr="000D67C6" w:rsidRDefault="00A04841" w:rsidP="000F4679">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5 and 10 years</w:t>
            </w:r>
          </w:p>
        </w:tc>
        <w:tc>
          <w:tcPr>
            <w:tcW w:w="1243" w:type="dxa"/>
            <w:shd w:val="clear" w:color="auto" w:fill="auto"/>
            <w:vAlign w:val="center"/>
            <w:hideMark/>
          </w:tcPr>
          <w:p w14:paraId="075A0CF1"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24AF3605"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75%</w:t>
            </w:r>
          </w:p>
        </w:tc>
        <w:tc>
          <w:tcPr>
            <w:tcW w:w="1276" w:type="dxa"/>
            <w:shd w:val="clear" w:color="auto" w:fill="auto"/>
            <w:vAlign w:val="center"/>
          </w:tcPr>
          <w:p w14:paraId="70B827B1" w14:textId="77777777" w:rsidR="00A04841" w:rsidRPr="000D67C6" w:rsidRDefault="00A04841" w:rsidP="000F4679">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5,555</w:t>
            </w:r>
          </w:p>
        </w:tc>
        <w:tc>
          <w:tcPr>
            <w:tcW w:w="1276" w:type="dxa"/>
            <w:shd w:val="clear" w:color="auto" w:fill="auto"/>
            <w:vAlign w:val="center"/>
          </w:tcPr>
          <w:p w14:paraId="63D7B53F"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32%</w:t>
            </w:r>
          </w:p>
        </w:tc>
      </w:tr>
      <w:tr w:rsidR="00A04841" w:rsidRPr="000D67C6" w14:paraId="2B596280" w14:textId="77777777" w:rsidTr="00A04841">
        <w:trPr>
          <w:trHeight w:val="300"/>
          <w:jc w:val="center"/>
        </w:trPr>
        <w:tc>
          <w:tcPr>
            <w:tcW w:w="2846" w:type="dxa"/>
            <w:tcBorders>
              <w:bottom w:val="single" w:sz="4" w:space="0" w:color="auto"/>
            </w:tcBorders>
            <w:shd w:val="clear" w:color="auto" w:fill="auto"/>
            <w:vAlign w:val="center"/>
            <w:hideMark/>
          </w:tcPr>
          <w:p w14:paraId="763DB68F" w14:textId="77777777" w:rsidR="00A04841" w:rsidRPr="000D67C6" w:rsidRDefault="00A04841" w:rsidP="000F4679">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More than 10 years</w:t>
            </w:r>
          </w:p>
        </w:tc>
        <w:tc>
          <w:tcPr>
            <w:tcW w:w="1243" w:type="dxa"/>
            <w:tcBorders>
              <w:bottom w:val="single" w:sz="4" w:space="0" w:color="auto"/>
            </w:tcBorders>
            <w:shd w:val="clear" w:color="auto" w:fill="auto"/>
            <w:vAlign w:val="center"/>
            <w:hideMark/>
          </w:tcPr>
          <w:p w14:paraId="38918F26"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25%</w:t>
            </w:r>
          </w:p>
        </w:tc>
        <w:tc>
          <w:tcPr>
            <w:tcW w:w="1244" w:type="dxa"/>
            <w:tcBorders>
              <w:bottom w:val="single" w:sz="4" w:space="0" w:color="auto"/>
            </w:tcBorders>
            <w:shd w:val="clear" w:color="auto" w:fill="auto"/>
            <w:vAlign w:val="center"/>
            <w:hideMark/>
          </w:tcPr>
          <w:p w14:paraId="432D80BE"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90%</w:t>
            </w:r>
          </w:p>
        </w:tc>
        <w:tc>
          <w:tcPr>
            <w:tcW w:w="1276" w:type="dxa"/>
            <w:tcBorders>
              <w:bottom w:val="single" w:sz="4" w:space="0" w:color="auto"/>
            </w:tcBorders>
            <w:shd w:val="clear" w:color="auto" w:fill="auto"/>
            <w:vAlign w:val="center"/>
          </w:tcPr>
          <w:p w14:paraId="43B0CDFE" w14:textId="77777777" w:rsidR="00A04841" w:rsidRPr="000D67C6" w:rsidRDefault="00A04841" w:rsidP="000F4679">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9,465</w:t>
            </w:r>
          </w:p>
        </w:tc>
        <w:tc>
          <w:tcPr>
            <w:tcW w:w="1276" w:type="dxa"/>
            <w:tcBorders>
              <w:bottom w:val="single" w:sz="4" w:space="0" w:color="auto"/>
            </w:tcBorders>
            <w:shd w:val="clear" w:color="auto" w:fill="auto"/>
            <w:vAlign w:val="center"/>
          </w:tcPr>
          <w:p w14:paraId="70DB625C" w14:textId="77777777" w:rsidR="00A04841" w:rsidRPr="000D67C6" w:rsidRDefault="00A04841" w:rsidP="000F4679">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55%</w:t>
            </w:r>
          </w:p>
        </w:tc>
      </w:tr>
      <w:tr w:rsidR="00A04841" w:rsidRPr="000D67C6" w14:paraId="1468808F" w14:textId="77777777" w:rsidTr="00114846">
        <w:trPr>
          <w:trHeight w:val="300"/>
          <w:jc w:val="center"/>
        </w:trPr>
        <w:tc>
          <w:tcPr>
            <w:tcW w:w="2846" w:type="dxa"/>
            <w:tcBorders>
              <w:top w:val="single" w:sz="4" w:space="0" w:color="auto"/>
              <w:bottom w:val="single" w:sz="4" w:space="0" w:color="auto"/>
            </w:tcBorders>
            <w:shd w:val="clear" w:color="auto" w:fill="auto"/>
            <w:vAlign w:val="center"/>
            <w:hideMark/>
          </w:tcPr>
          <w:p w14:paraId="1F24A4BD" w14:textId="77777777" w:rsidR="00A04841" w:rsidRPr="000D67C6" w:rsidRDefault="00A04841" w:rsidP="000F4679">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Total</w:t>
            </w:r>
          </w:p>
        </w:tc>
        <w:tc>
          <w:tcPr>
            <w:tcW w:w="1243" w:type="dxa"/>
            <w:tcBorders>
              <w:top w:val="single" w:sz="4" w:space="0" w:color="auto"/>
              <w:bottom w:val="single" w:sz="4" w:space="0" w:color="auto"/>
            </w:tcBorders>
            <w:shd w:val="clear" w:color="auto" w:fill="auto"/>
            <w:vAlign w:val="center"/>
            <w:hideMark/>
          </w:tcPr>
          <w:p w14:paraId="5BD0B123" w14:textId="77777777" w:rsidR="00A04841" w:rsidRPr="000D67C6" w:rsidRDefault="00A04841" w:rsidP="000F4679">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 </w:t>
            </w:r>
          </w:p>
        </w:tc>
        <w:tc>
          <w:tcPr>
            <w:tcW w:w="1244" w:type="dxa"/>
            <w:tcBorders>
              <w:top w:val="single" w:sz="4" w:space="0" w:color="auto"/>
              <w:bottom w:val="single" w:sz="4" w:space="0" w:color="auto"/>
            </w:tcBorders>
            <w:shd w:val="clear" w:color="auto" w:fill="auto"/>
            <w:vAlign w:val="center"/>
            <w:hideMark/>
          </w:tcPr>
          <w:p w14:paraId="70287AAE" w14:textId="77777777" w:rsidR="00A04841" w:rsidRPr="000D67C6" w:rsidRDefault="00A04841" w:rsidP="000F4679">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 </w:t>
            </w:r>
          </w:p>
        </w:tc>
        <w:tc>
          <w:tcPr>
            <w:tcW w:w="1276" w:type="dxa"/>
            <w:tcBorders>
              <w:top w:val="single" w:sz="4" w:space="0" w:color="auto"/>
              <w:bottom w:val="single" w:sz="4" w:space="0" w:color="auto"/>
            </w:tcBorders>
            <w:shd w:val="clear" w:color="auto" w:fill="auto"/>
            <w:vAlign w:val="center"/>
          </w:tcPr>
          <w:p w14:paraId="5BF765C9" w14:textId="77777777" w:rsidR="00A04841" w:rsidRPr="000D67C6" w:rsidRDefault="00A04841" w:rsidP="000F4679">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17,059</w:t>
            </w:r>
          </w:p>
        </w:tc>
        <w:tc>
          <w:tcPr>
            <w:tcW w:w="1276" w:type="dxa"/>
            <w:tcBorders>
              <w:top w:val="single" w:sz="4" w:space="0" w:color="auto"/>
              <w:bottom w:val="single" w:sz="4" w:space="0" w:color="auto"/>
            </w:tcBorders>
            <w:shd w:val="clear" w:color="auto" w:fill="auto"/>
            <w:vAlign w:val="center"/>
          </w:tcPr>
          <w:p w14:paraId="3D08C489" w14:textId="77777777" w:rsidR="00A04841" w:rsidRPr="000D67C6" w:rsidRDefault="00A04841" w:rsidP="000F4679">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100%</w:t>
            </w:r>
          </w:p>
        </w:tc>
      </w:tr>
      <w:tr w:rsidR="00114846" w:rsidRPr="000D67C6" w14:paraId="6E132436" w14:textId="77777777" w:rsidTr="00A04841">
        <w:trPr>
          <w:trHeight w:val="300"/>
          <w:jc w:val="center"/>
        </w:trPr>
        <w:tc>
          <w:tcPr>
            <w:tcW w:w="2846" w:type="dxa"/>
            <w:tcBorders>
              <w:top w:val="single" w:sz="4" w:space="0" w:color="auto"/>
            </w:tcBorders>
            <w:shd w:val="clear" w:color="auto" w:fill="auto"/>
            <w:vAlign w:val="center"/>
          </w:tcPr>
          <w:p w14:paraId="233C59B5" w14:textId="77777777" w:rsidR="00114846" w:rsidRPr="000D67C6" w:rsidRDefault="00114846" w:rsidP="000F4679">
            <w:pPr>
              <w:rPr>
                <w:rFonts w:ascii="Arial" w:eastAsia="Times New Roman" w:hAnsi="Arial" w:cs="Arial"/>
                <w:b/>
                <w:color w:val="000000"/>
                <w:sz w:val="22"/>
                <w:szCs w:val="22"/>
                <w:lang w:val="en-GB" w:eastAsia="en-GB"/>
              </w:rPr>
            </w:pPr>
          </w:p>
        </w:tc>
        <w:tc>
          <w:tcPr>
            <w:tcW w:w="1243" w:type="dxa"/>
            <w:tcBorders>
              <w:top w:val="single" w:sz="4" w:space="0" w:color="auto"/>
            </w:tcBorders>
            <w:shd w:val="clear" w:color="auto" w:fill="auto"/>
            <w:vAlign w:val="center"/>
          </w:tcPr>
          <w:p w14:paraId="5D4A289A" w14:textId="77777777" w:rsidR="00114846" w:rsidRPr="000D67C6" w:rsidRDefault="00114846" w:rsidP="000F4679">
            <w:pPr>
              <w:jc w:val="center"/>
              <w:rPr>
                <w:rFonts w:ascii="Arial" w:eastAsia="Times New Roman" w:hAnsi="Arial" w:cs="Arial"/>
                <w:b/>
                <w:color w:val="000000"/>
                <w:sz w:val="22"/>
                <w:szCs w:val="22"/>
                <w:lang w:val="en-GB" w:eastAsia="en-GB"/>
              </w:rPr>
            </w:pPr>
          </w:p>
        </w:tc>
        <w:tc>
          <w:tcPr>
            <w:tcW w:w="1244" w:type="dxa"/>
            <w:tcBorders>
              <w:top w:val="single" w:sz="4" w:space="0" w:color="auto"/>
            </w:tcBorders>
            <w:shd w:val="clear" w:color="auto" w:fill="auto"/>
            <w:vAlign w:val="center"/>
          </w:tcPr>
          <w:p w14:paraId="01049077" w14:textId="77777777" w:rsidR="00114846" w:rsidRPr="000D67C6" w:rsidRDefault="00114846" w:rsidP="000F4679">
            <w:pPr>
              <w:jc w:val="center"/>
              <w:rPr>
                <w:rFonts w:ascii="Arial" w:eastAsia="Times New Roman" w:hAnsi="Arial" w:cs="Arial"/>
                <w:b/>
                <w:color w:val="000000"/>
                <w:sz w:val="22"/>
                <w:szCs w:val="22"/>
                <w:lang w:val="en-GB" w:eastAsia="en-GB"/>
              </w:rPr>
            </w:pPr>
          </w:p>
        </w:tc>
        <w:tc>
          <w:tcPr>
            <w:tcW w:w="1276" w:type="dxa"/>
            <w:tcBorders>
              <w:top w:val="single" w:sz="4" w:space="0" w:color="auto"/>
            </w:tcBorders>
            <w:shd w:val="clear" w:color="auto" w:fill="auto"/>
            <w:vAlign w:val="center"/>
          </w:tcPr>
          <w:p w14:paraId="2726C3A7" w14:textId="77777777" w:rsidR="00114846" w:rsidRPr="000D67C6" w:rsidRDefault="00114846" w:rsidP="000F4679">
            <w:pPr>
              <w:jc w:val="right"/>
              <w:rPr>
                <w:rFonts w:ascii="Arial" w:eastAsia="Times New Roman" w:hAnsi="Arial" w:cs="Arial"/>
                <w:b/>
                <w:color w:val="000000"/>
                <w:sz w:val="22"/>
                <w:szCs w:val="22"/>
                <w:lang w:val="en-GB" w:eastAsia="en-GB"/>
              </w:rPr>
            </w:pPr>
          </w:p>
        </w:tc>
        <w:tc>
          <w:tcPr>
            <w:tcW w:w="1276" w:type="dxa"/>
            <w:tcBorders>
              <w:top w:val="single" w:sz="4" w:space="0" w:color="auto"/>
            </w:tcBorders>
            <w:shd w:val="clear" w:color="auto" w:fill="auto"/>
            <w:vAlign w:val="center"/>
          </w:tcPr>
          <w:p w14:paraId="152CADC5" w14:textId="77777777" w:rsidR="00114846" w:rsidRPr="000D67C6" w:rsidRDefault="00114846" w:rsidP="000F4679">
            <w:pPr>
              <w:jc w:val="center"/>
              <w:rPr>
                <w:rFonts w:ascii="Arial" w:eastAsia="Times New Roman" w:hAnsi="Arial" w:cs="Arial"/>
                <w:b/>
                <w:color w:val="000000"/>
                <w:sz w:val="22"/>
                <w:szCs w:val="22"/>
                <w:lang w:val="en-GB" w:eastAsia="en-GB"/>
              </w:rPr>
            </w:pPr>
          </w:p>
        </w:tc>
      </w:tr>
    </w:tbl>
    <w:p w14:paraId="081897B0" w14:textId="77777777" w:rsidR="005C44A9" w:rsidRPr="000D67C6" w:rsidRDefault="005C44A9" w:rsidP="005C44A9">
      <w:pPr>
        <w:pStyle w:val="NormalIndent"/>
        <w:ind w:left="0"/>
        <w:jc w:val="both"/>
        <w:rPr>
          <w:rFonts w:ascii="Arial" w:hAnsi="Arial" w:cs="Arial"/>
          <w:b/>
          <w:color w:val="000000"/>
        </w:rPr>
      </w:pPr>
    </w:p>
    <w:tbl>
      <w:tblPr>
        <w:tblW w:w="7797" w:type="dxa"/>
        <w:jc w:val="center"/>
        <w:tblLook w:val="04A0" w:firstRow="1" w:lastRow="0" w:firstColumn="1" w:lastColumn="0" w:noHBand="0" w:noVBand="1"/>
      </w:tblPr>
      <w:tblGrid>
        <w:gridCol w:w="2846"/>
        <w:gridCol w:w="1243"/>
        <w:gridCol w:w="1244"/>
        <w:gridCol w:w="1200"/>
        <w:gridCol w:w="1264"/>
      </w:tblGrid>
      <w:tr w:rsidR="00A04841" w:rsidRPr="000D67C6" w14:paraId="4DB63EFF" w14:textId="77777777" w:rsidTr="00A04841">
        <w:trPr>
          <w:trHeight w:val="792"/>
          <w:jc w:val="center"/>
        </w:trPr>
        <w:tc>
          <w:tcPr>
            <w:tcW w:w="2846" w:type="dxa"/>
            <w:shd w:val="clear" w:color="auto" w:fill="auto"/>
            <w:vAlign w:val="center"/>
            <w:hideMark/>
          </w:tcPr>
          <w:p w14:paraId="327FF515" w14:textId="77777777" w:rsidR="00A04841" w:rsidRPr="000D67C6" w:rsidRDefault="00A04841" w:rsidP="002F0F37">
            <w:pPr>
              <w:jc w:val="center"/>
              <w:rPr>
                <w:rFonts w:ascii="Arial" w:eastAsia="Times New Roman" w:hAnsi="Arial" w:cs="Arial"/>
                <w:b/>
                <w:bCs/>
                <w:color w:val="000000"/>
                <w:sz w:val="22"/>
                <w:szCs w:val="22"/>
                <w:lang w:val="en-GB" w:eastAsia="en-GB"/>
              </w:rPr>
            </w:pPr>
            <w:r w:rsidRPr="000D67C6">
              <w:rPr>
                <w:rFonts w:ascii="Arial" w:hAnsi="Arial" w:cs="Arial"/>
                <w:color w:val="000000"/>
              </w:rPr>
              <w:br w:type="page"/>
            </w:r>
          </w:p>
        </w:tc>
        <w:tc>
          <w:tcPr>
            <w:tcW w:w="1243" w:type="dxa"/>
            <w:shd w:val="clear" w:color="auto" w:fill="auto"/>
            <w:vAlign w:val="center"/>
            <w:hideMark/>
          </w:tcPr>
          <w:p w14:paraId="71E9FEAB" w14:textId="77777777" w:rsidR="00A04841" w:rsidRPr="000D67C6" w:rsidRDefault="00A04841" w:rsidP="002F0F3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Approved minimum limits</w:t>
            </w:r>
          </w:p>
        </w:tc>
        <w:tc>
          <w:tcPr>
            <w:tcW w:w="1244" w:type="dxa"/>
            <w:shd w:val="clear" w:color="auto" w:fill="auto"/>
            <w:vAlign w:val="center"/>
            <w:hideMark/>
          </w:tcPr>
          <w:p w14:paraId="38DBD05F" w14:textId="77777777" w:rsidR="00A04841" w:rsidRPr="000D67C6" w:rsidRDefault="00A04841" w:rsidP="002F0F3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Approved maximum limits</w:t>
            </w:r>
          </w:p>
        </w:tc>
        <w:tc>
          <w:tcPr>
            <w:tcW w:w="1200" w:type="dxa"/>
            <w:shd w:val="clear" w:color="auto" w:fill="auto"/>
            <w:vAlign w:val="center"/>
            <w:hideMark/>
          </w:tcPr>
          <w:p w14:paraId="63D595DD"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xml:space="preserve">Actual </w:t>
            </w:r>
          </w:p>
          <w:p w14:paraId="13E338D2"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31 March 2018</w:t>
            </w:r>
          </w:p>
        </w:tc>
        <w:tc>
          <w:tcPr>
            <w:tcW w:w="1264" w:type="dxa"/>
            <w:shd w:val="clear" w:color="auto" w:fill="auto"/>
            <w:vAlign w:val="center"/>
            <w:hideMark/>
          </w:tcPr>
          <w:p w14:paraId="0F079B98" w14:textId="77777777" w:rsidR="00A04841" w:rsidRPr="000D67C6" w:rsidRDefault="00A04841" w:rsidP="002F0F3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w:t>
            </w:r>
          </w:p>
          <w:p w14:paraId="31E8DEC0" w14:textId="77777777" w:rsidR="00A04841" w:rsidRPr="000D67C6" w:rsidRDefault="00A04841" w:rsidP="002F0F37">
            <w:pPr>
              <w:jc w:val="cente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31 March 2018</w:t>
            </w:r>
          </w:p>
        </w:tc>
      </w:tr>
      <w:tr w:rsidR="00A04841" w:rsidRPr="000D67C6" w14:paraId="077B7667" w14:textId="77777777" w:rsidTr="00A04841">
        <w:trPr>
          <w:trHeight w:val="408"/>
          <w:jc w:val="center"/>
        </w:trPr>
        <w:tc>
          <w:tcPr>
            <w:tcW w:w="2846" w:type="dxa"/>
            <w:tcBorders>
              <w:bottom w:val="single" w:sz="4" w:space="0" w:color="auto"/>
            </w:tcBorders>
            <w:shd w:val="clear" w:color="auto" w:fill="auto"/>
            <w:noWrap/>
            <w:vAlign w:val="center"/>
            <w:hideMark/>
          </w:tcPr>
          <w:p w14:paraId="639B8EE8" w14:textId="77777777" w:rsidR="00A04841" w:rsidRPr="000D67C6" w:rsidRDefault="00A04841" w:rsidP="002F0F37">
            <w:pPr>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43" w:type="dxa"/>
            <w:tcBorders>
              <w:bottom w:val="single" w:sz="4" w:space="0" w:color="auto"/>
            </w:tcBorders>
            <w:shd w:val="clear" w:color="auto" w:fill="auto"/>
            <w:noWrap/>
            <w:vAlign w:val="center"/>
            <w:hideMark/>
          </w:tcPr>
          <w:p w14:paraId="61C6450D"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44" w:type="dxa"/>
            <w:tcBorders>
              <w:bottom w:val="single" w:sz="4" w:space="0" w:color="auto"/>
            </w:tcBorders>
            <w:shd w:val="clear" w:color="auto" w:fill="auto"/>
            <w:noWrap/>
            <w:vAlign w:val="center"/>
            <w:hideMark/>
          </w:tcPr>
          <w:p w14:paraId="0E53FDB6"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c>
          <w:tcPr>
            <w:tcW w:w="1200" w:type="dxa"/>
            <w:tcBorders>
              <w:bottom w:val="single" w:sz="4" w:space="0" w:color="auto"/>
            </w:tcBorders>
            <w:shd w:val="clear" w:color="auto" w:fill="auto"/>
            <w:noWrap/>
            <w:vAlign w:val="center"/>
            <w:hideMark/>
          </w:tcPr>
          <w:p w14:paraId="4738D781"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£000</w:t>
            </w:r>
          </w:p>
        </w:tc>
        <w:tc>
          <w:tcPr>
            <w:tcW w:w="1264" w:type="dxa"/>
            <w:tcBorders>
              <w:bottom w:val="single" w:sz="4" w:space="0" w:color="auto"/>
            </w:tcBorders>
            <w:shd w:val="clear" w:color="auto" w:fill="auto"/>
            <w:noWrap/>
            <w:vAlign w:val="center"/>
            <w:hideMark/>
          </w:tcPr>
          <w:p w14:paraId="6AB04607" w14:textId="77777777" w:rsidR="00A04841" w:rsidRPr="000D67C6" w:rsidRDefault="00A04841" w:rsidP="002F0F37">
            <w:pPr>
              <w:jc w:val="right"/>
              <w:rPr>
                <w:rFonts w:ascii="Arial" w:eastAsia="Times New Roman" w:hAnsi="Arial" w:cs="Arial"/>
                <w:b/>
                <w:bCs/>
                <w:color w:val="000000"/>
                <w:sz w:val="22"/>
                <w:szCs w:val="22"/>
                <w:lang w:val="en-GB" w:eastAsia="en-GB"/>
              </w:rPr>
            </w:pPr>
            <w:r w:rsidRPr="000D67C6">
              <w:rPr>
                <w:rFonts w:ascii="Arial" w:eastAsia="Times New Roman" w:hAnsi="Arial" w:cs="Arial"/>
                <w:b/>
                <w:bCs/>
                <w:color w:val="000000"/>
                <w:sz w:val="22"/>
                <w:szCs w:val="22"/>
                <w:lang w:val="en-GB" w:eastAsia="en-GB"/>
              </w:rPr>
              <w:t> </w:t>
            </w:r>
          </w:p>
        </w:tc>
      </w:tr>
      <w:tr w:rsidR="00A04841" w:rsidRPr="000D67C6" w14:paraId="5124ABF0" w14:textId="77777777" w:rsidTr="00A04841">
        <w:trPr>
          <w:trHeight w:val="300"/>
          <w:jc w:val="center"/>
        </w:trPr>
        <w:tc>
          <w:tcPr>
            <w:tcW w:w="2846" w:type="dxa"/>
            <w:tcBorders>
              <w:top w:val="single" w:sz="4" w:space="0" w:color="auto"/>
            </w:tcBorders>
            <w:shd w:val="clear" w:color="auto" w:fill="auto"/>
            <w:vAlign w:val="center"/>
            <w:hideMark/>
          </w:tcPr>
          <w:p w14:paraId="267A0A90" w14:textId="77777777" w:rsidR="00A04841" w:rsidRPr="000D67C6" w:rsidRDefault="00A04841" w:rsidP="002F0F37">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Less than 1 year</w:t>
            </w:r>
          </w:p>
        </w:tc>
        <w:tc>
          <w:tcPr>
            <w:tcW w:w="1243" w:type="dxa"/>
            <w:tcBorders>
              <w:top w:val="single" w:sz="4" w:space="0" w:color="auto"/>
            </w:tcBorders>
            <w:shd w:val="clear" w:color="auto" w:fill="auto"/>
            <w:vAlign w:val="center"/>
            <w:hideMark/>
          </w:tcPr>
          <w:p w14:paraId="32F3F22E"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tcBorders>
              <w:top w:val="single" w:sz="4" w:space="0" w:color="auto"/>
            </w:tcBorders>
            <w:shd w:val="clear" w:color="auto" w:fill="auto"/>
            <w:vAlign w:val="center"/>
            <w:hideMark/>
          </w:tcPr>
          <w:p w14:paraId="539EAD92"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20%</w:t>
            </w:r>
          </w:p>
        </w:tc>
        <w:tc>
          <w:tcPr>
            <w:tcW w:w="1200" w:type="dxa"/>
            <w:tcBorders>
              <w:top w:val="single" w:sz="4" w:space="0" w:color="auto"/>
            </w:tcBorders>
            <w:shd w:val="clear" w:color="auto" w:fill="auto"/>
            <w:vAlign w:val="center"/>
            <w:hideMark/>
          </w:tcPr>
          <w:p w14:paraId="0975923C" w14:textId="77777777" w:rsidR="00A04841" w:rsidRPr="000D67C6" w:rsidRDefault="00A04841" w:rsidP="002F0F37">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470</w:t>
            </w:r>
          </w:p>
        </w:tc>
        <w:tc>
          <w:tcPr>
            <w:tcW w:w="1264" w:type="dxa"/>
            <w:tcBorders>
              <w:top w:val="single" w:sz="4" w:space="0" w:color="auto"/>
            </w:tcBorders>
            <w:shd w:val="clear" w:color="auto" w:fill="auto"/>
            <w:vAlign w:val="center"/>
            <w:hideMark/>
          </w:tcPr>
          <w:p w14:paraId="7E77B340"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3%</w:t>
            </w:r>
          </w:p>
        </w:tc>
      </w:tr>
      <w:tr w:rsidR="00A04841" w:rsidRPr="000D67C6" w14:paraId="6E662048" w14:textId="77777777" w:rsidTr="00A04841">
        <w:trPr>
          <w:trHeight w:val="300"/>
          <w:jc w:val="center"/>
        </w:trPr>
        <w:tc>
          <w:tcPr>
            <w:tcW w:w="2846" w:type="dxa"/>
            <w:shd w:val="clear" w:color="auto" w:fill="auto"/>
            <w:vAlign w:val="center"/>
            <w:hideMark/>
          </w:tcPr>
          <w:p w14:paraId="06E5029D" w14:textId="77777777" w:rsidR="00A04841" w:rsidRPr="000D67C6" w:rsidRDefault="00A04841" w:rsidP="002F0F37">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1 and 2 years</w:t>
            </w:r>
          </w:p>
        </w:tc>
        <w:tc>
          <w:tcPr>
            <w:tcW w:w="1243" w:type="dxa"/>
            <w:shd w:val="clear" w:color="auto" w:fill="auto"/>
            <w:vAlign w:val="center"/>
            <w:hideMark/>
          </w:tcPr>
          <w:p w14:paraId="1AA1EE25"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5139C241"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20%</w:t>
            </w:r>
          </w:p>
        </w:tc>
        <w:tc>
          <w:tcPr>
            <w:tcW w:w="1200" w:type="dxa"/>
            <w:shd w:val="clear" w:color="auto" w:fill="auto"/>
            <w:vAlign w:val="center"/>
            <w:hideMark/>
          </w:tcPr>
          <w:p w14:paraId="2FDE1606" w14:textId="77777777" w:rsidR="00A04841" w:rsidRPr="000D67C6" w:rsidRDefault="00A04841" w:rsidP="002F0F37">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1,321</w:t>
            </w:r>
          </w:p>
        </w:tc>
        <w:tc>
          <w:tcPr>
            <w:tcW w:w="1264" w:type="dxa"/>
            <w:shd w:val="clear" w:color="auto" w:fill="auto"/>
            <w:vAlign w:val="center"/>
            <w:hideMark/>
          </w:tcPr>
          <w:p w14:paraId="75FFB8EC"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8%</w:t>
            </w:r>
          </w:p>
        </w:tc>
      </w:tr>
      <w:tr w:rsidR="00A04841" w:rsidRPr="000D67C6" w14:paraId="6A51BD39" w14:textId="77777777" w:rsidTr="00A04841">
        <w:trPr>
          <w:trHeight w:val="300"/>
          <w:jc w:val="center"/>
        </w:trPr>
        <w:tc>
          <w:tcPr>
            <w:tcW w:w="2846" w:type="dxa"/>
            <w:shd w:val="clear" w:color="auto" w:fill="auto"/>
            <w:vAlign w:val="center"/>
            <w:hideMark/>
          </w:tcPr>
          <w:p w14:paraId="5EF14F62" w14:textId="77777777" w:rsidR="00A04841" w:rsidRPr="000D67C6" w:rsidRDefault="00A04841" w:rsidP="002F0F37">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2 and 5 years</w:t>
            </w:r>
          </w:p>
        </w:tc>
        <w:tc>
          <w:tcPr>
            <w:tcW w:w="1243" w:type="dxa"/>
            <w:shd w:val="clear" w:color="auto" w:fill="auto"/>
            <w:vAlign w:val="center"/>
            <w:hideMark/>
          </w:tcPr>
          <w:p w14:paraId="6A7F4BB9"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3088F257"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50%</w:t>
            </w:r>
          </w:p>
        </w:tc>
        <w:tc>
          <w:tcPr>
            <w:tcW w:w="1200" w:type="dxa"/>
            <w:shd w:val="clear" w:color="auto" w:fill="auto"/>
            <w:vAlign w:val="center"/>
            <w:hideMark/>
          </w:tcPr>
          <w:p w14:paraId="10C5D04C" w14:textId="77777777" w:rsidR="00A04841" w:rsidRPr="000D67C6" w:rsidRDefault="00A04841" w:rsidP="002F0F37">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618</w:t>
            </w:r>
          </w:p>
        </w:tc>
        <w:tc>
          <w:tcPr>
            <w:tcW w:w="1264" w:type="dxa"/>
            <w:shd w:val="clear" w:color="auto" w:fill="auto"/>
            <w:vAlign w:val="center"/>
            <w:hideMark/>
          </w:tcPr>
          <w:p w14:paraId="0FD49B2D"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4%</w:t>
            </w:r>
          </w:p>
        </w:tc>
      </w:tr>
      <w:tr w:rsidR="00A04841" w:rsidRPr="000D67C6" w14:paraId="3838254F" w14:textId="77777777" w:rsidTr="00A04841">
        <w:trPr>
          <w:trHeight w:val="300"/>
          <w:jc w:val="center"/>
        </w:trPr>
        <w:tc>
          <w:tcPr>
            <w:tcW w:w="2846" w:type="dxa"/>
            <w:shd w:val="clear" w:color="auto" w:fill="auto"/>
            <w:vAlign w:val="center"/>
            <w:hideMark/>
          </w:tcPr>
          <w:p w14:paraId="5CD53688" w14:textId="77777777" w:rsidR="00A04841" w:rsidRPr="000D67C6" w:rsidRDefault="00A04841" w:rsidP="002F0F37">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Between 5 and 10 years</w:t>
            </w:r>
          </w:p>
        </w:tc>
        <w:tc>
          <w:tcPr>
            <w:tcW w:w="1243" w:type="dxa"/>
            <w:shd w:val="clear" w:color="auto" w:fill="auto"/>
            <w:vAlign w:val="center"/>
            <w:hideMark/>
          </w:tcPr>
          <w:p w14:paraId="7A99DEC9"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0%</w:t>
            </w:r>
          </w:p>
        </w:tc>
        <w:tc>
          <w:tcPr>
            <w:tcW w:w="1244" w:type="dxa"/>
            <w:shd w:val="clear" w:color="auto" w:fill="auto"/>
            <w:vAlign w:val="center"/>
            <w:hideMark/>
          </w:tcPr>
          <w:p w14:paraId="7C04CDFC"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75%</w:t>
            </w:r>
          </w:p>
        </w:tc>
        <w:tc>
          <w:tcPr>
            <w:tcW w:w="1200" w:type="dxa"/>
            <w:shd w:val="clear" w:color="auto" w:fill="auto"/>
            <w:vAlign w:val="center"/>
            <w:hideMark/>
          </w:tcPr>
          <w:p w14:paraId="5F5F3E3F" w14:textId="77777777" w:rsidR="00A04841" w:rsidRPr="000D67C6" w:rsidRDefault="00A04841" w:rsidP="002F0F37">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2,655</w:t>
            </w:r>
          </w:p>
        </w:tc>
        <w:tc>
          <w:tcPr>
            <w:tcW w:w="1264" w:type="dxa"/>
            <w:shd w:val="clear" w:color="auto" w:fill="auto"/>
            <w:vAlign w:val="center"/>
            <w:hideMark/>
          </w:tcPr>
          <w:p w14:paraId="63E3E0E9"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16%</w:t>
            </w:r>
          </w:p>
        </w:tc>
      </w:tr>
      <w:tr w:rsidR="00A04841" w:rsidRPr="000D67C6" w14:paraId="55439A0E" w14:textId="77777777" w:rsidTr="00A04841">
        <w:trPr>
          <w:trHeight w:val="300"/>
          <w:jc w:val="center"/>
        </w:trPr>
        <w:tc>
          <w:tcPr>
            <w:tcW w:w="2846" w:type="dxa"/>
            <w:tcBorders>
              <w:bottom w:val="single" w:sz="4" w:space="0" w:color="auto"/>
            </w:tcBorders>
            <w:shd w:val="clear" w:color="auto" w:fill="auto"/>
            <w:vAlign w:val="center"/>
            <w:hideMark/>
          </w:tcPr>
          <w:p w14:paraId="5CFC194B" w14:textId="77777777" w:rsidR="00A04841" w:rsidRPr="000D67C6" w:rsidRDefault="00A04841" w:rsidP="002F0F37">
            <w:pP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More than 10 years</w:t>
            </w:r>
          </w:p>
        </w:tc>
        <w:tc>
          <w:tcPr>
            <w:tcW w:w="1243" w:type="dxa"/>
            <w:tcBorders>
              <w:bottom w:val="single" w:sz="4" w:space="0" w:color="auto"/>
            </w:tcBorders>
            <w:shd w:val="clear" w:color="auto" w:fill="auto"/>
            <w:vAlign w:val="center"/>
            <w:hideMark/>
          </w:tcPr>
          <w:p w14:paraId="4E634B08"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25%</w:t>
            </w:r>
          </w:p>
        </w:tc>
        <w:tc>
          <w:tcPr>
            <w:tcW w:w="1244" w:type="dxa"/>
            <w:tcBorders>
              <w:bottom w:val="single" w:sz="4" w:space="0" w:color="auto"/>
            </w:tcBorders>
            <w:shd w:val="clear" w:color="auto" w:fill="auto"/>
            <w:vAlign w:val="center"/>
            <w:hideMark/>
          </w:tcPr>
          <w:p w14:paraId="52424440"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90%</w:t>
            </w:r>
          </w:p>
        </w:tc>
        <w:tc>
          <w:tcPr>
            <w:tcW w:w="1200" w:type="dxa"/>
            <w:tcBorders>
              <w:bottom w:val="single" w:sz="4" w:space="0" w:color="auto"/>
            </w:tcBorders>
            <w:shd w:val="clear" w:color="auto" w:fill="auto"/>
            <w:vAlign w:val="center"/>
            <w:hideMark/>
          </w:tcPr>
          <w:p w14:paraId="53413CFE" w14:textId="77777777" w:rsidR="00A04841" w:rsidRPr="000D67C6" w:rsidRDefault="00A04841" w:rsidP="002F0F37">
            <w:pPr>
              <w:jc w:val="right"/>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11,465</w:t>
            </w:r>
          </w:p>
        </w:tc>
        <w:tc>
          <w:tcPr>
            <w:tcW w:w="1264" w:type="dxa"/>
            <w:tcBorders>
              <w:bottom w:val="single" w:sz="4" w:space="0" w:color="auto"/>
            </w:tcBorders>
            <w:shd w:val="clear" w:color="auto" w:fill="auto"/>
            <w:vAlign w:val="center"/>
            <w:hideMark/>
          </w:tcPr>
          <w:p w14:paraId="08CDABC7" w14:textId="77777777" w:rsidR="00A04841" w:rsidRPr="000D67C6" w:rsidRDefault="00A04841" w:rsidP="002F0F37">
            <w:pPr>
              <w:jc w:val="center"/>
              <w:rPr>
                <w:rFonts w:ascii="Arial" w:eastAsia="Times New Roman" w:hAnsi="Arial" w:cs="Arial"/>
                <w:color w:val="000000"/>
                <w:sz w:val="22"/>
                <w:szCs w:val="22"/>
                <w:lang w:val="en-GB" w:eastAsia="en-GB"/>
              </w:rPr>
            </w:pPr>
            <w:r w:rsidRPr="000D67C6">
              <w:rPr>
                <w:rFonts w:ascii="Arial" w:eastAsia="Times New Roman" w:hAnsi="Arial" w:cs="Arial"/>
                <w:color w:val="000000"/>
                <w:sz w:val="22"/>
                <w:szCs w:val="22"/>
                <w:lang w:val="en-GB" w:eastAsia="en-GB"/>
              </w:rPr>
              <w:t>69%</w:t>
            </w:r>
          </w:p>
        </w:tc>
      </w:tr>
      <w:tr w:rsidR="00A04841" w:rsidRPr="000D67C6" w14:paraId="4B0FD965" w14:textId="77777777" w:rsidTr="00114846">
        <w:trPr>
          <w:trHeight w:val="300"/>
          <w:jc w:val="center"/>
        </w:trPr>
        <w:tc>
          <w:tcPr>
            <w:tcW w:w="2846" w:type="dxa"/>
            <w:tcBorders>
              <w:top w:val="single" w:sz="4" w:space="0" w:color="auto"/>
              <w:bottom w:val="single" w:sz="4" w:space="0" w:color="auto"/>
            </w:tcBorders>
            <w:shd w:val="clear" w:color="auto" w:fill="auto"/>
            <w:vAlign w:val="center"/>
            <w:hideMark/>
          </w:tcPr>
          <w:p w14:paraId="1D79DDBC" w14:textId="77777777" w:rsidR="00A04841" w:rsidRPr="000D67C6" w:rsidRDefault="00A04841" w:rsidP="002F0F37">
            <w:pP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Total</w:t>
            </w:r>
          </w:p>
        </w:tc>
        <w:tc>
          <w:tcPr>
            <w:tcW w:w="1243" w:type="dxa"/>
            <w:tcBorders>
              <w:top w:val="single" w:sz="4" w:space="0" w:color="auto"/>
              <w:bottom w:val="single" w:sz="4" w:space="0" w:color="auto"/>
            </w:tcBorders>
            <w:shd w:val="clear" w:color="auto" w:fill="auto"/>
            <w:vAlign w:val="center"/>
            <w:hideMark/>
          </w:tcPr>
          <w:p w14:paraId="673C362F" w14:textId="77777777" w:rsidR="00A04841" w:rsidRPr="000D67C6" w:rsidRDefault="00A04841" w:rsidP="002F0F37">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 </w:t>
            </w:r>
          </w:p>
        </w:tc>
        <w:tc>
          <w:tcPr>
            <w:tcW w:w="1244" w:type="dxa"/>
            <w:tcBorders>
              <w:top w:val="single" w:sz="4" w:space="0" w:color="auto"/>
              <w:bottom w:val="single" w:sz="4" w:space="0" w:color="auto"/>
            </w:tcBorders>
            <w:shd w:val="clear" w:color="auto" w:fill="auto"/>
            <w:vAlign w:val="center"/>
            <w:hideMark/>
          </w:tcPr>
          <w:p w14:paraId="0BF78E75" w14:textId="77777777" w:rsidR="00A04841" w:rsidRPr="000D67C6" w:rsidRDefault="00A04841" w:rsidP="002F0F37">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 </w:t>
            </w:r>
          </w:p>
        </w:tc>
        <w:tc>
          <w:tcPr>
            <w:tcW w:w="1200" w:type="dxa"/>
            <w:tcBorders>
              <w:top w:val="single" w:sz="4" w:space="0" w:color="auto"/>
              <w:bottom w:val="single" w:sz="4" w:space="0" w:color="auto"/>
            </w:tcBorders>
            <w:shd w:val="clear" w:color="auto" w:fill="auto"/>
            <w:vAlign w:val="center"/>
            <w:hideMark/>
          </w:tcPr>
          <w:p w14:paraId="3320C8C4" w14:textId="77777777" w:rsidR="00A04841" w:rsidRPr="000D67C6" w:rsidRDefault="00A04841" w:rsidP="002F0F37">
            <w:pPr>
              <w:jc w:val="right"/>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16,529</w:t>
            </w:r>
          </w:p>
        </w:tc>
        <w:tc>
          <w:tcPr>
            <w:tcW w:w="1264" w:type="dxa"/>
            <w:tcBorders>
              <w:top w:val="single" w:sz="4" w:space="0" w:color="auto"/>
              <w:bottom w:val="single" w:sz="4" w:space="0" w:color="auto"/>
            </w:tcBorders>
            <w:shd w:val="clear" w:color="auto" w:fill="auto"/>
            <w:vAlign w:val="center"/>
            <w:hideMark/>
          </w:tcPr>
          <w:p w14:paraId="0BC2CBC4" w14:textId="77777777" w:rsidR="00A04841" w:rsidRPr="000D67C6" w:rsidRDefault="00A04841" w:rsidP="002F0F37">
            <w:pPr>
              <w:jc w:val="center"/>
              <w:rPr>
                <w:rFonts w:ascii="Arial" w:eastAsia="Times New Roman" w:hAnsi="Arial" w:cs="Arial"/>
                <w:b/>
                <w:color w:val="000000"/>
                <w:sz w:val="22"/>
                <w:szCs w:val="22"/>
                <w:lang w:val="en-GB" w:eastAsia="en-GB"/>
              </w:rPr>
            </w:pPr>
            <w:r w:rsidRPr="000D67C6">
              <w:rPr>
                <w:rFonts w:ascii="Arial" w:eastAsia="Times New Roman" w:hAnsi="Arial" w:cs="Arial"/>
                <w:b/>
                <w:color w:val="000000"/>
                <w:sz w:val="22"/>
                <w:szCs w:val="22"/>
                <w:lang w:val="en-GB" w:eastAsia="en-GB"/>
              </w:rPr>
              <w:t>100%</w:t>
            </w:r>
          </w:p>
        </w:tc>
      </w:tr>
    </w:tbl>
    <w:p w14:paraId="3A13E490" w14:textId="77777777" w:rsidR="005C44A9" w:rsidRPr="00055140" w:rsidRDefault="005C44A9" w:rsidP="005C44A9">
      <w:pPr>
        <w:pStyle w:val="NormalIndent"/>
        <w:ind w:left="0"/>
        <w:jc w:val="both"/>
        <w:rPr>
          <w:rFonts w:ascii="Arial" w:hAnsi="Arial" w:cs="Arial"/>
          <w:b/>
          <w:color w:val="000000"/>
          <w:sz w:val="32"/>
        </w:rPr>
      </w:pPr>
    </w:p>
    <w:p w14:paraId="28343F3B" w14:textId="77777777" w:rsidR="005C44A9" w:rsidRPr="000D67C6" w:rsidRDefault="005C44A9" w:rsidP="005C44A9">
      <w:pPr>
        <w:pStyle w:val="NormalIndent"/>
        <w:ind w:left="0"/>
        <w:jc w:val="both"/>
        <w:rPr>
          <w:rFonts w:ascii="Arial" w:hAnsi="Arial" w:cs="Arial"/>
          <w:b/>
          <w:color w:val="000000"/>
          <w:sz w:val="22"/>
          <w:szCs w:val="22"/>
        </w:rPr>
      </w:pPr>
      <w:r w:rsidRPr="000D67C6">
        <w:rPr>
          <w:rFonts w:ascii="Arial" w:hAnsi="Arial" w:cs="Arial"/>
          <w:b/>
          <w:color w:val="000000"/>
          <w:sz w:val="22"/>
          <w:szCs w:val="22"/>
        </w:rPr>
        <w:t>Market Risk</w:t>
      </w:r>
    </w:p>
    <w:p w14:paraId="776A88E1" w14:textId="77777777" w:rsidR="005C44A9" w:rsidRPr="000D67C6" w:rsidRDefault="005C44A9" w:rsidP="005C44A9">
      <w:pPr>
        <w:pStyle w:val="NormalIndent"/>
        <w:ind w:left="0"/>
        <w:jc w:val="both"/>
        <w:rPr>
          <w:rFonts w:ascii="Arial" w:hAnsi="Arial" w:cs="Arial"/>
          <w:color w:val="000000"/>
          <w:sz w:val="22"/>
          <w:szCs w:val="22"/>
        </w:rPr>
      </w:pPr>
    </w:p>
    <w:p w14:paraId="4D1226C2" w14:textId="77777777" w:rsidR="005C44A9" w:rsidRPr="000D67C6" w:rsidRDefault="005C44A9" w:rsidP="005C44A9">
      <w:pPr>
        <w:pStyle w:val="NormalIndent"/>
        <w:ind w:left="0"/>
        <w:jc w:val="both"/>
        <w:rPr>
          <w:rFonts w:ascii="Arial" w:hAnsi="Arial" w:cs="Arial"/>
          <w:i/>
          <w:color w:val="000000"/>
          <w:sz w:val="22"/>
          <w:szCs w:val="22"/>
        </w:rPr>
      </w:pPr>
      <w:r w:rsidRPr="000D67C6">
        <w:rPr>
          <w:rFonts w:ascii="Arial" w:hAnsi="Arial" w:cs="Arial"/>
          <w:i/>
          <w:color w:val="000000"/>
          <w:sz w:val="22"/>
          <w:szCs w:val="22"/>
        </w:rPr>
        <w:t>Interest Rate Risk</w:t>
      </w:r>
    </w:p>
    <w:p w14:paraId="4C65C69A" w14:textId="77777777" w:rsidR="005C44A9" w:rsidRPr="000D67C6" w:rsidRDefault="005C44A9" w:rsidP="005C44A9">
      <w:pPr>
        <w:pStyle w:val="NormalIndent"/>
        <w:ind w:left="0"/>
        <w:jc w:val="both"/>
        <w:rPr>
          <w:rFonts w:ascii="Arial" w:hAnsi="Arial" w:cs="Arial"/>
          <w:i/>
          <w:color w:val="000000"/>
          <w:sz w:val="22"/>
          <w:szCs w:val="22"/>
        </w:rPr>
      </w:pPr>
    </w:p>
    <w:p w14:paraId="7780F1E3" w14:textId="77777777" w:rsidR="005C44A9" w:rsidRPr="000D67C6" w:rsidRDefault="005C44A9" w:rsidP="005C44A9">
      <w:pPr>
        <w:pStyle w:val="NormalIndent"/>
        <w:ind w:left="0"/>
        <w:jc w:val="both"/>
        <w:rPr>
          <w:rFonts w:ascii="Arial" w:hAnsi="Arial" w:cs="Arial"/>
          <w:color w:val="000000"/>
          <w:sz w:val="22"/>
          <w:szCs w:val="22"/>
        </w:rPr>
      </w:pPr>
      <w:r w:rsidRPr="000D67C6">
        <w:rPr>
          <w:rFonts w:ascii="Arial" w:hAnsi="Arial" w:cs="Arial"/>
          <w:color w:val="000000"/>
          <w:sz w:val="22"/>
          <w:szCs w:val="22"/>
        </w:rPr>
        <w:t>The Authority is exposed to risk in terms of its exposure to interest rate movements on its borrowings and investments. Movements in interest rates have a complex impact on the Authority. For instance, a rise in interest rates would have the following effects:</w:t>
      </w:r>
    </w:p>
    <w:p w14:paraId="28CC798B" w14:textId="77777777" w:rsidR="005C44A9" w:rsidRPr="000D67C6" w:rsidRDefault="005C44A9" w:rsidP="005C44A9">
      <w:pPr>
        <w:pStyle w:val="NormalIndent"/>
        <w:ind w:left="0"/>
        <w:jc w:val="both"/>
        <w:rPr>
          <w:rFonts w:ascii="Arial" w:hAnsi="Arial" w:cs="Arial"/>
          <w:color w:val="000000"/>
          <w:sz w:val="22"/>
          <w:szCs w:val="22"/>
        </w:rPr>
      </w:pPr>
    </w:p>
    <w:p w14:paraId="475F8883" w14:textId="77777777" w:rsidR="005C44A9" w:rsidRPr="000D67C6" w:rsidRDefault="005C44A9" w:rsidP="00C4608B">
      <w:pPr>
        <w:pStyle w:val="NormalIndent"/>
        <w:numPr>
          <w:ilvl w:val="0"/>
          <w:numId w:val="32"/>
        </w:numPr>
        <w:jc w:val="both"/>
        <w:rPr>
          <w:rFonts w:ascii="Arial" w:hAnsi="Arial" w:cs="Arial"/>
          <w:color w:val="000000"/>
          <w:sz w:val="22"/>
          <w:szCs w:val="22"/>
        </w:rPr>
      </w:pPr>
      <w:r w:rsidRPr="000D67C6">
        <w:rPr>
          <w:rFonts w:ascii="Arial" w:hAnsi="Arial" w:cs="Arial"/>
          <w:color w:val="000000"/>
          <w:sz w:val="22"/>
          <w:szCs w:val="22"/>
        </w:rPr>
        <w:t>Borrowings at fixed rates – the fair value of the liabilities borrowings will fall</w:t>
      </w:r>
    </w:p>
    <w:p w14:paraId="3704DA37" w14:textId="77777777" w:rsidR="005C44A9" w:rsidRPr="000D67C6" w:rsidRDefault="005C44A9" w:rsidP="00C4608B">
      <w:pPr>
        <w:pStyle w:val="NormalIndent"/>
        <w:numPr>
          <w:ilvl w:val="0"/>
          <w:numId w:val="32"/>
        </w:numPr>
        <w:jc w:val="both"/>
        <w:rPr>
          <w:rFonts w:ascii="Arial" w:hAnsi="Arial" w:cs="Arial"/>
          <w:color w:val="000000"/>
          <w:sz w:val="22"/>
          <w:szCs w:val="22"/>
        </w:rPr>
      </w:pPr>
      <w:r w:rsidRPr="000D67C6">
        <w:rPr>
          <w:rFonts w:ascii="Arial" w:hAnsi="Arial" w:cs="Arial"/>
          <w:color w:val="000000"/>
          <w:sz w:val="22"/>
          <w:szCs w:val="22"/>
        </w:rPr>
        <w:t>Borrowings at variable rates – the interest expense charged to the Surplus or Deficit on the Provision of Services will rise</w:t>
      </w:r>
    </w:p>
    <w:p w14:paraId="5034348A" w14:textId="77777777" w:rsidR="005C44A9" w:rsidRPr="000D67C6" w:rsidRDefault="005C44A9" w:rsidP="00C4608B">
      <w:pPr>
        <w:pStyle w:val="NormalIndent"/>
        <w:numPr>
          <w:ilvl w:val="0"/>
          <w:numId w:val="32"/>
        </w:numPr>
        <w:jc w:val="both"/>
        <w:rPr>
          <w:rFonts w:ascii="Arial" w:hAnsi="Arial" w:cs="Arial"/>
          <w:color w:val="000000"/>
          <w:sz w:val="22"/>
          <w:szCs w:val="22"/>
        </w:rPr>
      </w:pPr>
      <w:r w:rsidRPr="000D67C6">
        <w:rPr>
          <w:rFonts w:ascii="Arial" w:hAnsi="Arial" w:cs="Arial"/>
          <w:color w:val="000000"/>
          <w:sz w:val="22"/>
          <w:szCs w:val="22"/>
        </w:rPr>
        <w:t>Investments at variable rates – the interest income credited to the Surplus or Deficit on the Provision of Service will rise</w:t>
      </w:r>
    </w:p>
    <w:p w14:paraId="7DD073B0" w14:textId="77777777" w:rsidR="005C44A9" w:rsidRPr="000D67C6" w:rsidRDefault="005C44A9" w:rsidP="00C4608B">
      <w:pPr>
        <w:pStyle w:val="NormalIndent"/>
        <w:numPr>
          <w:ilvl w:val="0"/>
          <w:numId w:val="32"/>
        </w:numPr>
        <w:jc w:val="both"/>
        <w:rPr>
          <w:rFonts w:ascii="Arial" w:hAnsi="Arial" w:cs="Arial"/>
          <w:color w:val="000000"/>
          <w:sz w:val="22"/>
          <w:szCs w:val="22"/>
        </w:rPr>
      </w:pPr>
      <w:r w:rsidRPr="000D67C6">
        <w:rPr>
          <w:rFonts w:ascii="Arial" w:hAnsi="Arial" w:cs="Arial"/>
          <w:color w:val="000000"/>
          <w:sz w:val="22"/>
          <w:szCs w:val="22"/>
        </w:rPr>
        <w:t>Investments at fixed rates – the fair value of the assets will fall.</w:t>
      </w:r>
    </w:p>
    <w:p w14:paraId="484BC331" w14:textId="77777777" w:rsidR="005C44A9" w:rsidRPr="000D67C6" w:rsidRDefault="005C44A9" w:rsidP="005C44A9">
      <w:pPr>
        <w:pStyle w:val="NormalIndent"/>
        <w:ind w:left="0"/>
        <w:jc w:val="both"/>
        <w:rPr>
          <w:rFonts w:ascii="Arial" w:hAnsi="Arial" w:cs="Arial"/>
          <w:color w:val="000000"/>
          <w:sz w:val="22"/>
          <w:szCs w:val="22"/>
        </w:rPr>
      </w:pPr>
      <w:r w:rsidRPr="000D67C6">
        <w:rPr>
          <w:rFonts w:ascii="Arial" w:hAnsi="Arial" w:cs="Arial"/>
          <w:color w:val="000000"/>
          <w:sz w:val="22"/>
          <w:szCs w:val="22"/>
        </w:rPr>
        <w:t>Because of the Authority’s borrowing and surplus cash levels, with the limited period surpluses are held, borrowing and investment opportunities are limited. Borrowing is mainly at fixed interest rates and investments are at variable interest rates.</w:t>
      </w:r>
    </w:p>
    <w:p w14:paraId="1D8C0439" w14:textId="77777777" w:rsidR="005C44A9" w:rsidRPr="000D67C6" w:rsidRDefault="005C44A9" w:rsidP="005C44A9">
      <w:pPr>
        <w:pStyle w:val="NormalIndent"/>
        <w:ind w:left="0"/>
        <w:jc w:val="both"/>
        <w:rPr>
          <w:rFonts w:ascii="Arial" w:hAnsi="Arial" w:cs="Arial"/>
          <w:color w:val="000000"/>
          <w:sz w:val="22"/>
          <w:szCs w:val="22"/>
        </w:rPr>
      </w:pPr>
    </w:p>
    <w:p w14:paraId="1F8AB4E2" w14:textId="77777777" w:rsidR="005C44A9" w:rsidRPr="000D67C6" w:rsidRDefault="005C44A9" w:rsidP="005C44A9">
      <w:pPr>
        <w:pStyle w:val="NormalIndent"/>
        <w:ind w:left="0"/>
        <w:jc w:val="both"/>
        <w:rPr>
          <w:rFonts w:ascii="Arial" w:hAnsi="Arial" w:cs="Arial"/>
          <w:color w:val="000000"/>
          <w:sz w:val="22"/>
          <w:szCs w:val="22"/>
        </w:rPr>
      </w:pPr>
      <w:r w:rsidRPr="000D67C6">
        <w:rPr>
          <w:rFonts w:ascii="Arial" w:hAnsi="Arial" w:cs="Arial"/>
          <w:color w:val="000000"/>
          <w:sz w:val="22"/>
          <w:szCs w:val="22"/>
        </w:rPr>
        <w:t>Borrowings are not carried at fair value, so nominal gains and losses on fixed rate borrowings would not impact on the Surplus or Deficit on the Provision of Services or Other Comprehensive Income and Expenditure. However, changes in interest receivable on variable rate investments will be posted to the surplus or Deficit on the Provision of Services and affect the General Fund Balance.</w:t>
      </w:r>
    </w:p>
    <w:p w14:paraId="274A0218" w14:textId="77777777" w:rsidR="00A04841" w:rsidRPr="000D67C6" w:rsidRDefault="00A04841" w:rsidP="005C44A9">
      <w:pPr>
        <w:pStyle w:val="NormalIndent"/>
        <w:ind w:left="0"/>
        <w:jc w:val="both"/>
        <w:rPr>
          <w:rFonts w:ascii="Arial" w:hAnsi="Arial" w:cs="Arial"/>
          <w:i/>
          <w:color w:val="000000"/>
          <w:sz w:val="22"/>
          <w:szCs w:val="22"/>
        </w:rPr>
      </w:pPr>
    </w:p>
    <w:p w14:paraId="5D3F0AD7" w14:textId="125F8DF5" w:rsidR="005C44A9" w:rsidRPr="000D67C6" w:rsidRDefault="005C44A9" w:rsidP="005C44A9">
      <w:pPr>
        <w:pStyle w:val="NormalIndent"/>
        <w:ind w:left="0"/>
        <w:jc w:val="both"/>
        <w:rPr>
          <w:rFonts w:ascii="Arial" w:hAnsi="Arial" w:cs="Arial"/>
          <w:i/>
          <w:color w:val="000000"/>
          <w:sz w:val="22"/>
          <w:szCs w:val="22"/>
        </w:rPr>
      </w:pPr>
      <w:r w:rsidRPr="000D67C6">
        <w:rPr>
          <w:rFonts w:ascii="Arial" w:hAnsi="Arial" w:cs="Arial"/>
          <w:i/>
          <w:color w:val="000000"/>
          <w:sz w:val="22"/>
          <w:szCs w:val="22"/>
        </w:rPr>
        <w:t>Price Risk</w:t>
      </w:r>
    </w:p>
    <w:p w14:paraId="568FB5D1" w14:textId="77777777" w:rsidR="005C44A9" w:rsidRPr="000D67C6" w:rsidRDefault="005C44A9" w:rsidP="005C44A9">
      <w:pPr>
        <w:pStyle w:val="NormalIndent"/>
        <w:ind w:left="0"/>
        <w:jc w:val="both"/>
        <w:rPr>
          <w:rFonts w:ascii="Arial" w:hAnsi="Arial" w:cs="Arial"/>
          <w:color w:val="000000"/>
          <w:sz w:val="22"/>
          <w:szCs w:val="22"/>
        </w:rPr>
      </w:pPr>
    </w:p>
    <w:p w14:paraId="623EF95A" w14:textId="77777777" w:rsidR="005C44A9" w:rsidRPr="000D67C6" w:rsidRDefault="005C44A9" w:rsidP="005C44A9">
      <w:pPr>
        <w:pStyle w:val="NormalIndent"/>
        <w:ind w:left="0"/>
        <w:jc w:val="both"/>
        <w:rPr>
          <w:rFonts w:ascii="Arial" w:hAnsi="Arial" w:cs="Arial"/>
          <w:color w:val="000000"/>
          <w:sz w:val="22"/>
          <w:szCs w:val="22"/>
        </w:rPr>
      </w:pPr>
      <w:r w:rsidRPr="000D67C6">
        <w:rPr>
          <w:rFonts w:ascii="Arial" w:hAnsi="Arial" w:cs="Arial"/>
          <w:color w:val="000000"/>
          <w:sz w:val="22"/>
          <w:szCs w:val="22"/>
        </w:rPr>
        <w:t>The Authority does not invest in equity shares and has no exposure to price risk.</w:t>
      </w:r>
    </w:p>
    <w:p w14:paraId="24F0D726" w14:textId="77777777" w:rsidR="005C44A9" w:rsidRPr="000D67C6" w:rsidRDefault="005C44A9" w:rsidP="005C44A9">
      <w:pPr>
        <w:pStyle w:val="NormalIndent"/>
        <w:ind w:left="0"/>
        <w:jc w:val="both"/>
        <w:rPr>
          <w:rFonts w:ascii="Arial" w:hAnsi="Arial" w:cs="Arial"/>
          <w:i/>
          <w:color w:val="000000"/>
          <w:sz w:val="22"/>
          <w:szCs w:val="22"/>
        </w:rPr>
      </w:pPr>
      <w:r w:rsidRPr="000D67C6">
        <w:rPr>
          <w:rFonts w:ascii="Arial" w:hAnsi="Arial" w:cs="Arial"/>
          <w:i/>
          <w:color w:val="000000"/>
          <w:sz w:val="22"/>
          <w:szCs w:val="22"/>
        </w:rPr>
        <w:t>Foreign Exchange Risk</w:t>
      </w:r>
    </w:p>
    <w:p w14:paraId="467AA465" w14:textId="77777777" w:rsidR="005C44A9" w:rsidRPr="000D67C6" w:rsidRDefault="005C44A9" w:rsidP="005C44A9">
      <w:pPr>
        <w:pStyle w:val="NormalIndent"/>
        <w:ind w:left="0"/>
        <w:jc w:val="both"/>
        <w:rPr>
          <w:rFonts w:ascii="Arial" w:hAnsi="Arial" w:cs="Arial"/>
          <w:color w:val="000000"/>
          <w:sz w:val="22"/>
          <w:szCs w:val="22"/>
        </w:rPr>
      </w:pPr>
    </w:p>
    <w:p w14:paraId="6A019D7E" w14:textId="77777777" w:rsidR="005C44A9" w:rsidRPr="000D67C6" w:rsidRDefault="005C44A9" w:rsidP="005C44A9">
      <w:pPr>
        <w:pStyle w:val="NormalIndent"/>
        <w:ind w:left="0"/>
        <w:jc w:val="both"/>
        <w:rPr>
          <w:rFonts w:ascii="Arial" w:hAnsi="Arial" w:cs="Arial"/>
          <w:color w:val="000000"/>
          <w:sz w:val="22"/>
          <w:szCs w:val="22"/>
        </w:rPr>
      </w:pPr>
      <w:r w:rsidRPr="000D67C6">
        <w:rPr>
          <w:rFonts w:ascii="Arial" w:hAnsi="Arial" w:cs="Arial"/>
          <w:color w:val="000000"/>
          <w:sz w:val="22"/>
          <w:szCs w:val="22"/>
        </w:rPr>
        <w:t>The Authority has no financial assets or liabilities denominated in foreign currencies and thus has no exposure to loss arising from movements in exchange rates.</w:t>
      </w:r>
    </w:p>
    <w:p w14:paraId="3BD0FEBE" w14:textId="77777777" w:rsidR="00CE1E3A" w:rsidRPr="00055140" w:rsidRDefault="00CE1E3A">
      <w:pPr>
        <w:rPr>
          <w:rFonts w:ascii="Arial" w:hAnsi="Arial" w:cs="Arial"/>
          <w:b/>
          <w:sz w:val="36"/>
          <w:lang w:val="en-GB"/>
        </w:rPr>
      </w:pPr>
    </w:p>
    <w:p w14:paraId="5BC98155" w14:textId="77777777" w:rsidR="007F24B0" w:rsidRPr="000D67C6" w:rsidRDefault="007D1C30" w:rsidP="007F24B0">
      <w:pPr>
        <w:pStyle w:val="Normal0"/>
        <w:spacing w:line="259" w:lineRule="auto"/>
        <w:rPr>
          <w:rFonts w:ascii="Arial" w:hAnsi="Arial" w:cs="Arial"/>
          <w:b/>
          <w:sz w:val="28"/>
          <w:lang w:val="en-GB"/>
        </w:rPr>
      </w:pPr>
      <w:r w:rsidRPr="000D67C6">
        <w:rPr>
          <w:rFonts w:ascii="Arial" w:hAnsi="Arial" w:cs="Arial"/>
          <w:b/>
          <w:sz w:val="28"/>
          <w:lang w:val="en-GB"/>
        </w:rPr>
        <w:t>Note 32</w:t>
      </w:r>
      <w:r w:rsidR="007F24B0" w:rsidRPr="000D67C6">
        <w:rPr>
          <w:rFonts w:ascii="Arial" w:hAnsi="Arial" w:cs="Arial"/>
          <w:b/>
          <w:sz w:val="28"/>
          <w:lang w:val="en-GB"/>
        </w:rPr>
        <w:t xml:space="preserve"> </w:t>
      </w:r>
      <w:r w:rsidR="004B0617" w:rsidRPr="000D67C6">
        <w:rPr>
          <w:rFonts w:ascii="Arial" w:hAnsi="Arial" w:cs="Arial"/>
          <w:b/>
          <w:sz w:val="28"/>
          <w:lang w:val="en-GB"/>
        </w:rPr>
        <w:t xml:space="preserve">- </w:t>
      </w:r>
      <w:r w:rsidRPr="000D67C6">
        <w:rPr>
          <w:rFonts w:ascii="Arial" w:hAnsi="Arial" w:cs="Arial"/>
          <w:b/>
          <w:sz w:val="28"/>
          <w:lang w:val="en-GB"/>
        </w:rPr>
        <w:t>Contingent Liability</w:t>
      </w:r>
    </w:p>
    <w:p w14:paraId="5C739090" w14:textId="77777777" w:rsidR="00CE1E3A" w:rsidRPr="00055140" w:rsidRDefault="00CE1E3A" w:rsidP="007F24B0">
      <w:pPr>
        <w:pStyle w:val="Normal0"/>
        <w:spacing w:line="259" w:lineRule="auto"/>
        <w:rPr>
          <w:rFonts w:ascii="Arial" w:hAnsi="Arial" w:cs="Arial"/>
          <w:b/>
          <w:sz w:val="22"/>
          <w:lang w:val="en-GB"/>
        </w:rPr>
      </w:pPr>
    </w:p>
    <w:p w14:paraId="587DD9B9" w14:textId="7AF4964D" w:rsidR="00B63B0F" w:rsidRPr="000D67C6" w:rsidRDefault="00CE1E3A" w:rsidP="00B20B18">
      <w:pPr>
        <w:pStyle w:val="NormalIndent"/>
        <w:ind w:left="0"/>
        <w:jc w:val="both"/>
        <w:rPr>
          <w:rFonts w:ascii="Arial" w:hAnsi="Arial" w:cs="Arial"/>
          <w:color w:val="000000"/>
          <w:sz w:val="22"/>
          <w:szCs w:val="22"/>
        </w:rPr>
      </w:pPr>
      <w:r w:rsidRPr="000D67C6">
        <w:rPr>
          <w:rFonts w:ascii="Arial" w:hAnsi="Arial" w:cs="Arial"/>
          <w:color w:val="000000"/>
          <w:sz w:val="22"/>
          <w:szCs w:val="22"/>
        </w:rPr>
        <w:t xml:space="preserve">In October 2018 the Pensions Ombudsman determination was received in respect of </w:t>
      </w:r>
      <w:r w:rsidR="00AA10E8" w:rsidRPr="000D67C6">
        <w:rPr>
          <w:rFonts w:ascii="Arial" w:hAnsi="Arial" w:cs="Arial"/>
          <w:color w:val="000000"/>
          <w:sz w:val="22"/>
          <w:szCs w:val="22"/>
        </w:rPr>
        <w:t xml:space="preserve">a number of </w:t>
      </w:r>
      <w:r w:rsidRPr="000D67C6">
        <w:rPr>
          <w:rFonts w:ascii="Arial" w:hAnsi="Arial" w:cs="Arial"/>
          <w:color w:val="000000"/>
          <w:sz w:val="22"/>
          <w:szCs w:val="22"/>
        </w:rPr>
        <w:t xml:space="preserve">complaints lodged in 2016.  The complaints were in relation to the treatment of allowances operating within the Service, and whether or not such allowances should be pensionable.  </w:t>
      </w:r>
      <w:r w:rsidR="00B20B18" w:rsidRPr="000D67C6">
        <w:rPr>
          <w:rFonts w:ascii="Arial" w:hAnsi="Arial" w:cs="Arial"/>
          <w:color w:val="000000"/>
          <w:sz w:val="22"/>
          <w:szCs w:val="22"/>
        </w:rPr>
        <w:t>The Pensions Ombudsman determined that 2 out of 4 allowances</w:t>
      </w:r>
      <w:r w:rsidR="00AA10E8" w:rsidRPr="000D67C6">
        <w:rPr>
          <w:rFonts w:ascii="Arial" w:hAnsi="Arial" w:cs="Arial"/>
          <w:color w:val="000000"/>
          <w:sz w:val="22"/>
          <w:szCs w:val="22"/>
        </w:rPr>
        <w:t xml:space="preserve"> in question</w:t>
      </w:r>
      <w:r w:rsidR="00B20B18" w:rsidRPr="000D67C6">
        <w:rPr>
          <w:rFonts w:ascii="Arial" w:hAnsi="Arial" w:cs="Arial"/>
          <w:color w:val="000000"/>
          <w:sz w:val="22"/>
          <w:szCs w:val="22"/>
        </w:rPr>
        <w:t xml:space="preserve"> were pensionable and 2 were not.</w:t>
      </w:r>
      <w:r w:rsidR="00B63B0F" w:rsidRPr="000D67C6">
        <w:rPr>
          <w:rFonts w:ascii="Arial" w:hAnsi="Arial" w:cs="Arial"/>
          <w:color w:val="000000"/>
          <w:sz w:val="22"/>
          <w:szCs w:val="22"/>
        </w:rPr>
        <w:t xml:space="preserve"> </w:t>
      </w:r>
      <w:r w:rsidR="00C6580C" w:rsidRPr="000D67C6">
        <w:rPr>
          <w:rFonts w:ascii="Arial" w:hAnsi="Arial" w:cs="Arial"/>
          <w:color w:val="000000"/>
          <w:sz w:val="22"/>
          <w:szCs w:val="22"/>
        </w:rPr>
        <w:t xml:space="preserve"> Although t</w:t>
      </w:r>
      <w:r w:rsidR="00B63B0F" w:rsidRPr="000D67C6">
        <w:rPr>
          <w:rFonts w:ascii="Arial" w:hAnsi="Arial" w:cs="Arial"/>
          <w:color w:val="000000"/>
          <w:sz w:val="22"/>
          <w:szCs w:val="22"/>
        </w:rPr>
        <w:t>he complaints relate</w:t>
      </w:r>
      <w:r w:rsidR="00C6580C" w:rsidRPr="000D67C6">
        <w:rPr>
          <w:rFonts w:ascii="Arial" w:hAnsi="Arial" w:cs="Arial"/>
          <w:color w:val="000000"/>
          <w:sz w:val="22"/>
          <w:szCs w:val="22"/>
        </w:rPr>
        <w:t>d</w:t>
      </w:r>
      <w:r w:rsidR="00B63B0F" w:rsidRPr="000D67C6">
        <w:rPr>
          <w:rFonts w:ascii="Arial" w:hAnsi="Arial" w:cs="Arial"/>
          <w:color w:val="000000"/>
          <w:sz w:val="22"/>
          <w:szCs w:val="22"/>
        </w:rPr>
        <w:t xml:space="preserve"> to 4 employees, the impact covered all employees working and receiving those allowances.</w:t>
      </w:r>
    </w:p>
    <w:p w14:paraId="6F16803F" w14:textId="77777777" w:rsidR="00B63B0F" w:rsidRPr="000D67C6" w:rsidRDefault="00B63B0F" w:rsidP="00B20B18">
      <w:pPr>
        <w:pStyle w:val="NormalIndent"/>
        <w:ind w:left="0"/>
        <w:jc w:val="both"/>
        <w:rPr>
          <w:rFonts w:ascii="Arial" w:hAnsi="Arial" w:cs="Arial"/>
          <w:color w:val="000000"/>
          <w:sz w:val="22"/>
          <w:szCs w:val="22"/>
        </w:rPr>
      </w:pPr>
    </w:p>
    <w:p w14:paraId="4D42DC42" w14:textId="6F2FFE87" w:rsidR="00B20B18" w:rsidRPr="000D67C6" w:rsidRDefault="00B20B18" w:rsidP="00B20B18">
      <w:pPr>
        <w:pStyle w:val="NormalIndent"/>
        <w:ind w:left="0"/>
        <w:jc w:val="both"/>
        <w:rPr>
          <w:rFonts w:ascii="Arial" w:hAnsi="Arial" w:cs="Arial"/>
          <w:color w:val="000000"/>
          <w:sz w:val="22"/>
          <w:szCs w:val="22"/>
        </w:rPr>
      </w:pPr>
      <w:r w:rsidRPr="000D67C6">
        <w:rPr>
          <w:rFonts w:ascii="Arial" w:hAnsi="Arial" w:cs="Arial"/>
          <w:color w:val="000000"/>
          <w:sz w:val="22"/>
          <w:szCs w:val="22"/>
        </w:rPr>
        <w:t xml:space="preserve">Since the </w:t>
      </w:r>
      <w:r w:rsidR="00B80B38" w:rsidRPr="000D67C6">
        <w:rPr>
          <w:rFonts w:ascii="Arial" w:hAnsi="Arial" w:cs="Arial"/>
          <w:color w:val="000000"/>
          <w:sz w:val="22"/>
          <w:szCs w:val="22"/>
        </w:rPr>
        <w:t>d</w:t>
      </w:r>
      <w:r w:rsidRPr="000D67C6">
        <w:rPr>
          <w:rFonts w:ascii="Arial" w:hAnsi="Arial" w:cs="Arial"/>
          <w:color w:val="000000"/>
          <w:sz w:val="22"/>
          <w:szCs w:val="22"/>
        </w:rPr>
        <w:t xml:space="preserve">etermination, the Service lodged an Appeal to the High Court against the Ombudsman’s </w:t>
      </w:r>
      <w:r w:rsidR="00B80B38" w:rsidRPr="000D67C6">
        <w:rPr>
          <w:rFonts w:ascii="Arial" w:hAnsi="Arial" w:cs="Arial"/>
          <w:color w:val="000000"/>
          <w:sz w:val="22"/>
          <w:szCs w:val="22"/>
        </w:rPr>
        <w:t>d</w:t>
      </w:r>
      <w:r w:rsidRPr="000D67C6">
        <w:rPr>
          <w:rFonts w:ascii="Arial" w:hAnsi="Arial" w:cs="Arial"/>
          <w:color w:val="000000"/>
          <w:sz w:val="22"/>
          <w:szCs w:val="22"/>
        </w:rPr>
        <w:t xml:space="preserve">etermination </w:t>
      </w:r>
      <w:r w:rsidR="00B80B38" w:rsidRPr="000D67C6">
        <w:rPr>
          <w:rFonts w:ascii="Arial" w:hAnsi="Arial" w:cs="Arial"/>
          <w:color w:val="000000"/>
          <w:sz w:val="22"/>
          <w:szCs w:val="22"/>
        </w:rPr>
        <w:t>which</w:t>
      </w:r>
      <w:r w:rsidRPr="000D67C6">
        <w:rPr>
          <w:rFonts w:ascii="Arial" w:hAnsi="Arial" w:cs="Arial"/>
          <w:color w:val="000000"/>
          <w:sz w:val="22"/>
          <w:szCs w:val="22"/>
        </w:rPr>
        <w:t xml:space="preserve"> included an application to stay the Ombudsman’s directions.  The </w:t>
      </w:r>
      <w:r w:rsidR="00B658E3" w:rsidRPr="000D67C6">
        <w:rPr>
          <w:rFonts w:ascii="Arial" w:hAnsi="Arial" w:cs="Arial"/>
          <w:color w:val="000000"/>
          <w:sz w:val="22"/>
          <w:szCs w:val="22"/>
        </w:rPr>
        <w:t xml:space="preserve">relevant </w:t>
      </w:r>
      <w:r w:rsidRPr="000D67C6">
        <w:rPr>
          <w:rFonts w:ascii="Arial" w:hAnsi="Arial" w:cs="Arial"/>
          <w:color w:val="000000"/>
          <w:sz w:val="22"/>
          <w:szCs w:val="22"/>
        </w:rPr>
        <w:t xml:space="preserve">Trade Union also lodged an Appeal.  </w:t>
      </w:r>
    </w:p>
    <w:p w14:paraId="1908B50F" w14:textId="77777777" w:rsidR="00C41D9D" w:rsidRPr="000D67C6" w:rsidRDefault="00C41D9D" w:rsidP="007D1C30">
      <w:pPr>
        <w:pStyle w:val="NormalIndent"/>
        <w:ind w:left="0"/>
        <w:jc w:val="both"/>
        <w:rPr>
          <w:rFonts w:ascii="Arial" w:hAnsi="Arial" w:cs="Arial"/>
          <w:color w:val="000000"/>
          <w:sz w:val="22"/>
          <w:szCs w:val="22"/>
        </w:rPr>
      </w:pPr>
    </w:p>
    <w:p w14:paraId="7E16B532" w14:textId="40D39D25" w:rsidR="00B42D84" w:rsidRPr="000D67C6" w:rsidRDefault="00C8565A" w:rsidP="007D1C30">
      <w:pPr>
        <w:pStyle w:val="NormalIndent"/>
        <w:ind w:left="0"/>
        <w:jc w:val="both"/>
        <w:rPr>
          <w:rFonts w:ascii="Arial" w:hAnsi="Arial" w:cs="Arial"/>
          <w:color w:val="000000"/>
          <w:sz w:val="22"/>
          <w:szCs w:val="22"/>
        </w:rPr>
      </w:pPr>
      <w:r w:rsidRPr="000D67C6">
        <w:rPr>
          <w:rFonts w:ascii="Arial" w:hAnsi="Arial" w:cs="Arial"/>
          <w:color w:val="000000"/>
          <w:sz w:val="22"/>
          <w:szCs w:val="22"/>
        </w:rPr>
        <w:t xml:space="preserve">In March 2019 the High Court issued a judgement </w:t>
      </w:r>
      <w:r w:rsidR="00B658E3" w:rsidRPr="000D67C6">
        <w:rPr>
          <w:rFonts w:ascii="Arial" w:hAnsi="Arial" w:cs="Arial"/>
          <w:color w:val="000000"/>
          <w:sz w:val="22"/>
          <w:szCs w:val="22"/>
        </w:rPr>
        <w:t xml:space="preserve">in relation to </w:t>
      </w:r>
      <w:r w:rsidR="003E47DB" w:rsidRPr="000D67C6">
        <w:rPr>
          <w:rFonts w:ascii="Arial" w:hAnsi="Arial" w:cs="Arial"/>
          <w:color w:val="000000"/>
          <w:sz w:val="22"/>
          <w:szCs w:val="22"/>
        </w:rPr>
        <w:t xml:space="preserve">the </w:t>
      </w:r>
      <w:r w:rsidRPr="000D67C6">
        <w:rPr>
          <w:rFonts w:ascii="Arial" w:hAnsi="Arial" w:cs="Arial"/>
          <w:color w:val="000000"/>
          <w:sz w:val="22"/>
          <w:szCs w:val="22"/>
        </w:rPr>
        <w:t xml:space="preserve">Appeals </w:t>
      </w:r>
      <w:r w:rsidR="005A1956" w:rsidRPr="000D67C6">
        <w:rPr>
          <w:rFonts w:ascii="Arial" w:hAnsi="Arial" w:cs="Arial"/>
          <w:color w:val="000000"/>
          <w:sz w:val="22"/>
          <w:szCs w:val="22"/>
        </w:rPr>
        <w:t xml:space="preserve">and </w:t>
      </w:r>
      <w:r w:rsidR="007D06D8" w:rsidRPr="000D67C6">
        <w:rPr>
          <w:rFonts w:ascii="Arial" w:hAnsi="Arial" w:cs="Arial"/>
          <w:color w:val="000000"/>
          <w:sz w:val="22"/>
          <w:szCs w:val="22"/>
        </w:rPr>
        <w:t xml:space="preserve">in it </w:t>
      </w:r>
      <w:r w:rsidR="005A1956" w:rsidRPr="000D67C6">
        <w:rPr>
          <w:rFonts w:ascii="Arial" w:hAnsi="Arial" w:cs="Arial"/>
          <w:color w:val="000000"/>
          <w:sz w:val="22"/>
          <w:szCs w:val="22"/>
        </w:rPr>
        <w:t xml:space="preserve">determined that </w:t>
      </w:r>
      <w:r w:rsidR="00B42D84" w:rsidRPr="000D67C6">
        <w:rPr>
          <w:rFonts w:ascii="Arial" w:hAnsi="Arial" w:cs="Arial"/>
          <w:color w:val="000000"/>
          <w:sz w:val="22"/>
          <w:szCs w:val="22"/>
        </w:rPr>
        <w:t xml:space="preserve">2 out of </w:t>
      </w:r>
      <w:r w:rsidR="007D06D8" w:rsidRPr="000D67C6">
        <w:rPr>
          <w:rFonts w:ascii="Arial" w:hAnsi="Arial" w:cs="Arial"/>
          <w:color w:val="000000"/>
          <w:sz w:val="22"/>
          <w:szCs w:val="22"/>
        </w:rPr>
        <w:t xml:space="preserve">the </w:t>
      </w:r>
      <w:r w:rsidR="00B42D84" w:rsidRPr="000D67C6">
        <w:rPr>
          <w:rFonts w:ascii="Arial" w:hAnsi="Arial" w:cs="Arial"/>
          <w:color w:val="000000"/>
          <w:sz w:val="22"/>
          <w:szCs w:val="22"/>
        </w:rPr>
        <w:t xml:space="preserve">4 allowances were pensionable, 1 was pensionable in specific circumstances, and 1 was not pensionable.  Since the judgement, the </w:t>
      </w:r>
      <w:r w:rsidR="00DA1DE5" w:rsidRPr="000D67C6">
        <w:rPr>
          <w:rFonts w:ascii="Arial" w:hAnsi="Arial" w:cs="Arial"/>
          <w:color w:val="000000"/>
          <w:sz w:val="22"/>
          <w:szCs w:val="22"/>
        </w:rPr>
        <w:t xml:space="preserve">Authority </w:t>
      </w:r>
      <w:r w:rsidR="00B42D84" w:rsidRPr="000D67C6">
        <w:rPr>
          <w:rFonts w:ascii="Arial" w:hAnsi="Arial" w:cs="Arial"/>
          <w:color w:val="000000"/>
          <w:sz w:val="22"/>
          <w:szCs w:val="22"/>
        </w:rPr>
        <w:t xml:space="preserve">has complied with the High Court’s directions in relation to the 3 named complainants. </w:t>
      </w:r>
      <w:r w:rsidR="008E0F45" w:rsidRPr="000D67C6">
        <w:rPr>
          <w:rFonts w:ascii="Arial" w:hAnsi="Arial" w:cs="Arial"/>
          <w:color w:val="000000"/>
          <w:sz w:val="22"/>
          <w:szCs w:val="22"/>
        </w:rPr>
        <w:t>However, t</w:t>
      </w:r>
      <w:r w:rsidR="00B42D84" w:rsidRPr="000D67C6">
        <w:rPr>
          <w:rFonts w:ascii="Arial" w:hAnsi="Arial" w:cs="Arial"/>
          <w:color w:val="000000"/>
          <w:sz w:val="22"/>
          <w:szCs w:val="22"/>
        </w:rPr>
        <w:t>he Service has sought legal guidance on the broader implementation of the judgement beyond those appearing in the litigation</w:t>
      </w:r>
      <w:r w:rsidR="003F6A38" w:rsidRPr="000D67C6">
        <w:rPr>
          <w:rFonts w:ascii="Arial" w:hAnsi="Arial" w:cs="Arial"/>
          <w:color w:val="000000"/>
          <w:sz w:val="22"/>
          <w:szCs w:val="22"/>
        </w:rPr>
        <w:t>,</w:t>
      </w:r>
      <w:r w:rsidR="00B42D84" w:rsidRPr="000D67C6">
        <w:rPr>
          <w:rFonts w:ascii="Arial" w:hAnsi="Arial" w:cs="Arial"/>
          <w:color w:val="000000"/>
          <w:sz w:val="22"/>
          <w:szCs w:val="22"/>
        </w:rPr>
        <w:t xml:space="preserve"> and until this is received is it not possible to reliably measure the level of </w:t>
      </w:r>
      <w:r w:rsidR="008E4C64" w:rsidRPr="000D67C6">
        <w:rPr>
          <w:rFonts w:ascii="Arial" w:hAnsi="Arial" w:cs="Arial"/>
          <w:color w:val="000000"/>
          <w:sz w:val="22"/>
          <w:szCs w:val="22"/>
        </w:rPr>
        <w:t xml:space="preserve">finance or </w:t>
      </w:r>
      <w:r w:rsidR="00B42D84" w:rsidRPr="000D67C6">
        <w:rPr>
          <w:rFonts w:ascii="Arial" w:hAnsi="Arial" w:cs="Arial"/>
          <w:color w:val="000000"/>
          <w:sz w:val="22"/>
          <w:szCs w:val="22"/>
        </w:rPr>
        <w:t>outflow of resources that will be required.</w:t>
      </w:r>
    </w:p>
    <w:p w14:paraId="48323A92" w14:textId="77777777" w:rsidR="009B221A" w:rsidRPr="000D67C6" w:rsidRDefault="009B221A" w:rsidP="007D1C30">
      <w:pPr>
        <w:pStyle w:val="NormalIndent"/>
        <w:ind w:left="0"/>
        <w:jc w:val="both"/>
        <w:rPr>
          <w:rFonts w:ascii="Arial" w:hAnsi="Arial" w:cs="Arial"/>
          <w:sz w:val="22"/>
          <w:szCs w:val="22"/>
        </w:rPr>
      </w:pPr>
    </w:p>
    <w:p w14:paraId="775DC462" w14:textId="791A9775" w:rsidR="005070B3" w:rsidRPr="000D67C6" w:rsidRDefault="005070B3">
      <w:pPr>
        <w:rPr>
          <w:rFonts w:ascii="Arial" w:eastAsia="Times New Roman" w:hAnsi="Arial" w:cs="Arial"/>
          <w:b/>
          <w:color w:val="000000"/>
          <w:sz w:val="22"/>
          <w:szCs w:val="22"/>
          <w:u w:val="single"/>
          <w:lang w:val="en-GB"/>
        </w:rPr>
      </w:pPr>
      <w:r w:rsidRPr="000D67C6">
        <w:rPr>
          <w:rFonts w:ascii="Arial" w:eastAsia="Times New Roman" w:hAnsi="Arial" w:cs="Arial"/>
          <w:b/>
          <w:color w:val="000000"/>
          <w:sz w:val="22"/>
          <w:szCs w:val="22"/>
          <w:u w:val="single"/>
          <w:lang w:val="en-GB"/>
        </w:rPr>
        <w:br w:type="page"/>
      </w:r>
    </w:p>
    <w:p w14:paraId="6343D172" w14:textId="77777777" w:rsidR="00C90FCD" w:rsidRPr="000D67C6" w:rsidRDefault="008F56B1" w:rsidP="00C90FCD">
      <w:pPr>
        <w:pStyle w:val="Normal0"/>
        <w:jc w:val="center"/>
        <w:rPr>
          <w:rFonts w:ascii="Arial" w:eastAsia="Times New Roman" w:hAnsi="Arial" w:cs="Arial"/>
          <w:b/>
          <w:color w:val="000000"/>
          <w:sz w:val="22"/>
          <w:szCs w:val="22"/>
          <w:u w:val="single"/>
          <w:lang w:val="en-GB"/>
        </w:rPr>
      </w:pPr>
      <w:r w:rsidRPr="000D67C6">
        <w:rPr>
          <w:rFonts w:ascii="Arial" w:eastAsia="Times New Roman" w:hAnsi="Arial" w:cs="Arial"/>
          <w:b/>
          <w:color w:val="000000"/>
          <w:sz w:val="22"/>
          <w:szCs w:val="22"/>
          <w:u w:val="single"/>
          <w:lang w:val="en-GB"/>
        </w:rPr>
        <w:t>FIRE</w:t>
      </w:r>
      <w:r w:rsidR="008F013B" w:rsidRPr="000D67C6">
        <w:rPr>
          <w:rFonts w:ascii="Arial" w:eastAsia="Times New Roman" w:hAnsi="Arial" w:cs="Arial"/>
          <w:b/>
          <w:color w:val="000000"/>
          <w:sz w:val="22"/>
          <w:szCs w:val="22"/>
          <w:u w:val="single"/>
          <w:lang w:val="en-GB"/>
        </w:rPr>
        <w:t>FIGHTERS PENSION FUND ACCOUNT</w:t>
      </w:r>
      <w:r w:rsidR="00F200E5" w:rsidRPr="000D67C6">
        <w:rPr>
          <w:rFonts w:ascii="Arial" w:eastAsia="Times New Roman" w:hAnsi="Arial" w:cs="Arial"/>
          <w:b/>
          <w:color w:val="000000"/>
          <w:sz w:val="22"/>
          <w:szCs w:val="22"/>
          <w:u w:val="single"/>
          <w:lang w:val="en-GB"/>
        </w:rPr>
        <w:t xml:space="preserve"> </w:t>
      </w:r>
      <w:r w:rsidR="008F013B" w:rsidRPr="000D67C6">
        <w:rPr>
          <w:rFonts w:ascii="Arial" w:eastAsia="Times New Roman" w:hAnsi="Arial" w:cs="Arial"/>
          <w:b/>
          <w:color w:val="000000"/>
          <w:sz w:val="22"/>
          <w:szCs w:val="22"/>
          <w:u w:val="single"/>
          <w:lang w:val="en-GB"/>
        </w:rPr>
        <w:t>FOR THE YEAR ENDED 31</w:t>
      </w:r>
      <w:r w:rsidR="008F013B" w:rsidRPr="000D67C6">
        <w:rPr>
          <w:rFonts w:ascii="Arial" w:eastAsia="Times New Roman" w:hAnsi="Arial" w:cs="Arial"/>
          <w:b/>
          <w:color w:val="000000"/>
          <w:sz w:val="22"/>
          <w:szCs w:val="22"/>
          <w:u w:val="single"/>
          <w:vertAlign w:val="superscript"/>
          <w:lang w:val="en-GB"/>
        </w:rPr>
        <w:t>ST</w:t>
      </w:r>
      <w:r w:rsidR="00C15A6E" w:rsidRPr="000D67C6">
        <w:rPr>
          <w:rFonts w:ascii="Arial" w:eastAsia="Times New Roman" w:hAnsi="Arial" w:cs="Arial"/>
          <w:b/>
          <w:color w:val="000000"/>
          <w:sz w:val="22"/>
          <w:szCs w:val="22"/>
          <w:u w:val="single"/>
          <w:lang w:val="en-GB"/>
        </w:rPr>
        <w:t xml:space="preserve"> MARCH 201</w:t>
      </w:r>
      <w:r w:rsidR="00C90FCD" w:rsidRPr="000D67C6">
        <w:rPr>
          <w:rFonts w:ascii="Arial" w:eastAsia="Times New Roman" w:hAnsi="Arial" w:cs="Arial"/>
          <w:b/>
          <w:color w:val="000000"/>
          <w:sz w:val="22"/>
          <w:szCs w:val="22"/>
          <w:u w:val="single"/>
          <w:lang w:val="en-GB"/>
        </w:rPr>
        <w:t>9</w:t>
      </w:r>
    </w:p>
    <w:p w14:paraId="3BC6E758" w14:textId="77777777" w:rsidR="008F013B" w:rsidRPr="000D67C6" w:rsidRDefault="008F013B" w:rsidP="008F013B">
      <w:pPr>
        <w:pStyle w:val="Normal0"/>
        <w:rPr>
          <w:rFonts w:ascii="Arial" w:eastAsia="Times New Roman" w:hAnsi="Arial" w:cs="Arial"/>
          <w:sz w:val="22"/>
          <w:szCs w:val="22"/>
          <w:lang w:val="en-GB"/>
        </w:rPr>
      </w:pPr>
    </w:p>
    <w:tbl>
      <w:tblPr>
        <w:tblW w:w="8681" w:type="dxa"/>
        <w:tblInd w:w="-108" w:type="dxa"/>
        <w:tblLook w:val="0000" w:firstRow="0" w:lastRow="0" w:firstColumn="0" w:lastColumn="0" w:noHBand="0" w:noVBand="0"/>
      </w:tblPr>
      <w:tblGrid>
        <w:gridCol w:w="1310"/>
        <w:gridCol w:w="5683"/>
        <w:gridCol w:w="1688"/>
      </w:tblGrid>
      <w:tr w:rsidR="00464E99" w:rsidRPr="000D67C6" w14:paraId="05E8C961" w14:textId="77777777" w:rsidTr="00F200E5">
        <w:tc>
          <w:tcPr>
            <w:tcW w:w="1310" w:type="dxa"/>
          </w:tcPr>
          <w:p w14:paraId="58A5E825" w14:textId="77777777" w:rsidR="008F013B" w:rsidRPr="000D67C6" w:rsidRDefault="00C15A6E" w:rsidP="00FE7C0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201</w:t>
            </w:r>
            <w:r w:rsidR="000F4679" w:rsidRPr="000D67C6">
              <w:rPr>
                <w:rFonts w:ascii="Arial" w:eastAsia="Times New Roman" w:hAnsi="Arial" w:cs="Arial"/>
                <w:b/>
                <w:bCs/>
                <w:sz w:val="22"/>
                <w:szCs w:val="22"/>
                <w:lang w:val="en-GB"/>
              </w:rPr>
              <w:t>7</w:t>
            </w:r>
            <w:r w:rsidRPr="000D67C6">
              <w:rPr>
                <w:rFonts w:ascii="Arial" w:eastAsia="Times New Roman" w:hAnsi="Arial" w:cs="Arial"/>
                <w:b/>
                <w:bCs/>
                <w:sz w:val="22"/>
                <w:szCs w:val="22"/>
                <w:lang w:val="en-GB"/>
              </w:rPr>
              <w:t>/1</w:t>
            </w:r>
            <w:r w:rsidR="000F4679" w:rsidRPr="000D67C6">
              <w:rPr>
                <w:rFonts w:ascii="Arial" w:eastAsia="Times New Roman" w:hAnsi="Arial" w:cs="Arial"/>
                <w:b/>
                <w:bCs/>
                <w:sz w:val="22"/>
                <w:szCs w:val="22"/>
                <w:lang w:val="en-GB"/>
              </w:rPr>
              <w:t>8</w:t>
            </w:r>
          </w:p>
        </w:tc>
        <w:tc>
          <w:tcPr>
            <w:tcW w:w="5683" w:type="dxa"/>
          </w:tcPr>
          <w:p w14:paraId="6FC7B0B9" w14:textId="77777777" w:rsidR="008F013B" w:rsidRPr="000D67C6" w:rsidRDefault="008F013B" w:rsidP="00FE7C09">
            <w:pPr>
              <w:pStyle w:val="Normal0"/>
              <w:jc w:val="right"/>
              <w:rPr>
                <w:rFonts w:ascii="Arial" w:eastAsia="Times New Roman" w:hAnsi="Arial" w:cs="Arial"/>
                <w:b/>
                <w:bCs/>
                <w:sz w:val="22"/>
                <w:szCs w:val="22"/>
                <w:lang w:val="en-GB"/>
              </w:rPr>
            </w:pPr>
          </w:p>
        </w:tc>
        <w:tc>
          <w:tcPr>
            <w:tcW w:w="1688" w:type="dxa"/>
          </w:tcPr>
          <w:p w14:paraId="5AD3AEE1" w14:textId="77777777" w:rsidR="008F013B" w:rsidRPr="000D67C6" w:rsidRDefault="00C15A6E" w:rsidP="00FE7C0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201</w:t>
            </w:r>
            <w:r w:rsidR="000F4679" w:rsidRPr="000D67C6">
              <w:rPr>
                <w:rFonts w:ascii="Arial" w:eastAsia="Times New Roman" w:hAnsi="Arial" w:cs="Arial"/>
                <w:b/>
                <w:bCs/>
                <w:sz w:val="22"/>
                <w:szCs w:val="22"/>
                <w:lang w:val="en-GB"/>
              </w:rPr>
              <w:t>8</w:t>
            </w:r>
            <w:r w:rsidRPr="000D67C6">
              <w:rPr>
                <w:rFonts w:ascii="Arial" w:eastAsia="Times New Roman" w:hAnsi="Arial" w:cs="Arial"/>
                <w:b/>
                <w:bCs/>
                <w:sz w:val="22"/>
                <w:szCs w:val="22"/>
                <w:lang w:val="en-GB"/>
              </w:rPr>
              <w:t>/1</w:t>
            </w:r>
            <w:r w:rsidR="000F4679" w:rsidRPr="000D67C6">
              <w:rPr>
                <w:rFonts w:ascii="Arial" w:eastAsia="Times New Roman" w:hAnsi="Arial" w:cs="Arial"/>
                <w:b/>
                <w:bCs/>
                <w:sz w:val="22"/>
                <w:szCs w:val="22"/>
                <w:lang w:val="en-GB"/>
              </w:rPr>
              <w:t>9</w:t>
            </w:r>
          </w:p>
        </w:tc>
      </w:tr>
      <w:tr w:rsidR="00464E99" w:rsidRPr="000D67C6" w14:paraId="573FFB61" w14:textId="77777777" w:rsidTr="00F200E5">
        <w:tc>
          <w:tcPr>
            <w:tcW w:w="1310" w:type="dxa"/>
          </w:tcPr>
          <w:p w14:paraId="4E824755" w14:textId="77777777" w:rsidR="008F013B" w:rsidRPr="000D67C6" w:rsidRDefault="008F013B" w:rsidP="00FE7C0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£000</w:t>
            </w:r>
          </w:p>
        </w:tc>
        <w:tc>
          <w:tcPr>
            <w:tcW w:w="5683" w:type="dxa"/>
          </w:tcPr>
          <w:p w14:paraId="76F77173" w14:textId="77777777" w:rsidR="008F013B" w:rsidRPr="000D67C6" w:rsidRDefault="008F013B" w:rsidP="00FE7C09">
            <w:pPr>
              <w:pStyle w:val="Normal0"/>
              <w:jc w:val="right"/>
              <w:rPr>
                <w:rFonts w:ascii="Arial" w:eastAsia="Times New Roman" w:hAnsi="Arial" w:cs="Arial"/>
                <w:b/>
                <w:bCs/>
                <w:sz w:val="22"/>
                <w:szCs w:val="22"/>
                <w:lang w:val="en-GB"/>
              </w:rPr>
            </w:pPr>
          </w:p>
        </w:tc>
        <w:tc>
          <w:tcPr>
            <w:tcW w:w="1688" w:type="dxa"/>
          </w:tcPr>
          <w:p w14:paraId="0DC8465C" w14:textId="77777777" w:rsidR="008F013B" w:rsidRPr="000D67C6" w:rsidRDefault="008F013B" w:rsidP="00FE7C0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£000</w:t>
            </w:r>
          </w:p>
        </w:tc>
      </w:tr>
      <w:tr w:rsidR="00464E99" w:rsidRPr="000D67C6" w14:paraId="24FEB3A7" w14:textId="77777777" w:rsidTr="004B0617">
        <w:trPr>
          <w:trHeight w:val="412"/>
        </w:trPr>
        <w:tc>
          <w:tcPr>
            <w:tcW w:w="1310" w:type="dxa"/>
            <w:vAlign w:val="center"/>
          </w:tcPr>
          <w:p w14:paraId="4C9BAEC6" w14:textId="77777777" w:rsidR="008F013B" w:rsidRPr="000D67C6" w:rsidRDefault="008F013B" w:rsidP="008F013B">
            <w:pPr>
              <w:pStyle w:val="Normal0"/>
              <w:jc w:val="right"/>
              <w:rPr>
                <w:rFonts w:ascii="Arial" w:eastAsia="Times New Roman" w:hAnsi="Arial" w:cs="Arial"/>
                <w:sz w:val="22"/>
                <w:szCs w:val="22"/>
                <w:lang w:val="en-GB"/>
              </w:rPr>
            </w:pPr>
          </w:p>
        </w:tc>
        <w:tc>
          <w:tcPr>
            <w:tcW w:w="5683" w:type="dxa"/>
            <w:vAlign w:val="center"/>
          </w:tcPr>
          <w:p w14:paraId="0B8CC969" w14:textId="77777777" w:rsidR="008F013B" w:rsidRPr="000D67C6" w:rsidRDefault="00F200E5" w:rsidP="008F013B">
            <w:pPr>
              <w:pStyle w:val="Normal0"/>
              <w:rPr>
                <w:rFonts w:ascii="Arial" w:eastAsia="Times New Roman" w:hAnsi="Arial" w:cs="Arial"/>
                <w:b/>
                <w:sz w:val="22"/>
                <w:szCs w:val="22"/>
                <w:lang w:val="en-GB"/>
              </w:rPr>
            </w:pPr>
            <w:r w:rsidRPr="000D67C6">
              <w:rPr>
                <w:rFonts w:ascii="Arial" w:eastAsia="Times New Roman" w:hAnsi="Arial" w:cs="Arial"/>
                <w:b/>
                <w:sz w:val="22"/>
                <w:szCs w:val="22"/>
                <w:lang w:val="en-GB"/>
              </w:rPr>
              <w:t xml:space="preserve">  </w:t>
            </w:r>
            <w:r w:rsidR="008F013B" w:rsidRPr="000D67C6">
              <w:rPr>
                <w:rFonts w:ascii="Arial" w:eastAsia="Times New Roman" w:hAnsi="Arial" w:cs="Arial"/>
                <w:b/>
                <w:sz w:val="22"/>
                <w:szCs w:val="22"/>
                <w:lang w:val="en-GB"/>
              </w:rPr>
              <w:t xml:space="preserve">Contributions </w:t>
            </w:r>
            <w:r w:rsidRPr="000D67C6">
              <w:rPr>
                <w:rFonts w:ascii="Arial" w:eastAsia="Times New Roman" w:hAnsi="Arial" w:cs="Arial"/>
                <w:b/>
                <w:sz w:val="22"/>
                <w:szCs w:val="22"/>
                <w:lang w:val="en-GB"/>
              </w:rPr>
              <w:t>R</w:t>
            </w:r>
            <w:r w:rsidR="008F013B" w:rsidRPr="000D67C6">
              <w:rPr>
                <w:rFonts w:ascii="Arial" w:eastAsia="Times New Roman" w:hAnsi="Arial" w:cs="Arial"/>
                <w:b/>
                <w:sz w:val="22"/>
                <w:szCs w:val="22"/>
                <w:lang w:val="en-GB"/>
              </w:rPr>
              <w:t>eceivable:</w:t>
            </w:r>
          </w:p>
        </w:tc>
        <w:tc>
          <w:tcPr>
            <w:tcW w:w="1688" w:type="dxa"/>
            <w:vAlign w:val="center"/>
          </w:tcPr>
          <w:p w14:paraId="33176EB4" w14:textId="77777777" w:rsidR="008F013B" w:rsidRPr="000D67C6" w:rsidRDefault="008F013B" w:rsidP="008F013B">
            <w:pPr>
              <w:pStyle w:val="Normal0"/>
              <w:rPr>
                <w:rFonts w:ascii="Arial" w:eastAsia="Times New Roman" w:hAnsi="Arial" w:cs="Arial"/>
                <w:sz w:val="22"/>
                <w:szCs w:val="22"/>
                <w:lang w:val="en-GB"/>
              </w:rPr>
            </w:pPr>
          </w:p>
        </w:tc>
      </w:tr>
      <w:tr w:rsidR="00464E99" w:rsidRPr="000D67C6" w14:paraId="2F3B0A99" w14:textId="77777777" w:rsidTr="004B0617">
        <w:tc>
          <w:tcPr>
            <w:tcW w:w="1310" w:type="dxa"/>
            <w:vAlign w:val="center"/>
          </w:tcPr>
          <w:p w14:paraId="5A3ED35A" w14:textId="77777777" w:rsidR="008F013B" w:rsidRPr="000D67C6" w:rsidRDefault="008F013B" w:rsidP="008F013B">
            <w:pPr>
              <w:pStyle w:val="Normal0"/>
              <w:jc w:val="right"/>
              <w:rPr>
                <w:rFonts w:ascii="Arial" w:eastAsia="Times New Roman" w:hAnsi="Arial" w:cs="Arial"/>
                <w:sz w:val="22"/>
                <w:szCs w:val="22"/>
                <w:lang w:val="en-GB"/>
              </w:rPr>
            </w:pPr>
          </w:p>
        </w:tc>
        <w:tc>
          <w:tcPr>
            <w:tcW w:w="5683" w:type="dxa"/>
            <w:vAlign w:val="center"/>
          </w:tcPr>
          <w:p w14:paraId="373EFAB0" w14:textId="77777777" w:rsidR="008F013B" w:rsidRPr="000D67C6" w:rsidRDefault="00F200E5" w:rsidP="008F013B">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w:t>
            </w:r>
            <w:r w:rsidR="008F013B" w:rsidRPr="000D67C6">
              <w:rPr>
                <w:rFonts w:ascii="Arial" w:eastAsia="Times New Roman" w:hAnsi="Arial" w:cs="Arial"/>
                <w:sz w:val="22"/>
                <w:szCs w:val="22"/>
                <w:lang w:val="en-GB"/>
              </w:rPr>
              <w:t>Employer:</w:t>
            </w:r>
          </w:p>
        </w:tc>
        <w:tc>
          <w:tcPr>
            <w:tcW w:w="1688" w:type="dxa"/>
            <w:vAlign w:val="center"/>
          </w:tcPr>
          <w:p w14:paraId="0624075C" w14:textId="77777777" w:rsidR="008F013B" w:rsidRPr="000D67C6" w:rsidRDefault="008F013B" w:rsidP="008F013B">
            <w:pPr>
              <w:pStyle w:val="Normal0"/>
              <w:rPr>
                <w:rFonts w:ascii="Arial" w:eastAsia="Times New Roman" w:hAnsi="Arial" w:cs="Arial"/>
                <w:sz w:val="22"/>
                <w:szCs w:val="22"/>
                <w:lang w:val="en-GB"/>
              </w:rPr>
            </w:pPr>
          </w:p>
        </w:tc>
      </w:tr>
      <w:tr w:rsidR="000F4679" w:rsidRPr="000D67C6" w14:paraId="5E1194C1" w14:textId="77777777" w:rsidTr="004B0617">
        <w:tc>
          <w:tcPr>
            <w:tcW w:w="1310" w:type="dxa"/>
            <w:vAlign w:val="center"/>
          </w:tcPr>
          <w:p w14:paraId="07124F93"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(3,241)</w:t>
            </w:r>
          </w:p>
        </w:tc>
        <w:tc>
          <w:tcPr>
            <w:tcW w:w="5683" w:type="dxa"/>
            <w:vAlign w:val="center"/>
          </w:tcPr>
          <w:p w14:paraId="64837286"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Normal </w:t>
            </w:r>
          </w:p>
        </w:tc>
        <w:tc>
          <w:tcPr>
            <w:tcW w:w="1688" w:type="dxa"/>
            <w:vAlign w:val="center"/>
          </w:tcPr>
          <w:p w14:paraId="21CD5A65" w14:textId="77777777" w:rsidR="000F4679" w:rsidRPr="000D67C6" w:rsidRDefault="00195136"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(3,168)</w:t>
            </w:r>
          </w:p>
        </w:tc>
      </w:tr>
      <w:tr w:rsidR="000F4679" w:rsidRPr="000D67C6" w14:paraId="76DB1CCB" w14:textId="77777777" w:rsidTr="004B0617">
        <w:tc>
          <w:tcPr>
            <w:tcW w:w="1310" w:type="dxa"/>
            <w:vAlign w:val="center"/>
          </w:tcPr>
          <w:p w14:paraId="63849590"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(484)</w:t>
            </w:r>
          </w:p>
        </w:tc>
        <w:tc>
          <w:tcPr>
            <w:tcW w:w="5683" w:type="dxa"/>
            <w:vAlign w:val="center"/>
          </w:tcPr>
          <w:p w14:paraId="706AB344"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Early retirements (ill health)</w:t>
            </w:r>
          </w:p>
        </w:tc>
        <w:tc>
          <w:tcPr>
            <w:tcW w:w="1688" w:type="dxa"/>
            <w:vAlign w:val="center"/>
          </w:tcPr>
          <w:p w14:paraId="486C1E81" w14:textId="77777777" w:rsidR="000F4679" w:rsidRPr="000D67C6" w:rsidRDefault="00C019FD"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(49</w:t>
            </w:r>
            <w:r w:rsidR="00230B68" w:rsidRPr="000D67C6">
              <w:rPr>
                <w:rFonts w:ascii="Arial" w:eastAsia="Times New Roman" w:hAnsi="Arial" w:cs="Arial"/>
                <w:sz w:val="22"/>
                <w:szCs w:val="22"/>
                <w:lang w:val="en-GB"/>
              </w:rPr>
              <w:t>8</w:t>
            </w:r>
            <w:r w:rsidRPr="000D67C6">
              <w:rPr>
                <w:rFonts w:ascii="Arial" w:eastAsia="Times New Roman" w:hAnsi="Arial" w:cs="Arial"/>
                <w:sz w:val="22"/>
                <w:szCs w:val="22"/>
                <w:lang w:val="en-GB"/>
              </w:rPr>
              <w:t>)</w:t>
            </w:r>
          </w:p>
        </w:tc>
      </w:tr>
      <w:tr w:rsidR="000F4679" w:rsidRPr="000D67C6" w14:paraId="476C5149" w14:textId="77777777" w:rsidTr="004B0617">
        <w:tc>
          <w:tcPr>
            <w:tcW w:w="1310" w:type="dxa"/>
            <w:tcBorders>
              <w:bottom w:val="single" w:sz="4" w:space="0" w:color="auto"/>
            </w:tcBorders>
            <w:vAlign w:val="center"/>
          </w:tcPr>
          <w:p w14:paraId="4EEC8118"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(2,519)</w:t>
            </w:r>
          </w:p>
        </w:tc>
        <w:tc>
          <w:tcPr>
            <w:tcW w:w="5683" w:type="dxa"/>
            <w:vAlign w:val="center"/>
          </w:tcPr>
          <w:p w14:paraId="62215E8B"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Members</w:t>
            </w:r>
          </w:p>
        </w:tc>
        <w:tc>
          <w:tcPr>
            <w:tcW w:w="1688" w:type="dxa"/>
            <w:tcBorders>
              <w:bottom w:val="single" w:sz="4" w:space="0" w:color="auto"/>
            </w:tcBorders>
            <w:vAlign w:val="center"/>
          </w:tcPr>
          <w:p w14:paraId="3534D8C2" w14:textId="77777777" w:rsidR="000F4679" w:rsidRPr="000D67C6" w:rsidRDefault="00C019FD"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(2,560)</w:t>
            </w:r>
          </w:p>
        </w:tc>
      </w:tr>
      <w:tr w:rsidR="000F4679" w:rsidRPr="000D67C6" w14:paraId="43391C40" w14:textId="77777777" w:rsidTr="007743F1">
        <w:tc>
          <w:tcPr>
            <w:tcW w:w="1310" w:type="dxa"/>
            <w:tcBorders>
              <w:top w:val="single" w:sz="4" w:space="0" w:color="auto"/>
            </w:tcBorders>
            <w:vAlign w:val="center"/>
          </w:tcPr>
          <w:p w14:paraId="217729F3" w14:textId="77777777" w:rsidR="000F4679" w:rsidRPr="000D67C6" w:rsidRDefault="000F4679"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(6,244)</w:t>
            </w:r>
          </w:p>
        </w:tc>
        <w:tc>
          <w:tcPr>
            <w:tcW w:w="5683" w:type="dxa"/>
            <w:vAlign w:val="center"/>
          </w:tcPr>
          <w:p w14:paraId="73910D3D" w14:textId="77777777" w:rsidR="000F4679" w:rsidRPr="000D67C6" w:rsidRDefault="000F4679" w:rsidP="000F4679">
            <w:pPr>
              <w:pStyle w:val="Normal0"/>
              <w:rPr>
                <w:rFonts w:ascii="Arial" w:eastAsia="Times New Roman" w:hAnsi="Arial" w:cs="Arial"/>
                <w:bCs/>
                <w:sz w:val="22"/>
                <w:szCs w:val="22"/>
                <w:lang w:val="en-GB"/>
              </w:rPr>
            </w:pPr>
          </w:p>
        </w:tc>
        <w:tc>
          <w:tcPr>
            <w:tcW w:w="1688" w:type="dxa"/>
            <w:tcBorders>
              <w:top w:val="single" w:sz="4" w:space="0" w:color="auto"/>
            </w:tcBorders>
            <w:vAlign w:val="center"/>
          </w:tcPr>
          <w:p w14:paraId="1EB5E5AF" w14:textId="77777777" w:rsidR="000F4679" w:rsidRPr="000D67C6" w:rsidRDefault="00C019FD"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(6,226)</w:t>
            </w:r>
          </w:p>
        </w:tc>
      </w:tr>
      <w:tr w:rsidR="000F4679" w:rsidRPr="000D67C6" w14:paraId="5E18ECF5" w14:textId="77777777" w:rsidTr="004B0617">
        <w:tc>
          <w:tcPr>
            <w:tcW w:w="1310" w:type="dxa"/>
            <w:tcBorders>
              <w:top w:val="single" w:sz="4" w:space="0" w:color="auto"/>
            </w:tcBorders>
            <w:vAlign w:val="center"/>
          </w:tcPr>
          <w:p w14:paraId="00FDAD81" w14:textId="77777777" w:rsidR="000F4679" w:rsidRPr="000D67C6" w:rsidRDefault="000F4679" w:rsidP="000F4679">
            <w:pPr>
              <w:pStyle w:val="Normal0"/>
              <w:jc w:val="right"/>
              <w:rPr>
                <w:rFonts w:ascii="Arial" w:eastAsia="Times New Roman" w:hAnsi="Arial" w:cs="Arial"/>
                <w:b/>
                <w:bCs/>
                <w:sz w:val="22"/>
                <w:szCs w:val="22"/>
                <w:lang w:val="en-GB"/>
              </w:rPr>
            </w:pPr>
          </w:p>
        </w:tc>
        <w:tc>
          <w:tcPr>
            <w:tcW w:w="5683" w:type="dxa"/>
            <w:vAlign w:val="center"/>
          </w:tcPr>
          <w:p w14:paraId="1EF5D0B5" w14:textId="77777777" w:rsidR="000F4679" w:rsidRPr="000D67C6" w:rsidRDefault="000F4679" w:rsidP="000F4679">
            <w:pPr>
              <w:pStyle w:val="Normal0"/>
              <w:rPr>
                <w:rFonts w:ascii="Arial" w:eastAsia="Times New Roman" w:hAnsi="Arial" w:cs="Arial"/>
                <w:b/>
                <w:bCs/>
                <w:sz w:val="22"/>
                <w:szCs w:val="22"/>
                <w:lang w:val="en-GB"/>
              </w:rPr>
            </w:pPr>
          </w:p>
        </w:tc>
        <w:tc>
          <w:tcPr>
            <w:tcW w:w="1688" w:type="dxa"/>
            <w:tcBorders>
              <w:top w:val="single" w:sz="4" w:space="0" w:color="auto"/>
            </w:tcBorders>
            <w:vAlign w:val="center"/>
          </w:tcPr>
          <w:p w14:paraId="575474FD" w14:textId="77777777" w:rsidR="000F4679" w:rsidRPr="000D67C6" w:rsidRDefault="000F4679" w:rsidP="000F4679">
            <w:pPr>
              <w:pStyle w:val="Normal0"/>
              <w:jc w:val="right"/>
              <w:rPr>
                <w:rFonts w:ascii="Arial" w:eastAsia="Times New Roman" w:hAnsi="Arial" w:cs="Arial"/>
                <w:b/>
                <w:bCs/>
                <w:sz w:val="22"/>
                <w:szCs w:val="22"/>
                <w:lang w:val="en-GB"/>
              </w:rPr>
            </w:pPr>
          </w:p>
        </w:tc>
      </w:tr>
      <w:tr w:rsidR="000F4679" w:rsidRPr="000D67C6" w14:paraId="5E3B4290" w14:textId="77777777" w:rsidTr="004B0617">
        <w:tc>
          <w:tcPr>
            <w:tcW w:w="1310" w:type="dxa"/>
            <w:tcBorders>
              <w:bottom w:val="single" w:sz="4" w:space="0" w:color="auto"/>
            </w:tcBorders>
            <w:vAlign w:val="center"/>
          </w:tcPr>
          <w:p w14:paraId="7D474978"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(109)</w:t>
            </w:r>
          </w:p>
        </w:tc>
        <w:tc>
          <w:tcPr>
            <w:tcW w:w="5683" w:type="dxa"/>
            <w:vAlign w:val="center"/>
          </w:tcPr>
          <w:p w14:paraId="32DA71F6"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Individual Transfers in from other schemes</w:t>
            </w:r>
          </w:p>
        </w:tc>
        <w:tc>
          <w:tcPr>
            <w:tcW w:w="1688" w:type="dxa"/>
            <w:tcBorders>
              <w:bottom w:val="single" w:sz="4" w:space="0" w:color="auto"/>
            </w:tcBorders>
            <w:vAlign w:val="center"/>
          </w:tcPr>
          <w:p w14:paraId="0152BD78" w14:textId="77777777" w:rsidR="000F4679" w:rsidRPr="000D67C6" w:rsidRDefault="00C019FD"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(157)</w:t>
            </w:r>
          </w:p>
        </w:tc>
      </w:tr>
      <w:tr w:rsidR="000F4679" w:rsidRPr="000D67C6" w14:paraId="243A49C4" w14:textId="77777777" w:rsidTr="006B013F">
        <w:trPr>
          <w:trHeight w:val="315"/>
        </w:trPr>
        <w:tc>
          <w:tcPr>
            <w:tcW w:w="1310" w:type="dxa"/>
            <w:tcBorders>
              <w:top w:val="single" w:sz="4" w:space="0" w:color="auto"/>
            </w:tcBorders>
            <w:vAlign w:val="center"/>
          </w:tcPr>
          <w:p w14:paraId="22758155" w14:textId="77777777" w:rsidR="000F4679" w:rsidRPr="000D67C6" w:rsidRDefault="000F4679" w:rsidP="00C019FD">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(6,353)</w:t>
            </w:r>
          </w:p>
        </w:tc>
        <w:tc>
          <w:tcPr>
            <w:tcW w:w="5683" w:type="dxa"/>
            <w:vAlign w:val="center"/>
          </w:tcPr>
          <w:p w14:paraId="10EF51DB" w14:textId="77777777" w:rsidR="000F4679" w:rsidRPr="000D67C6" w:rsidRDefault="000F4679" w:rsidP="000F4679">
            <w:pPr>
              <w:pStyle w:val="Normal0"/>
              <w:rPr>
                <w:rFonts w:ascii="Arial" w:eastAsia="Times New Roman" w:hAnsi="Arial" w:cs="Arial"/>
                <w:b/>
                <w:bCs/>
                <w:sz w:val="22"/>
                <w:szCs w:val="22"/>
                <w:lang w:val="en-GB"/>
              </w:rPr>
            </w:pPr>
          </w:p>
        </w:tc>
        <w:tc>
          <w:tcPr>
            <w:tcW w:w="1688" w:type="dxa"/>
            <w:tcBorders>
              <w:top w:val="single" w:sz="4" w:space="0" w:color="auto"/>
            </w:tcBorders>
            <w:vAlign w:val="center"/>
          </w:tcPr>
          <w:p w14:paraId="4823E5F9" w14:textId="77777777" w:rsidR="000F4679" w:rsidRPr="000D67C6" w:rsidRDefault="00C019FD"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(6,38</w:t>
            </w:r>
            <w:r w:rsidR="00824B8A" w:rsidRPr="000D67C6">
              <w:rPr>
                <w:rFonts w:ascii="Arial" w:eastAsia="Times New Roman" w:hAnsi="Arial" w:cs="Arial"/>
                <w:b/>
                <w:bCs/>
                <w:sz w:val="22"/>
                <w:szCs w:val="22"/>
                <w:lang w:val="en-GB"/>
              </w:rPr>
              <w:t>3</w:t>
            </w:r>
            <w:r w:rsidRPr="000D67C6">
              <w:rPr>
                <w:rFonts w:ascii="Arial" w:eastAsia="Times New Roman" w:hAnsi="Arial" w:cs="Arial"/>
                <w:b/>
                <w:bCs/>
                <w:sz w:val="22"/>
                <w:szCs w:val="22"/>
                <w:lang w:val="en-GB"/>
              </w:rPr>
              <w:t>)</w:t>
            </w:r>
          </w:p>
        </w:tc>
      </w:tr>
      <w:tr w:rsidR="000F4679" w:rsidRPr="000D67C6" w14:paraId="4F326F45" w14:textId="77777777" w:rsidTr="004B0617">
        <w:trPr>
          <w:trHeight w:val="379"/>
        </w:trPr>
        <w:tc>
          <w:tcPr>
            <w:tcW w:w="1310" w:type="dxa"/>
            <w:vAlign w:val="center"/>
          </w:tcPr>
          <w:p w14:paraId="6B2CA28B" w14:textId="77777777" w:rsidR="000F4679" w:rsidRPr="000D67C6" w:rsidRDefault="000F4679" w:rsidP="000F4679">
            <w:pPr>
              <w:pStyle w:val="Normal0"/>
              <w:jc w:val="right"/>
              <w:rPr>
                <w:rFonts w:ascii="Arial" w:eastAsia="Times New Roman" w:hAnsi="Arial" w:cs="Arial"/>
                <w:sz w:val="22"/>
                <w:szCs w:val="22"/>
                <w:lang w:val="en-GB"/>
              </w:rPr>
            </w:pPr>
          </w:p>
        </w:tc>
        <w:tc>
          <w:tcPr>
            <w:tcW w:w="5683" w:type="dxa"/>
            <w:vAlign w:val="center"/>
          </w:tcPr>
          <w:p w14:paraId="2A648D22" w14:textId="77777777" w:rsidR="000F4679" w:rsidRPr="000D67C6" w:rsidRDefault="000F4679" w:rsidP="000F4679">
            <w:pPr>
              <w:pStyle w:val="Normal0"/>
              <w:rPr>
                <w:rFonts w:ascii="Arial" w:eastAsia="Times New Roman" w:hAnsi="Arial" w:cs="Arial"/>
                <w:b/>
                <w:sz w:val="22"/>
                <w:szCs w:val="22"/>
                <w:lang w:val="en-GB"/>
              </w:rPr>
            </w:pPr>
            <w:r w:rsidRPr="000D67C6">
              <w:rPr>
                <w:rFonts w:ascii="Arial" w:eastAsia="Times New Roman" w:hAnsi="Arial" w:cs="Arial"/>
                <w:b/>
                <w:sz w:val="22"/>
                <w:szCs w:val="22"/>
                <w:lang w:val="en-GB"/>
              </w:rPr>
              <w:t xml:space="preserve">  Benefits Payable:</w:t>
            </w:r>
          </w:p>
        </w:tc>
        <w:tc>
          <w:tcPr>
            <w:tcW w:w="1688" w:type="dxa"/>
            <w:vAlign w:val="center"/>
          </w:tcPr>
          <w:p w14:paraId="6E8714B6" w14:textId="77777777" w:rsidR="000F4679" w:rsidRPr="000D67C6" w:rsidRDefault="000F4679" w:rsidP="000F4679">
            <w:pPr>
              <w:pStyle w:val="Normal0"/>
              <w:jc w:val="right"/>
              <w:rPr>
                <w:rFonts w:ascii="Arial" w:eastAsia="Times New Roman" w:hAnsi="Arial" w:cs="Arial"/>
                <w:sz w:val="22"/>
                <w:szCs w:val="22"/>
                <w:lang w:val="en-GB"/>
              </w:rPr>
            </w:pPr>
          </w:p>
        </w:tc>
      </w:tr>
      <w:tr w:rsidR="000F4679" w:rsidRPr="000D67C6" w14:paraId="6F4725D7" w14:textId="77777777" w:rsidTr="004B0617">
        <w:tc>
          <w:tcPr>
            <w:tcW w:w="1310" w:type="dxa"/>
            <w:vAlign w:val="center"/>
          </w:tcPr>
          <w:p w14:paraId="5CE38C4C"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10,752</w:t>
            </w:r>
          </w:p>
        </w:tc>
        <w:tc>
          <w:tcPr>
            <w:tcW w:w="5683" w:type="dxa"/>
            <w:vAlign w:val="center"/>
          </w:tcPr>
          <w:p w14:paraId="208A1E79"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Pension </w:t>
            </w:r>
          </w:p>
        </w:tc>
        <w:tc>
          <w:tcPr>
            <w:tcW w:w="1688" w:type="dxa"/>
            <w:vAlign w:val="center"/>
          </w:tcPr>
          <w:p w14:paraId="6DBFB9C8" w14:textId="77777777" w:rsidR="000F4679" w:rsidRPr="000D67C6" w:rsidRDefault="00C019FD"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11,453</w:t>
            </w:r>
          </w:p>
        </w:tc>
      </w:tr>
      <w:tr w:rsidR="000F4679" w:rsidRPr="000D67C6" w14:paraId="0F70A8B8" w14:textId="77777777" w:rsidTr="004B0617">
        <w:tc>
          <w:tcPr>
            <w:tcW w:w="1310" w:type="dxa"/>
            <w:vAlign w:val="center"/>
          </w:tcPr>
          <w:p w14:paraId="1783906F"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3,203</w:t>
            </w:r>
          </w:p>
        </w:tc>
        <w:tc>
          <w:tcPr>
            <w:tcW w:w="5683" w:type="dxa"/>
            <w:vAlign w:val="center"/>
          </w:tcPr>
          <w:p w14:paraId="2D48B862"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Commutations and lump-sum retirement benefits</w:t>
            </w:r>
          </w:p>
        </w:tc>
        <w:tc>
          <w:tcPr>
            <w:tcW w:w="1688" w:type="dxa"/>
            <w:vAlign w:val="center"/>
          </w:tcPr>
          <w:p w14:paraId="59D65B12" w14:textId="77777777" w:rsidR="000F4679" w:rsidRPr="000D67C6" w:rsidRDefault="00926BA1"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1,955</w:t>
            </w:r>
          </w:p>
        </w:tc>
      </w:tr>
      <w:tr w:rsidR="000F4679" w:rsidRPr="000D67C6" w14:paraId="5A3FCF71" w14:textId="77777777" w:rsidTr="004B0617">
        <w:tc>
          <w:tcPr>
            <w:tcW w:w="1310" w:type="dxa"/>
            <w:vAlign w:val="center"/>
          </w:tcPr>
          <w:p w14:paraId="700552E3" w14:textId="77777777" w:rsidR="000F4679" w:rsidRPr="000D67C6" w:rsidRDefault="00347DC8"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31</w:t>
            </w:r>
          </w:p>
        </w:tc>
        <w:tc>
          <w:tcPr>
            <w:tcW w:w="5683" w:type="dxa"/>
            <w:vAlign w:val="center"/>
          </w:tcPr>
          <w:p w14:paraId="1749C993"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w:t>
            </w:r>
            <w:r w:rsidR="00347DC8" w:rsidRPr="000D67C6">
              <w:rPr>
                <w:rFonts w:ascii="Arial" w:eastAsia="Times New Roman" w:hAnsi="Arial" w:cs="Arial"/>
                <w:bCs/>
                <w:sz w:val="22"/>
                <w:szCs w:val="22"/>
                <w:lang w:val="en-GB"/>
              </w:rPr>
              <w:t xml:space="preserve"> - Lump sum death</w:t>
            </w:r>
          </w:p>
        </w:tc>
        <w:tc>
          <w:tcPr>
            <w:tcW w:w="1688" w:type="dxa"/>
            <w:vAlign w:val="center"/>
          </w:tcPr>
          <w:p w14:paraId="04C6D0AA" w14:textId="77777777" w:rsidR="000F4679" w:rsidRPr="000D67C6" w:rsidRDefault="00926BA1"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0F4679" w:rsidRPr="000D67C6" w14:paraId="25D58808" w14:textId="77777777" w:rsidTr="004B0617">
        <w:tc>
          <w:tcPr>
            <w:tcW w:w="1310" w:type="dxa"/>
            <w:tcBorders>
              <w:top w:val="single" w:sz="4" w:space="0" w:color="auto"/>
              <w:bottom w:val="single" w:sz="4" w:space="0" w:color="auto"/>
            </w:tcBorders>
            <w:vAlign w:val="center"/>
          </w:tcPr>
          <w:p w14:paraId="4D2FB7D1" w14:textId="77777777" w:rsidR="000F4679" w:rsidRPr="000D67C6" w:rsidRDefault="000F4679" w:rsidP="00C019FD">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13,986</w:t>
            </w:r>
          </w:p>
        </w:tc>
        <w:tc>
          <w:tcPr>
            <w:tcW w:w="5683" w:type="dxa"/>
            <w:vAlign w:val="center"/>
          </w:tcPr>
          <w:p w14:paraId="3AABA8A3" w14:textId="77777777" w:rsidR="000F4679" w:rsidRPr="000D67C6" w:rsidRDefault="000F4679" w:rsidP="000F4679">
            <w:pPr>
              <w:pStyle w:val="Normal0"/>
              <w:rPr>
                <w:rFonts w:ascii="Arial" w:eastAsia="Times New Roman" w:hAnsi="Arial" w:cs="Arial"/>
                <w:bCs/>
                <w:sz w:val="22"/>
                <w:szCs w:val="22"/>
                <w:lang w:val="en-GB"/>
              </w:rPr>
            </w:pPr>
          </w:p>
        </w:tc>
        <w:tc>
          <w:tcPr>
            <w:tcW w:w="1688" w:type="dxa"/>
            <w:tcBorders>
              <w:top w:val="single" w:sz="4" w:space="0" w:color="auto"/>
              <w:bottom w:val="single" w:sz="4" w:space="0" w:color="auto"/>
            </w:tcBorders>
            <w:vAlign w:val="center"/>
          </w:tcPr>
          <w:p w14:paraId="66715BA4" w14:textId="77777777" w:rsidR="000F4679" w:rsidRPr="000D67C6" w:rsidRDefault="00926BA1"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13,408</w:t>
            </w:r>
          </w:p>
        </w:tc>
      </w:tr>
      <w:tr w:rsidR="000F4679" w:rsidRPr="000D67C6" w14:paraId="36F05540" w14:textId="77777777" w:rsidTr="004B0617">
        <w:trPr>
          <w:trHeight w:val="385"/>
        </w:trPr>
        <w:tc>
          <w:tcPr>
            <w:tcW w:w="1310" w:type="dxa"/>
            <w:tcBorders>
              <w:top w:val="single" w:sz="4" w:space="0" w:color="auto"/>
            </w:tcBorders>
            <w:vAlign w:val="center"/>
          </w:tcPr>
          <w:p w14:paraId="0BD07280" w14:textId="77777777" w:rsidR="000F4679" w:rsidRPr="000D67C6" w:rsidRDefault="000F4679" w:rsidP="000F4679">
            <w:pPr>
              <w:pStyle w:val="Normal0"/>
              <w:jc w:val="right"/>
              <w:rPr>
                <w:rFonts w:ascii="Arial" w:eastAsia="Times New Roman" w:hAnsi="Arial" w:cs="Arial"/>
                <w:sz w:val="22"/>
                <w:szCs w:val="22"/>
                <w:lang w:val="en-GB"/>
              </w:rPr>
            </w:pPr>
          </w:p>
        </w:tc>
        <w:tc>
          <w:tcPr>
            <w:tcW w:w="5683" w:type="dxa"/>
            <w:vAlign w:val="center"/>
          </w:tcPr>
          <w:p w14:paraId="56C558F0" w14:textId="77777777" w:rsidR="000F4679" w:rsidRPr="000D67C6" w:rsidRDefault="000F4679" w:rsidP="000F4679">
            <w:pPr>
              <w:pStyle w:val="Normal0"/>
              <w:rPr>
                <w:rFonts w:ascii="Arial" w:eastAsia="Times New Roman" w:hAnsi="Arial" w:cs="Arial"/>
                <w:b/>
                <w:sz w:val="22"/>
                <w:szCs w:val="22"/>
                <w:lang w:val="en-GB"/>
              </w:rPr>
            </w:pPr>
            <w:r w:rsidRPr="000D67C6">
              <w:rPr>
                <w:rFonts w:ascii="Arial" w:eastAsia="Times New Roman" w:hAnsi="Arial" w:cs="Arial"/>
                <w:b/>
                <w:sz w:val="22"/>
                <w:szCs w:val="22"/>
                <w:lang w:val="en-GB"/>
              </w:rPr>
              <w:t xml:space="preserve">  Payments to and on account of leavers:</w:t>
            </w:r>
          </w:p>
        </w:tc>
        <w:tc>
          <w:tcPr>
            <w:tcW w:w="1688" w:type="dxa"/>
            <w:tcBorders>
              <w:top w:val="single" w:sz="4" w:space="0" w:color="auto"/>
            </w:tcBorders>
            <w:vAlign w:val="center"/>
          </w:tcPr>
          <w:p w14:paraId="6BF1D11E" w14:textId="77777777" w:rsidR="000F4679" w:rsidRPr="000D67C6" w:rsidRDefault="000F4679" w:rsidP="000F4679">
            <w:pPr>
              <w:pStyle w:val="Normal0"/>
              <w:jc w:val="right"/>
              <w:rPr>
                <w:rFonts w:ascii="Arial" w:eastAsia="Times New Roman" w:hAnsi="Arial" w:cs="Arial"/>
                <w:sz w:val="22"/>
                <w:szCs w:val="22"/>
                <w:lang w:val="en-GB"/>
              </w:rPr>
            </w:pPr>
          </w:p>
        </w:tc>
      </w:tr>
      <w:tr w:rsidR="000F4679" w:rsidRPr="000D67C6" w14:paraId="57530EC9" w14:textId="77777777" w:rsidTr="004B0617">
        <w:tc>
          <w:tcPr>
            <w:tcW w:w="1310" w:type="dxa"/>
            <w:tcBorders>
              <w:bottom w:val="single" w:sz="4" w:space="0" w:color="auto"/>
            </w:tcBorders>
            <w:vAlign w:val="center"/>
          </w:tcPr>
          <w:p w14:paraId="3D033AB6"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5683" w:type="dxa"/>
            <w:vAlign w:val="center"/>
          </w:tcPr>
          <w:p w14:paraId="3FF03661"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 Individual transfers out to other schemes</w:t>
            </w:r>
          </w:p>
        </w:tc>
        <w:tc>
          <w:tcPr>
            <w:tcW w:w="1688" w:type="dxa"/>
            <w:tcBorders>
              <w:bottom w:val="single" w:sz="4" w:space="0" w:color="auto"/>
            </w:tcBorders>
            <w:vAlign w:val="center"/>
          </w:tcPr>
          <w:p w14:paraId="7D62EE0B" w14:textId="77777777" w:rsidR="000F4679" w:rsidRPr="000D67C6" w:rsidRDefault="002F6B38"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8</w:t>
            </w:r>
          </w:p>
        </w:tc>
      </w:tr>
      <w:tr w:rsidR="000F4679" w:rsidRPr="000D67C6" w14:paraId="20F04249" w14:textId="77777777" w:rsidTr="00351828">
        <w:trPr>
          <w:trHeight w:val="341"/>
        </w:trPr>
        <w:tc>
          <w:tcPr>
            <w:tcW w:w="1310" w:type="dxa"/>
            <w:tcBorders>
              <w:top w:val="single" w:sz="4" w:space="0" w:color="auto"/>
            </w:tcBorders>
            <w:vAlign w:val="center"/>
          </w:tcPr>
          <w:p w14:paraId="286B195A" w14:textId="77777777" w:rsidR="000F4679" w:rsidRPr="000D67C6" w:rsidRDefault="000F4679" w:rsidP="000F4679">
            <w:pPr>
              <w:pStyle w:val="Normal0"/>
              <w:jc w:val="right"/>
              <w:rPr>
                <w:rFonts w:ascii="Arial" w:eastAsia="Times New Roman" w:hAnsi="Arial" w:cs="Arial"/>
                <w:b/>
                <w:sz w:val="22"/>
                <w:szCs w:val="22"/>
                <w:lang w:val="en-GB"/>
              </w:rPr>
            </w:pPr>
            <w:r w:rsidRPr="000D67C6">
              <w:rPr>
                <w:rFonts w:ascii="Arial" w:eastAsia="Times New Roman" w:hAnsi="Arial" w:cs="Arial"/>
                <w:b/>
                <w:sz w:val="22"/>
                <w:szCs w:val="22"/>
                <w:lang w:val="en-GB"/>
              </w:rPr>
              <w:t>13,986</w:t>
            </w:r>
          </w:p>
        </w:tc>
        <w:tc>
          <w:tcPr>
            <w:tcW w:w="5683" w:type="dxa"/>
            <w:vAlign w:val="center"/>
          </w:tcPr>
          <w:p w14:paraId="2FB84D7D" w14:textId="77777777" w:rsidR="000F4679" w:rsidRPr="000D67C6" w:rsidRDefault="000F4679" w:rsidP="000F4679">
            <w:pPr>
              <w:pStyle w:val="Normal0"/>
              <w:rPr>
                <w:rFonts w:ascii="Arial" w:eastAsia="Times New Roman" w:hAnsi="Arial" w:cs="Arial"/>
                <w:sz w:val="22"/>
                <w:szCs w:val="22"/>
                <w:lang w:val="en-GB"/>
              </w:rPr>
            </w:pPr>
          </w:p>
        </w:tc>
        <w:tc>
          <w:tcPr>
            <w:tcW w:w="1688" w:type="dxa"/>
            <w:tcBorders>
              <w:top w:val="single" w:sz="4" w:space="0" w:color="auto"/>
            </w:tcBorders>
            <w:vAlign w:val="center"/>
          </w:tcPr>
          <w:p w14:paraId="4C818C4D" w14:textId="77777777" w:rsidR="000F4679" w:rsidRPr="000D67C6" w:rsidRDefault="002F6B38" w:rsidP="000F4679">
            <w:pPr>
              <w:pStyle w:val="Normal0"/>
              <w:jc w:val="right"/>
              <w:rPr>
                <w:rFonts w:ascii="Arial" w:eastAsia="Times New Roman" w:hAnsi="Arial" w:cs="Arial"/>
                <w:b/>
                <w:sz w:val="22"/>
                <w:szCs w:val="22"/>
                <w:lang w:val="en-GB"/>
              </w:rPr>
            </w:pPr>
            <w:r w:rsidRPr="000D67C6">
              <w:rPr>
                <w:rFonts w:ascii="Arial" w:eastAsia="Times New Roman" w:hAnsi="Arial" w:cs="Arial"/>
                <w:b/>
                <w:sz w:val="22"/>
                <w:szCs w:val="22"/>
                <w:lang w:val="en-GB"/>
              </w:rPr>
              <w:t>13,41</w:t>
            </w:r>
            <w:r w:rsidR="00EF7081" w:rsidRPr="000D67C6">
              <w:rPr>
                <w:rFonts w:ascii="Arial" w:eastAsia="Times New Roman" w:hAnsi="Arial" w:cs="Arial"/>
                <w:b/>
                <w:sz w:val="22"/>
                <w:szCs w:val="22"/>
                <w:lang w:val="en-GB"/>
              </w:rPr>
              <w:t>6</w:t>
            </w:r>
          </w:p>
        </w:tc>
      </w:tr>
      <w:tr w:rsidR="000F4679" w:rsidRPr="000D67C6" w14:paraId="4F35486D" w14:textId="77777777" w:rsidTr="004B0617">
        <w:tc>
          <w:tcPr>
            <w:tcW w:w="1310" w:type="dxa"/>
            <w:tcBorders>
              <w:top w:val="single" w:sz="4" w:space="0" w:color="auto"/>
            </w:tcBorders>
            <w:vAlign w:val="center"/>
          </w:tcPr>
          <w:p w14:paraId="3C2BBBF8" w14:textId="77777777" w:rsidR="000F4679" w:rsidRPr="000D67C6" w:rsidRDefault="000F4679" w:rsidP="00C019FD">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7,633</w:t>
            </w:r>
          </w:p>
        </w:tc>
        <w:tc>
          <w:tcPr>
            <w:tcW w:w="5683" w:type="dxa"/>
            <w:vAlign w:val="center"/>
          </w:tcPr>
          <w:p w14:paraId="74D6DD93"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Deficit for year before grants receivables from </w:t>
            </w:r>
          </w:p>
          <w:p w14:paraId="71FF515A"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the Welsh Government </w:t>
            </w:r>
          </w:p>
        </w:tc>
        <w:tc>
          <w:tcPr>
            <w:tcW w:w="1688" w:type="dxa"/>
            <w:tcBorders>
              <w:top w:val="single" w:sz="4" w:space="0" w:color="auto"/>
            </w:tcBorders>
            <w:vAlign w:val="center"/>
          </w:tcPr>
          <w:p w14:paraId="6AE0DAC3" w14:textId="77777777" w:rsidR="000F4679" w:rsidRPr="000D67C6" w:rsidRDefault="002F6B38"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7,033</w:t>
            </w:r>
          </w:p>
        </w:tc>
      </w:tr>
      <w:tr w:rsidR="000F4679" w:rsidRPr="000D67C6" w14:paraId="44E9C368" w14:textId="77777777" w:rsidTr="004B0617">
        <w:tc>
          <w:tcPr>
            <w:tcW w:w="1310" w:type="dxa"/>
            <w:vAlign w:val="center"/>
          </w:tcPr>
          <w:p w14:paraId="4A28527E" w14:textId="77777777" w:rsidR="000F4679" w:rsidRPr="000D67C6" w:rsidRDefault="000F4679" w:rsidP="000F4679">
            <w:pPr>
              <w:pStyle w:val="Normal0"/>
              <w:jc w:val="right"/>
              <w:rPr>
                <w:rFonts w:ascii="Arial" w:eastAsia="Times New Roman" w:hAnsi="Arial" w:cs="Arial"/>
                <w:bCs/>
                <w:sz w:val="22"/>
                <w:szCs w:val="22"/>
                <w:lang w:val="en-GB"/>
              </w:rPr>
            </w:pPr>
          </w:p>
        </w:tc>
        <w:tc>
          <w:tcPr>
            <w:tcW w:w="5683" w:type="dxa"/>
            <w:vAlign w:val="center"/>
          </w:tcPr>
          <w:p w14:paraId="07F17DE6" w14:textId="77777777" w:rsidR="000F4679" w:rsidRPr="000D67C6" w:rsidRDefault="000F4679" w:rsidP="000F4679">
            <w:pPr>
              <w:pStyle w:val="Normal0"/>
              <w:rPr>
                <w:rFonts w:ascii="Arial" w:eastAsia="Times New Roman" w:hAnsi="Arial" w:cs="Arial"/>
                <w:sz w:val="22"/>
                <w:szCs w:val="22"/>
                <w:lang w:val="en-GB"/>
              </w:rPr>
            </w:pPr>
          </w:p>
        </w:tc>
        <w:tc>
          <w:tcPr>
            <w:tcW w:w="1688" w:type="dxa"/>
            <w:vAlign w:val="center"/>
          </w:tcPr>
          <w:p w14:paraId="56779707" w14:textId="77777777" w:rsidR="000F4679" w:rsidRPr="000D67C6" w:rsidRDefault="000F4679" w:rsidP="000F4679">
            <w:pPr>
              <w:pStyle w:val="Normal0"/>
              <w:jc w:val="right"/>
              <w:rPr>
                <w:rFonts w:ascii="Arial" w:eastAsia="Times New Roman" w:hAnsi="Arial" w:cs="Arial"/>
                <w:bCs/>
                <w:sz w:val="22"/>
                <w:szCs w:val="22"/>
                <w:lang w:val="en-GB"/>
              </w:rPr>
            </w:pPr>
          </w:p>
        </w:tc>
      </w:tr>
      <w:tr w:rsidR="000F4679" w:rsidRPr="000D67C6" w14:paraId="303054AB" w14:textId="77777777" w:rsidTr="004B0617">
        <w:tc>
          <w:tcPr>
            <w:tcW w:w="1310" w:type="dxa"/>
            <w:vAlign w:val="center"/>
          </w:tcPr>
          <w:p w14:paraId="56FA3AC8" w14:textId="77777777" w:rsidR="000F4679" w:rsidRPr="000D67C6" w:rsidRDefault="000F4679"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(7,633)</w:t>
            </w:r>
          </w:p>
        </w:tc>
        <w:tc>
          <w:tcPr>
            <w:tcW w:w="5683" w:type="dxa"/>
            <w:vAlign w:val="center"/>
          </w:tcPr>
          <w:p w14:paraId="58ADE7DE" w14:textId="77777777" w:rsidR="000F4679" w:rsidRPr="000D67C6" w:rsidRDefault="000F4679" w:rsidP="00A04841">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 xml:space="preserve">  Top up grant Receivable from the Welsh Government</w:t>
            </w:r>
          </w:p>
        </w:tc>
        <w:tc>
          <w:tcPr>
            <w:tcW w:w="1688" w:type="dxa"/>
            <w:vAlign w:val="center"/>
          </w:tcPr>
          <w:p w14:paraId="22A507FE" w14:textId="77777777" w:rsidR="000F4679" w:rsidRPr="000D67C6" w:rsidRDefault="002F6B38" w:rsidP="000F4679">
            <w:pPr>
              <w:pStyle w:val="Normal0"/>
              <w:jc w:val="right"/>
              <w:rPr>
                <w:rFonts w:ascii="Arial" w:eastAsia="Times New Roman" w:hAnsi="Arial" w:cs="Arial"/>
                <w:bCs/>
                <w:sz w:val="22"/>
                <w:szCs w:val="22"/>
                <w:lang w:val="en-GB"/>
              </w:rPr>
            </w:pPr>
            <w:r w:rsidRPr="000D67C6">
              <w:rPr>
                <w:rFonts w:ascii="Arial" w:eastAsia="Times New Roman" w:hAnsi="Arial" w:cs="Arial"/>
                <w:bCs/>
                <w:sz w:val="22"/>
                <w:szCs w:val="22"/>
                <w:lang w:val="en-GB"/>
              </w:rPr>
              <w:t>(7,033)</w:t>
            </w:r>
          </w:p>
        </w:tc>
      </w:tr>
      <w:tr w:rsidR="000F4679" w:rsidRPr="000D67C6" w14:paraId="2B164F9A" w14:textId="77777777" w:rsidTr="00351828">
        <w:trPr>
          <w:trHeight w:val="311"/>
        </w:trPr>
        <w:tc>
          <w:tcPr>
            <w:tcW w:w="1310" w:type="dxa"/>
            <w:tcBorders>
              <w:top w:val="single" w:sz="4" w:space="0" w:color="auto"/>
              <w:bottom w:val="single" w:sz="4" w:space="0" w:color="auto"/>
            </w:tcBorders>
            <w:vAlign w:val="center"/>
          </w:tcPr>
          <w:p w14:paraId="492D0334" w14:textId="77777777" w:rsidR="000F4679" w:rsidRPr="000D67C6" w:rsidRDefault="000F4679" w:rsidP="00C019FD">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w:t>
            </w:r>
          </w:p>
        </w:tc>
        <w:tc>
          <w:tcPr>
            <w:tcW w:w="5683" w:type="dxa"/>
            <w:vAlign w:val="center"/>
          </w:tcPr>
          <w:p w14:paraId="5EE0CEFC" w14:textId="77777777" w:rsidR="000F4679" w:rsidRPr="000D67C6" w:rsidRDefault="000F4679" w:rsidP="000F4679">
            <w:pPr>
              <w:pStyle w:val="Normal0"/>
              <w:rPr>
                <w:rFonts w:ascii="Arial" w:eastAsia="Times New Roman" w:hAnsi="Arial" w:cs="Arial"/>
                <w:b/>
                <w:bCs/>
                <w:sz w:val="22"/>
                <w:szCs w:val="22"/>
                <w:lang w:val="en-GB"/>
              </w:rPr>
            </w:pPr>
            <w:r w:rsidRPr="000D67C6">
              <w:rPr>
                <w:rFonts w:ascii="Arial" w:eastAsia="Times New Roman" w:hAnsi="Arial" w:cs="Arial"/>
                <w:b/>
                <w:bCs/>
                <w:sz w:val="22"/>
                <w:szCs w:val="22"/>
                <w:lang w:val="en-GB"/>
              </w:rPr>
              <w:t xml:space="preserve">  Net amount payable/receivable for the year</w:t>
            </w:r>
          </w:p>
        </w:tc>
        <w:tc>
          <w:tcPr>
            <w:tcW w:w="1688" w:type="dxa"/>
            <w:tcBorders>
              <w:top w:val="single" w:sz="4" w:space="0" w:color="auto"/>
              <w:bottom w:val="single" w:sz="4" w:space="0" w:color="auto"/>
            </w:tcBorders>
            <w:vAlign w:val="center"/>
          </w:tcPr>
          <w:p w14:paraId="7171855E" w14:textId="77777777" w:rsidR="000F4679" w:rsidRPr="000D67C6" w:rsidRDefault="002F6B38"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w:t>
            </w:r>
          </w:p>
        </w:tc>
      </w:tr>
    </w:tbl>
    <w:p w14:paraId="11F88284" w14:textId="77777777" w:rsidR="008F013B" w:rsidRPr="000D67C6" w:rsidRDefault="008F013B" w:rsidP="00F200E5">
      <w:pPr>
        <w:pStyle w:val="Normal0"/>
        <w:jc w:val="both"/>
        <w:rPr>
          <w:rFonts w:ascii="Arial" w:eastAsia="Times New Roman" w:hAnsi="Arial" w:cs="Arial"/>
          <w:bCs/>
          <w:sz w:val="22"/>
          <w:szCs w:val="22"/>
          <w:lang w:val="en-GB"/>
        </w:rPr>
      </w:pPr>
    </w:p>
    <w:p w14:paraId="05B3C4F1" w14:textId="77777777" w:rsidR="008F013B" w:rsidRPr="000D67C6" w:rsidRDefault="008F013B" w:rsidP="00F200E5">
      <w:pPr>
        <w:pStyle w:val="Normal0"/>
        <w:jc w:val="both"/>
        <w:rPr>
          <w:rFonts w:ascii="Arial" w:eastAsia="Times New Roman" w:hAnsi="Arial" w:cs="Arial"/>
          <w:color w:val="000000"/>
          <w:sz w:val="22"/>
          <w:szCs w:val="22"/>
          <w:lang w:val="en-GB"/>
        </w:rPr>
      </w:pPr>
      <w:r w:rsidRPr="000D67C6">
        <w:rPr>
          <w:rFonts w:ascii="Arial" w:eastAsia="Times New Roman" w:hAnsi="Arial" w:cs="Arial"/>
          <w:color w:val="000000"/>
          <w:sz w:val="22"/>
          <w:szCs w:val="22"/>
          <w:lang w:val="en-GB"/>
        </w:rPr>
        <w:t xml:space="preserve">    </w:t>
      </w:r>
    </w:p>
    <w:p w14:paraId="5C9713DC" w14:textId="77777777" w:rsidR="008F013B" w:rsidRPr="000D67C6" w:rsidRDefault="008F013B" w:rsidP="00F200E5">
      <w:pPr>
        <w:pStyle w:val="Normal0"/>
        <w:jc w:val="center"/>
        <w:rPr>
          <w:rFonts w:ascii="Arial" w:eastAsia="Times New Roman" w:hAnsi="Arial" w:cs="Arial"/>
          <w:b/>
          <w:color w:val="000000"/>
          <w:sz w:val="22"/>
          <w:szCs w:val="22"/>
          <w:u w:val="single"/>
          <w:lang w:val="en-GB"/>
        </w:rPr>
      </w:pPr>
      <w:r w:rsidRPr="000D67C6">
        <w:rPr>
          <w:rFonts w:ascii="Arial" w:eastAsia="Times New Roman" w:hAnsi="Arial" w:cs="Arial"/>
          <w:b/>
          <w:color w:val="000000"/>
          <w:sz w:val="22"/>
          <w:szCs w:val="22"/>
          <w:u w:val="single"/>
          <w:lang w:val="en-GB"/>
        </w:rPr>
        <w:t>NET ASSE</w:t>
      </w:r>
      <w:r w:rsidR="00C15A6E" w:rsidRPr="000D67C6">
        <w:rPr>
          <w:rFonts w:ascii="Arial" w:eastAsia="Times New Roman" w:hAnsi="Arial" w:cs="Arial"/>
          <w:b/>
          <w:color w:val="000000"/>
          <w:sz w:val="22"/>
          <w:szCs w:val="22"/>
          <w:u w:val="single"/>
          <w:lang w:val="en-GB"/>
        </w:rPr>
        <w:t>TS STATEMENT AS AT 31</w:t>
      </w:r>
      <w:r w:rsidR="00A404F2" w:rsidRPr="000D67C6">
        <w:rPr>
          <w:rFonts w:ascii="Arial" w:eastAsia="Times New Roman" w:hAnsi="Arial" w:cs="Arial"/>
          <w:b/>
          <w:color w:val="000000"/>
          <w:sz w:val="22"/>
          <w:szCs w:val="22"/>
          <w:u w:val="single"/>
          <w:vertAlign w:val="superscript"/>
          <w:lang w:val="en-GB"/>
        </w:rPr>
        <w:t>ST</w:t>
      </w:r>
      <w:r w:rsidR="00C15A6E" w:rsidRPr="000D67C6">
        <w:rPr>
          <w:rFonts w:ascii="Arial" w:eastAsia="Times New Roman" w:hAnsi="Arial" w:cs="Arial"/>
          <w:b/>
          <w:color w:val="000000"/>
          <w:sz w:val="22"/>
          <w:szCs w:val="22"/>
          <w:u w:val="single"/>
          <w:lang w:val="en-GB"/>
        </w:rPr>
        <w:t xml:space="preserve"> MARCH 201</w:t>
      </w:r>
      <w:r w:rsidR="000F4679" w:rsidRPr="000D67C6">
        <w:rPr>
          <w:rFonts w:ascii="Arial" w:eastAsia="Times New Roman" w:hAnsi="Arial" w:cs="Arial"/>
          <w:b/>
          <w:color w:val="000000"/>
          <w:sz w:val="22"/>
          <w:szCs w:val="22"/>
          <w:u w:val="single"/>
          <w:lang w:val="en-GB"/>
        </w:rPr>
        <w:t>9</w:t>
      </w:r>
    </w:p>
    <w:p w14:paraId="2AE1D59C" w14:textId="77777777" w:rsidR="004B0617" w:rsidRPr="000D67C6" w:rsidRDefault="004B0617" w:rsidP="00F200E5">
      <w:pPr>
        <w:pStyle w:val="Normal0"/>
        <w:jc w:val="both"/>
        <w:rPr>
          <w:rFonts w:ascii="Arial" w:eastAsia="Times New Roman" w:hAnsi="Arial" w:cs="Arial"/>
          <w:b/>
          <w:color w:val="000000"/>
          <w:sz w:val="22"/>
          <w:szCs w:val="22"/>
          <w:u w:val="single"/>
          <w:lang w:val="en-GB"/>
        </w:rPr>
      </w:pPr>
    </w:p>
    <w:tbl>
      <w:tblPr>
        <w:tblW w:w="8681" w:type="dxa"/>
        <w:tblInd w:w="-108" w:type="dxa"/>
        <w:tblLook w:val="0000" w:firstRow="0" w:lastRow="0" w:firstColumn="0" w:lastColumn="0" w:noHBand="0" w:noVBand="0"/>
      </w:tblPr>
      <w:tblGrid>
        <w:gridCol w:w="1310"/>
        <w:gridCol w:w="5683"/>
        <w:gridCol w:w="1688"/>
      </w:tblGrid>
      <w:tr w:rsidR="00351828" w:rsidRPr="000D67C6" w14:paraId="2DB67FF6" w14:textId="77777777" w:rsidTr="00663C72">
        <w:tc>
          <w:tcPr>
            <w:tcW w:w="1310" w:type="dxa"/>
          </w:tcPr>
          <w:p w14:paraId="34CC90B9" w14:textId="77777777" w:rsidR="00351828" w:rsidRPr="000D67C6" w:rsidRDefault="00351828" w:rsidP="00663C72">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201</w:t>
            </w:r>
            <w:r w:rsidR="000F4679" w:rsidRPr="000D67C6">
              <w:rPr>
                <w:rFonts w:ascii="Arial" w:eastAsia="Times New Roman" w:hAnsi="Arial" w:cs="Arial"/>
                <w:b/>
                <w:bCs/>
                <w:sz w:val="22"/>
                <w:szCs w:val="22"/>
                <w:lang w:val="en-GB"/>
              </w:rPr>
              <w:t>7</w:t>
            </w:r>
            <w:r w:rsidRPr="000D67C6">
              <w:rPr>
                <w:rFonts w:ascii="Arial" w:eastAsia="Times New Roman" w:hAnsi="Arial" w:cs="Arial"/>
                <w:b/>
                <w:bCs/>
                <w:sz w:val="22"/>
                <w:szCs w:val="22"/>
                <w:lang w:val="en-GB"/>
              </w:rPr>
              <w:t>/1</w:t>
            </w:r>
            <w:r w:rsidR="000F4679" w:rsidRPr="000D67C6">
              <w:rPr>
                <w:rFonts w:ascii="Arial" w:eastAsia="Times New Roman" w:hAnsi="Arial" w:cs="Arial"/>
                <w:b/>
                <w:bCs/>
                <w:sz w:val="22"/>
                <w:szCs w:val="22"/>
                <w:lang w:val="en-GB"/>
              </w:rPr>
              <w:t>8</w:t>
            </w:r>
          </w:p>
        </w:tc>
        <w:tc>
          <w:tcPr>
            <w:tcW w:w="5683" w:type="dxa"/>
          </w:tcPr>
          <w:p w14:paraId="26D8D4E3" w14:textId="77777777" w:rsidR="00351828" w:rsidRPr="000D67C6" w:rsidRDefault="00351828" w:rsidP="00663C72">
            <w:pPr>
              <w:pStyle w:val="Normal0"/>
              <w:jc w:val="right"/>
              <w:rPr>
                <w:rFonts w:ascii="Arial" w:eastAsia="Times New Roman" w:hAnsi="Arial" w:cs="Arial"/>
                <w:b/>
                <w:bCs/>
                <w:sz w:val="22"/>
                <w:szCs w:val="22"/>
                <w:lang w:val="en-GB"/>
              </w:rPr>
            </w:pPr>
          </w:p>
        </w:tc>
        <w:tc>
          <w:tcPr>
            <w:tcW w:w="1688" w:type="dxa"/>
          </w:tcPr>
          <w:p w14:paraId="676BCD79" w14:textId="77777777" w:rsidR="00351828" w:rsidRPr="000D67C6" w:rsidRDefault="00351828" w:rsidP="00663C72">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201</w:t>
            </w:r>
            <w:r w:rsidR="000F4679" w:rsidRPr="000D67C6">
              <w:rPr>
                <w:rFonts w:ascii="Arial" w:eastAsia="Times New Roman" w:hAnsi="Arial" w:cs="Arial"/>
                <w:b/>
                <w:bCs/>
                <w:sz w:val="22"/>
                <w:szCs w:val="22"/>
                <w:lang w:val="en-GB"/>
              </w:rPr>
              <w:t>8</w:t>
            </w:r>
            <w:r w:rsidRPr="000D67C6">
              <w:rPr>
                <w:rFonts w:ascii="Arial" w:eastAsia="Times New Roman" w:hAnsi="Arial" w:cs="Arial"/>
                <w:b/>
                <w:bCs/>
                <w:sz w:val="22"/>
                <w:szCs w:val="22"/>
                <w:lang w:val="en-GB"/>
              </w:rPr>
              <w:t>/1</w:t>
            </w:r>
            <w:r w:rsidR="000F4679" w:rsidRPr="000D67C6">
              <w:rPr>
                <w:rFonts w:ascii="Arial" w:eastAsia="Times New Roman" w:hAnsi="Arial" w:cs="Arial"/>
                <w:b/>
                <w:bCs/>
                <w:sz w:val="22"/>
                <w:szCs w:val="22"/>
                <w:lang w:val="en-GB"/>
              </w:rPr>
              <w:t>9</w:t>
            </w:r>
          </w:p>
        </w:tc>
      </w:tr>
      <w:tr w:rsidR="00351828" w:rsidRPr="000D67C6" w14:paraId="56651739" w14:textId="77777777" w:rsidTr="00663C72">
        <w:tc>
          <w:tcPr>
            <w:tcW w:w="1310" w:type="dxa"/>
          </w:tcPr>
          <w:p w14:paraId="4D57D483" w14:textId="77777777" w:rsidR="00351828" w:rsidRPr="000D67C6" w:rsidRDefault="00351828" w:rsidP="00663C72">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£000</w:t>
            </w:r>
          </w:p>
        </w:tc>
        <w:tc>
          <w:tcPr>
            <w:tcW w:w="5683" w:type="dxa"/>
          </w:tcPr>
          <w:p w14:paraId="3D807EC1" w14:textId="77777777" w:rsidR="00351828" w:rsidRPr="000D67C6" w:rsidRDefault="00351828" w:rsidP="00663C72">
            <w:pPr>
              <w:pStyle w:val="Normal0"/>
              <w:jc w:val="right"/>
              <w:rPr>
                <w:rFonts w:ascii="Arial" w:eastAsia="Times New Roman" w:hAnsi="Arial" w:cs="Arial"/>
                <w:b/>
                <w:bCs/>
                <w:sz w:val="22"/>
                <w:szCs w:val="22"/>
                <w:lang w:val="en-GB"/>
              </w:rPr>
            </w:pPr>
          </w:p>
        </w:tc>
        <w:tc>
          <w:tcPr>
            <w:tcW w:w="1688" w:type="dxa"/>
          </w:tcPr>
          <w:p w14:paraId="058B91CD" w14:textId="77777777" w:rsidR="00351828" w:rsidRPr="000D67C6" w:rsidRDefault="00351828" w:rsidP="00663C72">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£000</w:t>
            </w:r>
          </w:p>
        </w:tc>
      </w:tr>
      <w:tr w:rsidR="00351828" w:rsidRPr="000D67C6" w14:paraId="1D59D857" w14:textId="77777777" w:rsidTr="00351828">
        <w:trPr>
          <w:trHeight w:val="496"/>
        </w:trPr>
        <w:tc>
          <w:tcPr>
            <w:tcW w:w="1310" w:type="dxa"/>
            <w:vAlign w:val="center"/>
          </w:tcPr>
          <w:p w14:paraId="7F38D6EC" w14:textId="77777777" w:rsidR="00351828" w:rsidRPr="000D67C6" w:rsidRDefault="00351828" w:rsidP="00663C72">
            <w:pPr>
              <w:pStyle w:val="Normal0"/>
              <w:jc w:val="right"/>
              <w:rPr>
                <w:rFonts w:ascii="Arial" w:eastAsia="Times New Roman" w:hAnsi="Arial" w:cs="Arial"/>
                <w:sz w:val="22"/>
                <w:szCs w:val="22"/>
                <w:lang w:val="en-GB"/>
              </w:rPr>
            </w:pPr>
          </w:p>
        </w:tc>
        <w:tc>
          <w:tcPr>
            <w:tcW w:w="5683" w:type="dxa"/>
            <w:vAlign w:val="center"/>
          </w:tcPr>
          <w:p w14:paraId="429A072F" w14:textId="77777777" w:rsidR="00351828" w:rsidRPr="000D67C6" w:rsidRDefault="00351828" w:rsidP="00663C72">
            <w:pPr>
              <w:pStyle w:val="Normal0"/>
              <w:rPr>
                <w:rFonts w:ascii="Arial" w:eastAsia="Times New Roman" w:hAnsi="Arial" w:cs="Arial"/>
                <w:b/>
                <w:sz w:val="22"/>
                <w:szCs w:val="22"/>
                <w:u w:val="single"/>
                <w:lang w:val="en-GB"/>
              </w:rPr>
            </w:pPr>
            <w:r w:rsidRPr="000D67C6">
              <w:rPr>
                <w:rFonts w:ascii="Arial" w:eastAsia="Times New Roman" w:hAnsi="Arial" w:cs="Arial"/>
                <w:b/>
                <w:sz w:val="22"/>
                <w:szCs w:val="22"/>
                <w:u w:val="single"/>
                <w:lang w:val="en-GB"/>
              </w:rPr>
              <w:t>Current Assets:</w:t>
            </w:r>
          </w:p>
        </w:tc>
        <w:tc>
          <w:tcPr>
            <w:tcW w:w="1688" w:type="dxa"/>
            <w:vAlign w:val="center"/>
          </w:tcPr>
          <w:p w14:paraId="2A125BD6" w14:textId="77777777" w:rsidR="00351828" w:rsidRPr="000D67C6" w:rsidRDefault="00351828" w:rsidP="00663C72">
            <w:pPr>
              <w:pStyle w:val="Normal0"/>
              <w:rPr>
                <w:rFonts w:ascii="Arial" w:eastAsia="Times New Roman" w:hAnsi="Arial" w:cs="Arial"/>
                <w:sz w:val="22"/>
                <w:szCs w:val="22"/>
                <w:lang w:val="en-GB"/>
              </w:rPr>
            </w:pPr>
          </w:p>
        </w:tc>
      </w:tr>
      <w:tr w:rsidR="000F4679" w:rsidRPr="000D67C6" w14:paraId="0A9B5DB7" w14:textId="77777777" w:rsidTr="00ED72AB">
        <w:trPr>
          <w:trHeight w:val="281"/>
        </w:trPr>
        <w:tc>
          <w:tcPr>
            <w:tcW w:w="1310" w:type="dxa"/>
            <w:vAlign w:val="center"/>
          </w:tcPr>
          <w:p w14:paraId="1ACD52E8"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5683" w:type="dxa"/>
            <w:vAlign w:val="center"/>
          </w:tcPr>
          <w:p w14:paraId="51F244D4"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Amount owed by General Fund</w:t>
            </w:r>
          </w:p>
        </w:tc>
        <w:tc>
          <w:tcPr>
            <w:tcW w:w="1688" w:type="dxa"/>
            <w:vAlign w:val="center"/>
          </w:tcPr>
          <w:p w14:paraId="56475BD8" w14:textId="77777777" w:rsidR="000F4679" w:rsidRPr="000D67C6" w:rsidRDefault="00755A14"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0F4679" w:rsidRPr="000D67C6" w14:paraId="7A05DA85" w14:textId="77777777" w:rsidTr="007743F1">
        <w:trPr>
          <w:trHeight w:val="286"/>
        </w:trPr>
        <w:tc>
          <w:tcPr>
            <w:tcW w:w="1310" w:type="dxa"/>
            <w:tcBorders>
              <w:bottom w:val="single" w:sz="4" w:space="0" w:color="auto"/>
            </w:tcBorders>
            <w:vAlign w:val="center"/>
          </w:tcPr>
          <w:p w14:paraId="0566ECB5"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911</w:t>
            </w:r>
          </w:p>
        </w:tc>
        <w:tc>
          <w:tcPr>
            <w:tcW w:w="5683" w:type="dxa"/>
            <w:vAlign w:val="center"/>
          </w:tcPr>
          <w:p w14:paraId="58938A35"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Amount owed by Welsh Government</w:t>
            </w:r>
          </w:p>
        </w:tc>
        <w:tc>
          <w:tcPr>
            <w:tcW w:w="1688" w:type="dxa"/>
            <w:tcBorders>
              <w:bottom w:val="single" w:sz="4" w:space="0" w:color="auto"/>
            </w:tcBorders>
            <w:vAlign w:val="center"/>
          </w:tcPr>
          <w:p w14:paraId="2F2A04C6" w14:textId="77777777" w:rsidR="000F4679" w:rsidRPr="000D67C6" w:rsidRDefault="00755A14"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75</w:t>
            </w:r>
          </w:p>
        </w:tc>
      </w:tr>
      <w:tr w:rsidR="000F4679" w:rsidRPr="000D67C6" w14:paraId="5C1B148C" w14:textId="77777777" w:rsidTr="00351828">
        <w:trPr>
          <w:trHeight w:val="415"/>
        </w:trPr>
        <w:tc>
          <w:tcPr>
            <w:tcW w:w="1310" w:type="dxa"/>
            <w:tcBorders>
              <w:top w:val="single" w:sz="4" w:space="0" w:color="auto"/>
              <w:bottom w:val="single" w:sz="4" w:space="0" w:color="auto"/>
            </w:tcBorders>
            <w:vAlign w:val="center"/>
          </w:tcPr>
          <w:p w14:paraId="4D9D222B" w14:textId="77777777" w:rsidR="000F4679" w:rsidRPr="000D67C6" w:rsidRDefault="000F4679"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911</w:t>
            </w:r>
          </w:p>
        </w:tc>
        <w:tc>
          <w:tcPr>
            <w:tcW w:w="5683" w:type="dxa"/>
            <w:vAlign w:val="center"/>
          </w:tcPr>
          <w:p w14:paraId="20349D38" w14:textId="77777777" w:rsidR="000F4679" w:rsidRPr="000D67C6" w:rsidRDefault="000F4679" w:rsidP="000F4679">
            <w:pPr>
              <w:pStyle w:val="Normal0"/>
              <w:rPr>
                <w:rFonts w:ascii="Arial" w:eastAsia="Times New Roman" w:hAnsi="Arial" w:cs="Arial"/>
                <w:b/>
                <w:bCs/>
                <w:sz w:val="22"/>
                <w:szCs w:val="22"/>
                <w:lang w:val="en-GB"/>
              </w:rPr>
            </w:pPr>
            <w:r w:rsidRPr="000D67C6">
              <w:rPr>
                <w:rFonts w:ascii="Arial" w:eastAsia="Times New Roman" w:hAnsi="Arial" w:cs="Arial"/>
                <w:b/>
                <w:bCs/>
                <w:sz w:val="22"/>
                <w:szCs w:val="22"/>
                <w:lang w:val="en-GB"/>
              </w:rPr>
              <w:t>Total Current Assets</w:t>
            </w:r>
          </w:p>
        </w:tc>
        <w:tc>
          <w:tcPr>
            <w:tcW w:w="1688" w:type="dxa"/>
            <w:tcBorders>
              <w:top w:val="single" w:sz="4" w:space="0" w:color="auto"/>
              <w:bottom w:val="single" w:sz="4" w:space="0" w:color="auto"/>
            </w:tcBorders>
            <w:vAlign w:val="center"/>
          </w:tcPr>
          <w:p w14:paraId="1D803FC4" w14:textId="77777777" w:rsidR="000F4679" w:rsidRPr="000D67C6" w:rsidRDefault="00755A14"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75</w:t>
            </w:r>
          </w:p>
        </w:tc>
      </w:tr>
    </w:tbl>
    <w:p w14:paraId="15F0309A" w14:textId="77777777" w:rsidR="004B0617" w:rsidRPr="000D67C6" w:rsidRDefault="004B0617" w:rsidP="00F200E5">
      <w:pPr>
        <w:pStyle w:val="Normal0"/>
        <w:jc w:val="both"/>
        <w:rPr>
          <w:rFonts w:ascii="Arial" w:eastAsia="Times New Roman" w:hAnsi="Arial" w:cs="Arial"/>
          <w:b/>
          <w:color w:val="000000"/>
          <w:sz w:val="22"/>
          <w:szCs w:val="22"/>
          <w:u w:val="single"/>
          <w:lang w:val="en-GB"/>
        </w:rPr>
      </w:pPr>
    </w:p>
    <w:tbl>
      <w:tblPr>
        <w:tblW w:w="8681" w:type="dxa"/>
        <w:tblInd w:w="-108" w:type="dxa"/>
        <w:tblLook w:val="0000" w:firstRow="0" w:lastRow="0" w:firstColumn="0" w:lastColumn="0" w:noHBand="0" w:noVBand="0"/>
      </w:tblPr>
      <w:tblGrid>
        <w:gridCol w:w="1310"/>
        <w:gridCol w:w="5683"/>
        <w:gridCol w:w="1688"/>
      </w:tblGrid>
      <w:tr w:rsidR="00351828" w:rsidRPr="000D67C6" w14:paraId="1D94DC8C" w14:textId="77777777" w:rsidTr="00351828">
        <w:trPr>
          <w:trHeight w:val="495"/>
        </w:trPr>
        <w:tc>
          <w:tcPr>
            <w:tcW w:w="1310" w:type="dxa"/>
            <w:vAlign w:val="center"/>
          </w:tcPr>
          <w:p w14:paraId="3A855372" w14:textId="77777777" w:rsidR="00351828" w:rsidRPr="000D67C6" w:rsidRDefault="00351828" w:rsidP="00663C72">
            <w:pPr>
              <w:pStyle w:val="Normal0"/>
              <w:jc w:val="right"/>
              <w:rPr>
                <w:rFonts w:ascii="Arial" w:eastAsia="Times New Roman" w:hAnsi="Arial" w:cs="Arial"/>
                <w:sz w:val="22"/>
                <w:szCs w:val="22"/>
                <w:lang w:val="en-GB"/>
              </w:rPr>
            </w:pPr>
          </w:p>
        </w:tc>
        <w:tc>
          <w:tcPr>
            <w:tcW w:w="5683" w:type="dxa"/>
            <w:vAlign w:val="center"/>
          </w:tcPr>
          <w:p w14:paraId="27DF0B8A" w14:textId="77777777" w:rsidR="00351828" w:rsidRPr="000D67C6" w:rsidRDefault="00351828" w:rsidP="00663C72">
            <w:pPr>
              <w:pStyle w:val="Normal0"/>
              <w:rPr>
                <w:rFonts w:ascii="Arial" w:eastAsia="Times New Roman" w:hAnsi="Arial" w:cs="Arial"/>
                <w:b/>
                <w:sz w:val="22"/>
                <w:szCs w:val="22"/>
                <w:u w:val="single"/>
                <w:lang w:val="en-GB"/>
              </w:rPr>
            </w:pPr>
            <w:r w:rsidRPr="000D67C6">
              <w:rPr>
                <w:rFonts w:ascii="Arial" w:eastAsia="Times New Roman" w:hAnsi="Arial" w:cs="Arial"/>
                <w:b/>
                <w:sz w:val="22"/>
                <w:szCs w:val="22"/>
                <w:u w:val="single"/>
                <w:lang w:val="en-GB"/>
              </w:rPr>
              <w:t>Current Liabilities:</w:t>
            </w:r>
          </w:p>
        </w:tc>
        <w:tc>
          <w:tcPr>
            <w:tcW w:w="1688" w:type="dxa"/>
            <w:vAlign w:val="center"/>
          </w:tcPr>
          <w:p w14:paraId="32CA7FC8" w14:textId="77777777" w:rsidR="00351828" w:rsidRPr="000D67C6" w:rsidRDefault="00351828" w:rsidP="00663C72">
            <w:pPr>
              <w:pStyle w:val="Normal0"/>
              <w:rPr>
                <w:rFonts w:ascii="Arial" w:eastAsia="Times New Roman" w:hAnsi="Arial" w:cs="Arial"/>
                <w:sz w:val="22"/>
                <w:szCs w:val="22"/>
                <w:lang w:val="en-GB"/>
              </w:rPr>
            </w:pPr>
          </w:p>
        </w:tc>
      </w:tr>
      <w:tr w:rsidR="000F4679" w:rsidRPr="000D67C6" w14:paraId="6DDEAE81" w14:textId="77777777" w:rsidTr="00ED72AB">
        <w:trPr>
          <w:trHeight w:val="377"/>
        </w:trPr>
        <w:tc>
          <w:tcPr>
            <w:tcW w:w="1310" w:type="dxa"/>
            <w:vAlign w:val="center"/>
          </w:tcPr>
          <w:p w14:paraId="72DDA5DF"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(911)</w:t>
            </w:r>
          </w:p>
        </w:tc>
        <w:tc>
          <w:tcPr>
            <w:tcW w:w="5683" w:type="dxa"/>
            <w:vAlign w:val="center"/>
          </w:tcPr>
          <w:p w14:paraId="3C315300"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Amount owed to General Fund</w:t>
            </w:r>
          </w:p>
        </w:tc>
        <w:tc>
          <w:tcPr>
            <w:tcW w:w="1688" w:type="dxa"/>
            <w:vAlign w:val="center"/>
          </w:tcPr>
          <w:p w14:paraId="4B49EB8F" w14:textId="77777777" w:rsidR="000F4679" w:rsidRPr="000D67C6" w:rsidRDefault="00755A14"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(75)</w:t>
            </w:r>
          </w:p>
        </w:tc>
      </w:tr>
      <w:tr w:rsidR="000F4679" w:rsidRPr="000D67C6" w14:paraId="2F72D083" w14:textId="77777777" w:rsidTr="00351828">
        <w:trPr>
          <w:trHeight w:val="281"/>
        </w:trPr>
        <w:tc>
          <w:tcPr>
            <w:tcW w:w="1310" w:type="dxa"/>
            <w:vAlign w:val="center"/>
          </w:tcPr>
          <w:p w14:paraId="12D977BD" w14:textId="77777777" w:rsidR="000F4679" w:rsidRPr="000D67C6" w:rsidRDefault="000F4679"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c>
          <w:tcPr>
            <w:tcW w:w="5683" w:type="dxa"/>
            <w:vAlign w:val="center"/>
          </w:tcPr>
          <w:p w14:paraId="3BD33E4A" w14:textId="77777777" w:rsidR="000F4679" w:rsidRPr="000D67C6" w:rsidRDefault="000F4679" w:rsidP="000F4679">
            <w:pPr>
              <w:pStyle w:val="Normal0"/>
              <w:rPr>
                <w:rFonts w:ascii="Arial" w:eastAsia="Times New Roman" w:hAnsi="Arial" w:cs="Arial"/>
                <w:sz w:val="22"/>
                <w:szCs w:val="22"/>
                <w:lang w:val="en-GB"/>
              </w:rPr>
            </w:pPr>
            <w:r w:rsidRPr="000D67C6">
              <w:rPr>
                <w:rFonts w:ascii="Arial" w:eastAsia="Times New Roman" w:hAnsi="Arial" w:cs="Arial"/>
                <w:sz w:val="22"/>
                <w:szCs w:val="22"/>
                <w:lang w:val="en-GB"/>
              </w:rPr>
              <w:t>Amount owed to Welsh Government</w:t>
            </w:r>
          </w:p>
        </w:tc>
        <w:tc>
          <w:tcPr>
            <w:tcW w:w="1688" w:type="dxa"/>
            <w:vAlign w:val="center"/>
          </w:tcPr>
          <w:p w14:paraId="3209724D" w14:textId="77777777" w:rsidR="000F4679" w:rsidRPr="000D67C6" w:rsidRDefault="00755A14" w:rsidP="000F4679">
            <w:pPr>
              <w:pStyle w:val="Normal0"/>
              <w:jc w:val="right"/>
              <w:rPr>
                <w:rFonts w:ascii="Arial" w:eastAsia="Times New Roman" w:hAnsi="Arial" w:cs="Arial"/>
                <w:sz w:val="22"/>
                <w:szCs w:val="22"/>
                <w:lang w:val="en-GB"/>
              </w:rPr>
            </w:pPr>
            <w:r w:rsidRPr="000D67C6">
              <w:rPr>
                <w:rFonts w:ascii="Arial" w:eastAsia="Times New Roman" w:hAnsi="Arial" w:cs="Arial"/>
                <w:sz w:val="22"/>
                <w:szCs w:val="22"/>
                <w:lang w:val="en-GB"/>
              </w:rPr>
              <w:t>0</w:t>
            </w:r>
          </w:p>
        </w:tc>
      </w:tr>
      <w:tr w:rsidR="000F4679" w:rsidRPr="000D67C6" w14:paraId="1E7B4ECC" w14:textId="77777777" w:rsidTr="00663C72">
        <w:trPr>
          <w:trHeight w:val="415"/>
        </w:trPr>
        <w:tc>
          <w:tcPr>
            <w:tcW w:w="1310" w:type="dxa"/>
            <w:tcBorders>
              <w:top w:val="single" w:sz="4" w:space="0" w:color="auto"/>
              <w:bottom w:val="single" w:sz="4" w:space="0" w:color="auto"/>
            </w:tcBorders>
            <w:vAlign w:val="center"/>
          </w:tcPr>
          <w:p w14:paraId="62B5F194" w14:textId="77777777" w:rsidR="000F4679" w:rsidRPr="000D67C6" w:rsidRDefault="000F4679"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(911)</w:t>
            </w:r>
          </w:p>
        </w:tc>
        <w:tc>
          <w:tcPr>
            <w:tcW w:w="5683" w:type="dxa"/>
            <w:vAlign w:val="center"/>
          </w:tcPr>
          <w:p w14:paraId="7901993F" w14:textId="77777777" w:rsidR="000F4679" w:rsidRPr="000D67C6" w:rsidRDefault="000F4679" w:rsidP="000F4679">
            <w:pPr>
              <w:pStyle w:val="Normal0"/>
              <w:rPr>
                <w:rFonts w:ascii="Arial" w:eastAsia="Times New Roman" w:hAnsi="Arial" w:cs="Arial"/>
                <w:b/>
                <w:bCs/>
                <w:sz w:val="22"/>
                <w:szCs w:val="22"/>
                <w:lang w:val="en-GB"/>
              </w:rPr>
            </w:pPr>
            <w:r w:rsidRPr="000D67C6">
              <w:rPr>
                <w:rFonts w:ascii="Arial" w:eastAsia="Times New Roman" w:hAnsi="Arial" w:cs="Arial"/>
                <w:b/>
                <w:bCs/>
                <w:sz w:val="22"/>
                <w:szCs w:val="22"/>
                <w:lang w:val="en-GB"/>
              </w:rPr>
              <w:t>Total Current Liabilities</w:t>
            </w:r>
          </w:p>
        </w:tc>
        <w:tc>
          <w:tcPr>
            <w:tcW w:w="1688" w:type="dxa"/>
            <w:tcBorders>
              <w:top w:val="single" w:sz="4" w:space="0" w:color="auto"/>
              <w:bottom w:val="single" w:sz="4" w:space="0" w:color="auto"/>
            </w:tcBorders>
            <w:vAlign w:val="center"/>
          </w:tcPr>
          <w:p w14:paraId="4D6107F6" w14:textId="77777777" w:rsidR="000F4679" w:rsidRPr="000D67C6" w:rsidRDefault="00755A14" w:rsidP="000F4679">
            <w:pPr>
              <w:pStyle w:val="Normal0"/>
              <w:jc w:val="right"/>
              <w:rPr>
                <w:rFonts w:ascii="Arial" w:eastAsia="Times New Roman" w:hAnsi="Arial" w:cs="Arial"/>
                <w:b/>
                <w:bCs/>
                <w:sz w:val="22"/>
                <w:szCs w:val="22"/>
                <w:lang w:val="en-GB"/>
              </w:rPr>
            </w:pPr>
            <w:r w:rsidRPr="000D67C6">
              <w:rPr>
                <w:rFonts w:ascii="Arial" w:eastAsia="Times New Roman" w:hAnsi="Arial" w:cs="Arial"/>
                <w:b/>
                <w:bCs/>
                <w:sz w:val="22"/>
                <w:szCs w:val="22"/>
                <w:lang w:val="en-GB"/>
              </w:rPr>
              <w:t>(75)</w:t>
            </w:r>
          </w:p>
        </w:tc>
      </w:tr>
    </w:tbl>
    <w:p w14:paraId="7B8AA732" w14:textId="77777777" w:rsidR="00ED72AB" w:rsidRPr="000D67C6" w:rsidRDefault="00ED72AB" w:rsidP="00B7163E">
      <w:pPr>
        <w:pStyle w:val="Normal0"/>
        <w:jc w:val="both"/>
        <w:rPr>
          <w:rFonts w:ascii="Arial" w:eastAsia="Times New Roman" w:hAnsi="Arial" w:cs="Arial"/>
          <w:sz w:val="22"/>
          <w:lang w:val="en-GB"/>
        </w:rPr>
      </w:pPr>
    </w:p>
    <w:p w14:paraId="113D271F" w14:textId="77777777" w:rsidR="00ED72AB" w:rsidRPr="000D67C6" w:rsidRDefault="00ED72AB" w:rsidP="00B7163E">
      <w:pPr>
        <w:pStyle w:val="Normal0"/>
        <w:jc w:val="both"/>
        <w:rPr>
          <w:rFonts w:ascii="Arial" w:eastAsia="Times New Roman" w:hAnsi="Arial" w:cs="Arial"/>
          <w:sz w:val="22"/>
          <w:lang w:val="en-GB"/>
        </w:rPr>
      </w:pPr>
    </w:p>
    <w:p w14:paraId="721290C6" w14:textId="77777777" w:rsidR="00B7163E" w:rsidRPr="000D67C6" w:rsidRDefault="00B7163E" w:rsidP="00B7163E">
      <w:pPr>
        <w:pStyle w:val="Normal0"/>
        <w:jc w:val="both"/>
        <w:rPr>
          <w:rFonts w:ascii="Arial" w:eastAsia="Times New Roman" w:hAnsi="Arial" w:cs="Arial"/>
          <w:sz w:val="22"/>
          <w:lang w:val="en-GB"/>
        </w:rPr>
      </w:pPr>
    </w:p>
    <w:p w14:paraId="4D48E4D4" w14:textId="77777777" w:rsidR="0090587E" w:rsidRPr="000D67C6" w:rsidRDefault="0090587E" w:rsidP="00EB7A52">
      <w:pPr>
        <w:pStyle w:val="Normal0"/>
        <w:rPr>
          <w:rFonts w:ascii="Arial" w:eastAsia="Times New Roman" w:hAnsi="Arial" w:cs="Arial"/>
          <w:b/>
          <w:color w:val="000000"/>
          <w:sz w:val="22"/>
          <w:u w:val="single"/>
          <w:lang w:val="en-GB"/>
        </w:rPr>
      </w:pPr>
    </w:p>
    <w:p w14:paraId="007F7E3F" w14:textId="77777777" w:rsidR="00A04841" w:rsidRPr="000D67C6" w:rsidRDefault="00A04841" w:rsidP="00EB7A52">
      <w:pPr>
        <w:pStyle w:val="Normal0"/>
        <w:rPr>
          <w:rFonts w:ascii="Arial" w:eastAsia="Times New Roman" w:hAnsi="Arial" w:cs="Arial"/>
          <w:b/>
          <w:color w:val="000000"/>
          <w:sz w:val="22"/>
          <w:u w:val="single"/>
          <w:lang w:val="en-GB"/>
        </w:rPr>
      </w:pPr>
    </w:p>
    <w:p w14:paraId="361AF993" w14:textId="77777777" w:rsidR="00A04841" w:rsidRPr="000D67C6" w:rsidRDefault="00A04841" w:rsidP="00EB7A52">
      <w:pPr>
        <w:pStyle w:val="Normal0"/>
        <w:rPr>
          <w:rFonts w:ascii="Arial" w:eastAsia="Times New Roman" w:hAnsi="Arial" w:cs="Arial"/>
          <w:b/>
          <w:color w:val="000000"/>
          <w:sz w:val="22"/>
          <w:u w:val="single"/>
          <w:lang w:val="en-GB"/>
        </w:rPr>
      </w:pPr>
    </w:p>
    <w:p w14:paraId="67555CCB" w14:textId="77777777" w:rsidR="00114846" w:rsidRPr="000D67C6" w:rsidRDefault="00114846">
      <w:pPr>
        <w:rPr>
          <w:rFonts w:ascii="Arial" w:eastAsia="Times New Roman" w:hAnsi="Arial" w:cs="Arial"/>
          <w:b/>
          <w:color w:val="000000"/>
          <w:sz w:val="22"/>
          <w:u w:val="single"/>
          <w:lang w:val="en-GB"/>
        </w:rPr>
      </w:pPr>
      <w:r w:rsidRPr="000D67C6">
        <w:rPr>
          <w:rFonts w:ascii="Arial" w:eastAsia="Times New Roman" w:hAnsi="Arial" w:cs="Arial"/>
          <w:b/>
          <w:color w:val="000000"/>
          <w:sz w:val="22"/>
          <w:u w:val="single"/>
          <w:lang w:val="en-GB"/>
        </w:rPr>
        <w:br w:type="page"/>
      </w:r>
    </w:p>
    <w:p w14:paraId="43E54935" w14:textId="20408C5C" w:rsidR="008F013B" w:rsidRPr="000D67C6" w:rsidRDefault="008F013B" w:rsidP="00EB7A52">
      <w:pPr>
        <w:pStyle w:val="Normal0"/>
        <w:rPr>
          <w:rFonts w:ascii="Arial" w:eastAsia="Times New Roman" w:hAnsi="Arial" w:cs="Arial"/>
          <w:b/>
          <w:color w:val="000000"/>
          <w:sz w:val="22"/>
          <w:u w:val="single"/>
          <w:lang w:val="en-GB"/>
        </w:rPr>
      </w:pPr>
      <w:r w:rsidRPr="000D67C6">
        <w:rPr>
          <w:rFonts w:ascii="Arial" w:eastAsia="Times New Roman" w:hAnsi="Arial" w:cs="Arial"/>
          <w:b/>
          <w:color w:val="000000"/>
          <w:sz w:val="22"/>
          <w:u w:val="single"/>
          <w:lang w:val="en-GB"/>
        </w:rPr>
        <w:t>NOTES TO THE FIREFIGHTERS PENSION FUND ACCOUNT</w:t>
      </w:r>
    </w:p>
    <w:p w14:paraId="4E363C29" w14:textId="77777777" w:rsidR="008F013B" w:rsidRPr="000D67C6" w:rsidRDefault="008F013B" w:rsidP="00EB7A52">
      <w:pPr>
        <w:pStyle w:val="Normal0"/>
        <w:rPr>
          <w:rFonts w:ascii="Arial" w:eastAsia="Times New Roman" w:hAnsi="Arial" w:cs="Arial"/>
          <w:color w:val="000000"/>
          <w:lang w:val="en-GB"/>
        </w:rPr>
      </w:pPr>
    </w:p>
    <w:p w14:paraId="11AEDCCB" w14:textId="77777777" w:rsidR="006B013F" w:rsidRPr="000D67C6" w:rsidRDefault="008F013B" w:rsidP="00EB7A52">
      <w:pPr>
        <w:pStyle w:val="Normal0"/>
        <w:jc w:val="both"/>
        <w:rPr>
          <w:rFonts w:ascii="Arial" w:eastAsia="Times New Roman" w:hAnsi="Arial" w:cs="Arial"/>
          <w:color w:val="000000"/>
          <w:sz w:val="22"/>
          <w:lang w:val="en-GB"/>
        </w:rPr>
      </w:pPr>
      <w:r w:rsidRPr="000D67C6">
        <w:rPr>
          <w:rFonts w:ascii="Arial" w:eastAsia="Times New Roman" w:hAnsi="Arial" w:cs="Arial"/>
          <w:color w:val="000000"/>
          <w:sz w:val="22"/>
          <w:lang w:val="en-GB"/>
        </w:rPr>
        <w:t>The Fund was established 1 April 2007 and covers the 1992, 2</w:t>
      </w:r>
      <w:r w:rsidR="008F56B1" w:rsidRPr="000D67C6">
        <w:rPr>
          <w:rFonts w:ascii="Arial" w:eastAsia="Times New Roman" w:hAnsi="Arial" w:cs="Arial"/>
          <w:color w:val="000000"/>
          <w:sz w:val="22"/>
          <w:lang w:val="en-GB"/>
        </w:rPr>
        <w:t>006, 2015 and the Modified Firef</w:t>
      </w:r>
      <w:r w:rsidRPr="000D67C6">
        <w:rPr>
          <w:rFonts w:ascii="Arial" w:eastAsia="Times New Roman" w:hAnsi="Arial" w:cs="Arial"/>
          <w:color w:val="000000"/>
          <w:sz w:val="22"/>
          <w:lang w:val="en-GB"/>
        </w:rPr>
        <w:t xml:space="preserve">ighters’ Pension Schemes and is administered by the Authority.  </w:t>
      </w:r>
      <w:r w:rsidR="006B013F" w:rsidRPr="000D67C6">
        <w:rPr>
          <w:rFonts w:ascii="Arial" w:eastAsia="Times New Roman" w:hAnsi="Arial" w:cs="Arial"/>
          <w:color w:val="000000"/>
          <w:sz w:val="22"/>
          <w:lang w:val="en-GB"/>
        </w:rPr>
        <w:t>The 2015 scheme introduced new contribution rates for both employers and employees and reduced pension benefits.  Members of the 1992 and 2006 schemes who do not meet the prescribed criteria, will transition into the 2015 scheme under a tapering arrangement.  On 1 April 2016, the retained Modified Pension Scheme was introduced in addition to the original 1992, 2006 and 2015 schemes.  The scheme allowed individuals who were employed as on-call members of staff between the years 2000 - 2006 the opportunity to buy back service.  If the individuals were still employees</w:t>
      </w:r>
      <w:r w:rsidR="00390E78" w:rsidRPr="000D67C6">
        <w:rPr>
          <w:rFonts w:ascii="Arial" w:eastAsia="Times New Roman" w:hAnsi="Arial" w:cs="Arial"/>
          <w:color w:val="000000"/>
          <w:sz w:val="22"/>
          <w:lang w:val="en-GB"/>
        </w:rPr>
        <w:t>,</w:t>
      </w:r>
      <w:r w:rsidR="006B013F" w:rsidRPr="000D67C6">
        <w:rPr>
          <w:rFonts w:ascii="Arial" w:eastAsia="Times New Roman" w:hAnsi="Arial" w:cs="Arial"/>
          <w:color w:val="000000"/>
          <w:sz w:val="22"/>
          <w:lang w:val="en-GB"/>
        </w:rPr>
        <w:t xml:space="preserve"> then they could enter into the retained Modified Pension Scheme which benefits from the same contribution rates as the 1992 scheme.</w:t>
      </w:r>
    </w:p>
    <w:p w14:paraId="7C5920CC" w14:textId="77777777" w:rsidR="006B013F" w:rsidRPr="000D67C6" w:rsidRDefault="006B013F" w:rsidP="00EB7A52">
      <w:pPr>
        <w:pStyle w:val="Normal0"/>
        <w:jc w:val="both"/>
        <w:rPr>
          <w:rFonts w:ascii="Arial" w:eastAsia="Times New Roman" w:hAnsi="Arial" w:cs="Arial"/>
          <w:color w:val="000000"/>
          <w:sz w:val="22"/>
          <w:lang w:val="en-GB"/>
        </w:rPr>
      </w:pPr>
    </w:p>
    <w:p w14:paraId="024C3623" w14:textId="77777777" w:rsidR="008F013B" w:rsidRPr="000D67C6" w:rsidRDefault="008F013B" w:rsidP="00EB7A52">
      <w:pPr>
        <w:pStyle w:val="Normal0"/>
        <w:jc w:val="both"/>
        <w:rPr>
          <w:rFonts w:ascii="Arial" w:eastAsia="Times New Roman" w:hAnsi="Arial" w:cs="Arial"/>
          <w:color w:val="000000"/>
          <w:sz w:val="22"/>
          <w:lang w:val="en-GB"/>
        </w:rPr>
      </w:pPr>
      <w:r w:rsidRPr="000D67C6">
        <w:rPr>
          <w:rFonts w:ascii="Arial" w:eastAsia="Times New Roman" w:hAnsi="Arial" w:cs="Arial"/>
          <w:color w:val="000000"/>
          <w:sz w:val="22"/>
          <w:lang w:val="en-GB"/>
        </w:rPr>
        <w:t xml:space="preserve">Employee and employer contributions are paid into the Fund, from which payments to pensioners are made. Employees’ and employer’s contribution levels are based on percentages of pensionable pay set nationally by Welsh Government </w:t>
      </w:r>
      <w:r w:rsidR="006B013F" w:rsidRPr="000D67C6">
        <w:rPr>
          <w:rFonts w:ascii="Arial" w:eastAsia="Times New Roman" w:hAnsi="Arial" w:cs="Arial"/>
          <w:color w:val="000000"/>
          <w:sz w:val="22"/>
          <w:lang w:val="en-GB"/>
        </w:rPr>
        <w:t xml:space="preserve">(WG) </w:t>
      </w:r>
      <w:r w:rsidRPr="000D67C6">
        <w:rPr>
          <w:rFonts w:ascii="Arial" w:eastAsia="Times New Roman" w:hAnsi="Arial" w:cs="Arial"/>
          <w:color w:val="000000"/>
          <w:sz w:val="22"/>
          <w:lang w:val="en-GB"/>
        </w:rPr>
        <w:t>and subject to triennial revaluations by the Government Actuary’s Department (GAD).  The scheme is an unfunded scheme with no investment assets and any difference between benefits payable and contributions receivable is met by Top Up Grants from the Welsh Government (WG).</w:t>
      </w:r>
    </w:p>
    <w:p w14:paraId="40C5924A" w14:textId="77777777" w:rsidR="008F013B" w:rsidRPr="000D67C6" w:rsidRDefault="008F013B" w:rsidP="00EB7A52">
      <w:pPr>
        <w:pStyle w:val="Normal0"/>
        <w:jc w:val="both"/>
        <w:rPr>
          <w:rFonts w:ascii="Arial" w:eastAsia="Times New Roman" w:hAnsi="Arial" w:cs="Arial"/>
          <w:color w:val="000000"/>
          <w:sz w:val="22"/>
          <w:lang w:val="en-GB"/>
        </w:rPr>
      </w:pPr>
    </w:p>
    <w:p w14:paraId="7689F5DA" w14:textId="77777777" w:rsidR="008F013B" w:rsidRPr="000D67C6" w:rsidRDefault="008F013B" w:rsidP="00EB7A52">
      <w:pPr>
        <w:pStyle w:val="Normal0"/>
        <w:jc w:val="both"/>
        <w:rPr>
          <w:rFonts w:ascii="Arial" w:eastAsia="Times New Roman" w:hAnsi="Arial" w:cs="Arial"/>
          <w:color w:val="000000"/>
          <w:sz w:val="22"/>
          <w:lang w:val="en-GB"/>
        </w:rPr>
      </w:pPr>
      <w:r w:rsidRPr="000D67C6">
        <w:rPr>
          <w:rFonts w:ascii="Arial" w:eastAsia="Times New Roman" w:hAnsi="Arial" w:cs="Arial"/>
          <w:color w:val="000000"/>
          <w:sz w:val="22"/>
          <w:lang w:val="en-GB"/>
        </w:rPr>
        <w:t>Transfers in to the scheme are a transfer of pension benefits from another pension scheme for new or existing employees and transfers out are transfer benefits for employees who have left the Authority and joined another pension scheme.</w:t>
      </w:r>
      <w:r w:rsidR="00B3638C" w:rsidRPr="000D67C6">
        <w:rPr>
          <w:rFonts w:ascii="Arial" w:eastAsia="Times New Roman" w:hAnsi="Arial" w:cs="Arial"/>
          <w:color w:val="000000"/>
          <w:sz w:val="22"/>
          <w:lang w:val="en-GB"/>
        </w:rPr>
        <w:t xml:space="preserve">  </w:t>
      </w:r>
      <w:r w:rsidRPr="000D67C6">
        <w:rPr>
          <w:rFonts w:ascii="Arial" w:eastAsia="Times New Roman" w:hAnsi="Arial" w:cs="Arial"/>
          <w:color w:val="000000"/>
          <w:sz w:val="22"/>
          <w:lang w:val="en-GB"/>
        </w:rPr>
        <w:t>The Authority is responsible for paying the employer’s contributions in to the fund and these are the costs that are identified in the accounts for the Authority.</w:t>
      </w:r>
    </w:p>
    <w:p w14:paraId="25A99C4A" w14:textId="77777777" w:rsidR="008F013B" w:rsidRPr="000D67C6" w:rsidRDefault="008F013B" w:rsidP="00EB7A52">
      <w:pPr>
        <w:pStyle w:val="Normal0"/>
        <w:jc w:val="both"/>
        <w:rPr>
          <w:rFonts w:ascii="Arial" w:eastAsia="Times New Roman" w:hAnsi="Arial" w:cs="Arial"/>
          <w:color w:val="000000"/>
          <w:sz w:val="22"/>
          <w:lang w:val="en-GB"/>
        </w:rPr>
      </w:pPr>
    </w:p>
    <w:p w14:paraId="76DD9287" w14:textId="77777777" w:rsidR="008F013B" w:rsidRPr="000D67C6" w:rsidRDefault="008F013B" w:rsidP="00EB7A52">
      <w:pPr>
        <w:pStyle w:val="Normal0"/>
        <w:jc w:val="both"/>
        <w:rPr>
          <w:rFonts w:ascii="Arial" w:eastAsia="Times New Roman" w:hAnsi="Arial" w:cs="Arial"/>
          <w:color w:val="000000"/>
          <w:sz w:val="22"/>
          <w:lang w:val="en-GB"/>
        </w:rPr>
      </w:pPr>
      <w:r w:rsidRPr="000D67C6">
        <w:rPr>
          <w:rFonts w:ascii="Arial" w:eastAsia="Times New Roman" w:hAnsi="Arial" w:cs="Arial"/>
          <w:color w:val="000000"/>
          <w:sz w:val="22"/>
          <w:lang w:val="en-GB"/>
        </w:rPr>
        <w:t>At the beginning of the financial year an assessment is made of the amount of Top Up Grant required from Welsh Government and 80% of the est</w:t>
      </w:r>
      <w:r w:rsidR="00C15A6E" w:rsidRPr="000D67C6">
        <w:rPr>
          <w:rFonts w:ascii="Arial" w:eastAsia="Times New Roman" w:hAnsi="Arial" w:cs="Arial"/>
          <w:color w:val="000000"/>
          <w:sz w:val="22"/>
          <w:lang w:val="en-GB"/>
        </w:rPr>
        <w:t xml:space="preserve">imate is paid in </w:t>
      </w:r>
      <w:r w:rsidR="00390E78" w:rsidRPr="000D67C6">
        <w:rPr>
          <w:rFonts w:ascii="Arial" w:eastAsia="Times New Roman" w:hAnsi="Arial" w:cs="Arial"/>
          <w:color w:val="000000"/>
          <w:sz w:val="22"/>
          <w:lang w:val="en-GB"/>
        </w:rPr>
        <w:t xml:space="preserve">addition to the surplus/deficit (asset/liability) which is payable/ receivable from the previous year, this is paid in </w:t>
      </w:r>
      <w:r w:rsidR="00686B49" w:rsidRPr="000D67C6">
        <w:rPr>
          <w:rFonts w:ascii="Arial" w:eastAsia="Times New Roman" w:hAnsi="Arial" w:cs="Arial"/>
          <w:color w:val="000000"/>
          <w:sz w:val="22"/>
          <w:lang w:val="en-GB"/>
        </w:rPr>
        <w:t>August</w:t>
      </w:r>
      <w:r w:rsidR="00390E78" w:rsidRPr="000D67C6">
        <w:rPr>
          <w:rFonts w:ascii="Arial" w:eastAsia="Times New Roman" w:hAnsi="Arial" w:cs="Arial"/>
          <w:color w:val="000000"/>
          <w:sz w:val="22"/>
          <w:lang w:val="en-GB"/>
        </w:rPr>
        <w:t xml:space="preserve"> of each year.  As such, any asset/liability on the Pension Fund is matched by a corresponding value on the Authority balance sheet</w:t>
      </w:r>
      <w:r w:rsidR="00C15A6E" w:rsidRPr="000D67C6">
        <w:rPr>
          <w:rFonts w:ascii="Arial" w:eastAsia="Times New Roman" w:hAnsi="Arial" w:cs="Arial"/>
          <w:color w:val="000000"/>
          <w:sz w:val="22"/>
          <w:lang w:val="en-GB"/>
        </w:rPr>
        <w:t>.</w:t>
      </w:r>
      <w:r w:rsidR="00390E78" w:rsidRPr="000D67C6">
        <w:rPr>
          <w:rFonts w:ascii="Arial" w:eastAsia="Times New Roman" w:hAnsi="Arial" w:cs="Arial"/>
          <w:color w:val="000000"/>
          <w:sz w:val="22"/>
          <w:lang w:val="en-GB"/>
        </w:rPr>
        <w:t xml:space="preserve">  </w:t>
      </w:r>
      <w:r w:rsidR="00C15A6E" w:rsidRPr="000D67C6">
        <w:rPr>
          <w:rFonts w:ascii="Arial" w:eastAsia="Times New Roman" w:hAnsi="Arial" w:cs="Arial"/>
          <w:color w:val="000000"/>
          <w:sz w:val="22"/>
          <w:lang w:val="en-GB"/>
        </w:rPr>
        <w:t>The 201</w:t>
      </w:r>
      <w:r w:rsidR="00630D0A" w:rsidRPr="000D67C6">
        <w:rPr>
          <w:rFonts w:ascii="Arial" w:eastAsia="Times New Roman" w:hAnsi="Arial" w:cs="Arial"/>
          <w:color w:val="000000"/>
          <w:sz w:val="22"/>
          <w:lang w:val="en-GB"/>
        </w:rPr>
        <w:t>8</w:t>
      </w:r>
      <w:r w:rsidR="00C15A6E" w:rsidRPr="000D67C6">
        <w:rPr>
          <w:rFonts w:ascii="Arial" w:eastAsia="Times New Roman" w:hAnsi="Arial" w:cs="Arial"/>
          <w:color w:val="000000"/>
          <w:sz w:val="22"/>
          <w:lang w:val="en-GB"/>
        </w:rPr>
        <w:t>/1</w:t>
      </w:r>
      <w:r w:rsidR="00630D0A" w:rsidRPr="000D67C6">
        <w:rPr>
          <w:rFonts w:ascii="Arial" w:eastAsia="Times New Roman" w:hAnsi="Arial" w:cs="Arial"/>
          <w:color w:val="000000"/>
          <w:sz w:val="22"/>
          <w:lang w:val="en-GB"/>
        </w:rPr>
        <w:t>9</w:t>
      </w:r>
      <w:r w:rsidR="00C15A6E" w:rsidRPr="000D67C6">
        <w:rPr>
          <w:rFonts w:ascii="Arial" w:eastAsia="Times New Roman" w:hAnsi="Arial" w:cs="Arial"/>
          <w:color w:val="000000"/>
          <w:sz w:val="22"/>
          <w:lang w:val="en-GB"/>
        </w:rPr>
        <w:t xml:space="preserve"> </w:t>
      </w:r>
      <w:r w:rsidRPr="000D67C6">
        <w:rPr>
          <w:rFonts w:ascii="Arial" w:eastAsia="Times New Roman" w:hAnsi="Arial" w:cs="Arial"/>
          <w:color w:val="000000"/>
          <w:sz w:val="22"/>
          <w:lang w:val="en-GB"/>
        </w:rPr>
        <w:t>estimate inclu</w:t>
      </w:r>
      <w:r w:rsidR="00B91E17" w:rsidRPr="000D67C6">
        <w:rPr>
          <w:rFonts w:ascii="Arial" w:eastAsia="Times New Roman" w:hAnsi="Arial" w:cs="Arial"/>
          <w:color w:val="000000"/>
          <w:sz w:val="22"/>
          <w:lang w:val="en-GB"/>
        </w:rPr>
        <w:t>ded an</w:t>
      </w:r>
      <w:r w:rsidRPr="000D67C6">
        <w:rPr>
          <w:rFonts w:ascii="Arial" w:eastAsia="Times New Roman" w:hAnsi="Arial" w:cs="Arial"/>
          <w:color w:val="000000"/>
          <w:sz w:val="22"/>
          <w:lang w:val="en-GB"/>
        </w:rPr>
        <w:t xml:space="preserve"> a</w:t>
      </w:r>
      <w:r w:rsidR="008F56B1" w:rsidRPr="000D67C6">
        <w:rPr>
          <w:rFonts w:ascii="Arial" w:eastAsia="Times New Roman" w:hAnsi="Arial" w:cs="Arial"/>
          <w:color w:val="000000"/>
          <w:sz w:val="22"/>
          <w:lang w:val="en-GB"/>
        </w:rPr>
        <w:t>ssessment of the number of fire</w:t>
      </w:r>
      <w:r w:rsidRPr="000D67C6">
        <w:rPr>
          <w:rFonts w:ascii="Arial" w:eastAsia="Times New Roman" w:hAnsi="Arial" w:cs="Arial"/>
          <w:color w:val="000000"/>
          <w:sz w:val="22"/>
          <w:lang w:val="en-GB"/>
        </w:rPr>
        <w:t xml:space="preserve">fighters due to retire within the year based on age and years’ service, from this an estimate can then be made of the commutation payments that would fall due and the additional pension payments.  </w:t>
      </w:r>
    </w:p>
    <w:p w14:paraId="2D4B4878" w14:textId="77777777" w:rsidR="00891F2E" w:rsidRPr="000D67C6" w:rsidRDefault="00891F2E" w:rsidP="00EB7A52">
      <w:pPr>
        <w:pStyle w:val="Normal0"/>
        <w:jc w:val="both"/>
        <w:rPr>
          <w:rFonts w:ascii="Arial" w:eastAsia="Times New Roman" w:hAnsi="Arial" w:cs="Arial"/>
          <w:color w:val="000000"/>
          <w:sz w:val="22"/>
          <w:lang w:val="en-GB"/>
        </w:rPr>
      </w:pPr>
    </w:p>
    <w:p w14:paraId="3C27EE26" w14:textId="77777777" w:rsidR="008F013B" w:rsidRPr="000D67C6" w:rsidRDefault="008F013B" w:rsidP="00EB7A52">
      <w:pPr>
        <w:pStyle w:val="Normal0"/>
        <w:jc w:val="both"/>
        <w:rPr>
          <w:rFonts w:ascii="Arial" w:eastAsia="Times New Roman" w:hAnsi="Arial" w:cs="Arial"/>
          <w:sz w:val="22"/>
          <w:lang w:val="en-GB"/>
        </w:rPr>
      </w:pPr>
      <w:r w:rsidRPr="000D67C6">
        <w:rPr>
          <w:rFonts w:ascii="Arial" w:eastAsia="Times New Roman" w:hAnsi="Arial" w:cs="Arial"/>
          <w:sz w:val="22"/>
          <w:lang w:val="en-GB"/>
        </w:rPr>
        <w:t xml:space="preserve">The accounting policies adopted for the production of the Pensions Fund Account are in line with recommended practice and follow those that apply to the Authority’s primary statements. </w:t>
      </w:r>
    </w:p>
    <w:p w14:paraId="62E7F760" w14:textId="77777777" w:rsidR="008F013B" w:rsidRPr="000D67C6" w:rsidRDefault="008F013B" w:rsidP="00EB7A52">
      <w:pPr>
        <w:pStyle w:val="Normal0"/>
        <w:jc w:val="both"/>
        <w:rPr>
          <w:rFonts w:ascii="Arial" w:eastAsia="Times New Roman" w:hAnsi="Arial" w:cs="Arial"/>
          <w:sz w:val="22"/>
          <w:lang w:val="en-GB"/>
        </w:rPr>
      </w:pPr>
    </w:p>
    <w:p w14:paraId="780A1A54" w14:textId="77777777" w:rsidR="00390E78" w:rsidRPr="000D67C6" w:rsidRDefault="00D429D6" w:rsidP="00D429D6">
      <w:pPr>
        <w:pStyle w:val="Normal0"/>
        <w:jc w:val="both"/>
        <w:rPr>
          <w:rFonts w:ascii="Arial" w:eastAsia="Times New Roman" w:hAnsi="Arial" w:cs="Arial"/>
          <w:b/>
          <w:sz w:val="22"/>
          <w:lang w:val="en-GB"/>
        </w:rPr>
      </w:pPr>
      <w:r w:rsidRPr="000D67C6">
        <w:rPr>
          <w:rFonts w:ascii="Arial" w:eastAsia="Times New Roman" w:hAnsi="Arial" w:cs="Arial"/>
          <w:b/>
          <w:sz w:val="22"/>
          <w:lang w:val="en-GB"/>
        </w:rPr>
        <w:t>Additional Note to the Firefighters’ Pension Fund Account</w:t>
      </w:r>
    </w:p>
    <w:p w14:paraId="36A0FD68" w14:textId="77777777" w:rsidR="00D429D6" w:rsidRPr="000D67C6" w:rsidRDefault="00D429D6" w:rsidP="00D429D6">
      <w:pPr>
        <w:pStyle w:val="Normal0"/>
        <w:jc w:val="both"/>
        <w:rPr>
          <w:rFonts w:ascii="Arial" w:eastAsia="Times New Roman" w:hAnsi="Arial" w:cs="Arial"/>
          <w:b/>
          <w:sz w:val="22"/>
          <w:lang w:val="en-GB"/>
        </w:rPr>
      </w:pPr>
      <w:r w:rsidRPr="000D67C6">
        <w:rPr>
          <w:rFonts w:ascii="Arial" w:eastAsia="Times New Roman" w:hAnsi="Arial" w:cs="Arial"/>
          <w:b/>
          <w:sz w:val="22"/>
          <w:lang w:val="en-GB"/>
        </w:rPr>
        <w:t xml:space="preserve"> </w:t>
      </w:r>
    </w:p>
    <w:p w14:paraId="5926400B" w14:textId="77777777" w:rsidR="003E4818" w:rsidRPr="000D67C6" w:rsidRDefault="00D429D6" w:rsidP="00D429D6">
      <w:pPr>
        <w:pStyle w:val="Normal0"/>
        <w:jc w:val="both"/>
        <w:rPr>
          <w:rFonts w:ascii="Arial" w:eastAsia="Times New Roman" w:hAnsi="Arial" w:cs="Arial"/>
          <w:sz w:val="22"/>
          <w:lang w:val="en-GB"/>
        </w:rPr>
      </w:pPr>
      <w:r w:rsidRPr="000D67C6">
        <w:rPr>
          <w:rFonts w:ascii="Arial" w:eastAsia="Times New Roman" w:hAnsi="Arial" w:cs="Arial"/>
          <w:sz w:val="22"/>
          <w:lang w:val="en-GB"/>
        </w:rPr>
        <w:t xml:space="preserve">The Firefighters’ Pension (Wales) Scheme (Amendment) Order 2014 came into force on 31 December 2014 with an effective date of 1 July 2013. The Order included an amendment to the pension regulations which introduced new powers for the Authority to make certain temporary allowances and emoluments pensionable under an Additional Pension Benefit (APB) arrangement. </w:t>
      </w:r>
      <w:r w:rsidR="00390E78" w:rsidRPr="000D67C6">
        <w:rPr>
          <w:rFonts w:ascii="Arial" w:eastAsia="Times New Roman" w:hAnsi="Arial" w:cs="Arial"/>
          <w:sz w:val="22"/>
          <w:lang w:val="en-GB"/>
        </w:rPr>
        <w:t xml:space="preserve"> </w:t>
      </w:r>
    </w:p>
    <w:p w14:paraId="2B73C7DB" w14:textId="77777777" w:rsidR="003E4818" w:rsidRPr="000D67C6" w:rsidRDefault="003E4818" w:rsidP="00E87395">
      <w:pPr>
        <w:pStyle w:val="Normal0"/>
        <w:jc w:val="both"/>
        <w:rPr>
          <w:rFonts w:ascii="Arial" w:eastAsia="Times New Roman" w:hAnsi="Arial" w:cs="Arial"/>
          <w:sz w:val="22"/>
          <w:lang w:val="en-GB"/>
        </w:rPr>
      </w:pPr>
    </w:p>
    <w:p w14:paraId="13C6D894" w14:textId="61E6D65F" w:rsidR="00D429D6" w:rsidRPr="000D67C6" w:rsidRDefault="00D429D6" w:rsidP="00E87395">
      <w:pPr>
        <w:pStyle w:val="Normal0"/>
        <w:jc w:val="both"/>
        <w:rPr>
          <w:rStyle w:val="normaltextrun"/>
          <w:rFonts w:ascii="Arial" w:hAnsi="Arial" w:cs="Arial"/>
          <w:sz w:val="22"/>
          <w:szCs w:val="22"/>
          <w:shd w:val="clear" w:color="auto" w:fill="FFFFFF"/>
        </w:rPr>
      </w:pPr>
      <w:r w:rsidRPr="000D67C6">
        <w:rPr>
          <w:rFonts w:ascii="Arial" w:eastAsia="Times New Roman" w:hAnsi="Arial" w:cs="Arial"/>
          <w:sz w:val="22"/>
          <w:lang w:val="en-GB"/>
        </w:rPr>
        <w:t>During November 2017 it became apparent that Welsh Fire and Rescue Services had not implemented the Order and temporary allowances had been treated in accordance with previous regulations.</w:t>
      </w:r>
      <w:r w:rsidR="00390E78" w:rsidRPr="000D67C6">
        <w:rPr>
          <w:rFonts w:ascii="Arial" w:eastAsia="Times New Roman" w:hAnsi="Arial" w:cs="Arial"/>
          <w:sz w:val="22"/>
          <w:lang w:val="en-GB"/>
        </w:rPr>
        <w:t xml:space="preserve"> </w:t>
      </w:r>
      <w:r w:rsidRPr="000D67C6">
        <w:rPr>
          <w:rFonts w:ascii="Arial" w:eastAsia="Times New Roman" w:hAnsi="Arial" w:cs="Arial"/>
          <w:sz w:val="22"/>
          <w:lang w:val="en-GB"/>
        </w:rPr>
        <w:t xml:space="preserve"> On 11 December 2017 the Authority approved a report to implement the requirements of the Order</w:t>
      </w:r>
      <w:r w:rsidR="0003320E" w:rsidRPr="000D67C6">
        <w:rPr>
          <w:rFonts w:ascii="Arial" w:eastAsia="Times New Roman" w:hAnsi="Arial" w:cs="Arial"/>
          <w:sz w:val="22"/>
          <w:lang w:val="en-GB"/>
        </w:rPr>
        <w:t xml:space="preserve"> and </w:t>
      </w:r>
      <w:r w:rsidRPr="000D67C6">
        <w:rPr>
          <w:rFonts w:ascii="Arial" w:eastAsia="Times New Roman" w:hAnsi="Arial" w:cs="Arial"/>
          <w:sz w:val="22"/>
          <w:lang w:val="en-GB"/>
        </w:rPr>
        <w:t>consultation</w:t>
      </w:r>
      <w:r w:rsidR="003C18EF" w:rsidRPr="000D67C6">
        <w:rPr>
          <w:rFonts w:ascii="Arial" w:eastAsia="Times New Roman" w:hAnsi="Arial" w:cs="Arial"/>
          <w:sz w:val="22"/>
          <w:lang w:val="en-GB"/>
        </w:rPr>
        <w:t xml:space="preserve"> was</w:t>
      </w:r>
      <w:r w:rsidRPr="000D67C6">
        <w:rPr>
          <w:rFonts w:ascii="Arial" w:eastAsia="Times New Roman" w:hAnsi="Arial" w:cs="Arial"/>
          <w:sz w:val="22"/>
          <w:lang w:val="en-GB"/>
        </w:rPr>
        <w:t xml:space="preserve"> </w:t>
      </w:r>
      <w:r w:rsidR="00BC4DD7" w:rsidRPr="000D67C6">
        <w:rPr>
          <w:rFonts w:ascii="Arial" w:eastAsia="Times New Roman" w:hAnsi="Arial" w:cs="Arial"/>
          <w:sz w:val="22"/>
          <w:lang w:val="en-GB"/>
        </w:rPr>
        <w:t xml:space="preserve">undertaken </w:t>
      </w:r>
      <w:r w:rsidRPr="000D67C6">
        <w:rPr>
          <w:rFonts w:ascii="Arial" w:eastAsia="Times New Roman" w:hAnsi="Arial" w:cs="Arial"/>
          <w:sz w:val="22"/>
          <w:lang w:val="en-GB"/>
        </w:rPr>
        <w:t xml:space="preserve">with the appropriate representative bodies on the implementation date and retrospective application of the policy. </w:t>
      </w:r>
      <w:r w:rsidR="00390E78" w:rsidRPr="000D67C6">
        <w:rPr>
          <w:rFonts w:ascii="Arial" w:eastAsia="Times New Roman" w:hAnsi="Arial" w:cs="Arial"/>
          <w:sz w:val="22"/>
          <w:lang w:val="en-GB"/>
        </w:rPr>
        <w:t xml:space="preserve"> </w:t>
      </w:r>
      <w:r w:rsidRPr="000D67C6">
        <w:rPr>
          <w:rFonts w:ascii="Arial" w:eastAsia="Times New Roman" w:hAnsi="Arial" w:cs="Arial"/>
          <w:sz w:val="22"/>
          <w:lang w:val="en-GB"/>
        </w:rPr>
        <w:t>As a consequence of the delays in implementing the Order a small number of retirees have received pension settlements which are not in accordance with the relevant regulation</w:t>
      </w:r>
      <w:r w:rsidR="0003320E" w:rsidRPr="000D67C6">
        <w:rPr>
          <w:rFonts w:ascii="Arial" w:eastAsia="Times New Roman" w:hAnsi="Arial" w:cs="Arial"/>
          <w:sz w:val="22"/>
          <w:lang w:val="en-GB"/>
        </w:rPr>
        <w:t>s.  However</w:t>
      </w:r>
      <w:r w:rsidR="00A04841" w:rsidRPr="000D67C6">
        <w:rPr>
          <w:rFonts w:ascii="Arial" w:eastAsia="Times New Roman" w:hAnsi="Arial" w:cs="Arial"/>
          <w:sz w:val="22"/>
          <w:lang w:val="en-GB"/>
        </w:rPr>
        <w:t>,</w:t>
      </w:r>
      <w:r w:rsidR="00BB11BA" w:rsidRPr="000D67C6">
        <w:rPr>
          <w:rFonts w:ascii="Arial" w:eastAsia="Times New Roman" w:hAnsi="Arial" w:cs="Arial"/>
          <w:sz w:val="22"/>
          <w:lang w:val="en-GB"/>
        </w:rPr>
        <w:t xml:space="preserve"> </w:t>
      </w:r>
      <w:r w:rsidR="00A04841" w:rsidRPr="000D67C6">
        <w:rPr>
          <w:rFonts w:ascii="Arial" w:eastAsia="Times New Roman" w:hAnsi="Arial" w:cs="Arial"/>
          <w:sz w:val="22"/>
          <w:lang w:val="en-GB"/>
        </w:rPr>
        <w:t xml:space="preserve">at </w:t>
      </w:r>
      <w:r w:rsidR="00C43535" w:rsidRPr="000D67C6">
        <w:rPr>
          <w:rFonts w:ascii="Arial" w:eastAsia="Times New Roman" w:hAnsi="Arial" w:cs="Arial"/>
          <w:sz w:val="22"/>
        </w:rPr>
        <w:t>its meeting on 10 December 2018 the Authority approved proposals considered appropriate as a</w:t>
      </w:r>
      <w:r w:rsidR="00FB3086" w:rsidRPr="000D67C6">
        <w:rPr>
          <w:rFonts w:ascii="Arial" w:eastAsia="Times New Roman" w:hAnsi="Arial" w:cs="Arial"/>
          <w:sz w:val="22"/>
        </w:rPr>
        <w:t xml:space="preserve"> </w:t>
      </w:r>
      <w:r w:rsidR="00C43535" w:rsidRPr="000D67C6">
        <w:rPr>
          <w:rFonts w:ascii="Arial" w:eastAsia="Times New Roman" w:hAnsi="Arial" w:cs="Arial"/>
          <w:sz w:val="22"/>
        </w:rPr>
        <w:t>resolution of this matter, taking into account legal</w:t>
      </w:r>
      <w:r w:rsidR="00FB3086" w:rsidRPr="000D67C6">
        <w:rPr>
          <w:rFonts w:ascii="Arial" w:eastAsia="Times New Roman" w:hAnsi="Arial" w:cs="Arial"/>
          <w:sz w:val="22"/>
        </w:rPr>
        <w:t xml:space="preserve"> </w:t>
      </w:r>
      <w:r w:rsidR="00C522E3" w:rsidRPr="000D67C6">
        <w:rPr>
          <w:rFonts w:ascii="Arial" w:eastAsia="Times New Roman" w:hAnsi="Arial" w:cs="Arial"/>
          <w:sz w:val="22"/>
        </w:rPr>
        <w:t xml:space="preserve">opinion and following </w:t>
      </w:r>
      <w:r w:rsidR="00C43535" w:rsidRPr="000D67C6">
        <w:rPr>
          <w:rFonts w:ascii="Arial" w:eastAsia="Times New Roman" w:hAnsi="Arial" w:cs="Arial"/>
          <w:sz w:val="22"/>
        </w:rPr>
        <w:t>discussion and meetings with the Welsh Government, </w:t>
      </w:r>
      <w:r w:rsidR="00974610" w:rsidRPr="000D67C6">
        <w:rPr>
          <w:rFonts w:ascii="Arial" w:eastAsia="Times New Roman" w:hAnsi="Arial" w:cs="Arial"/>
          <w:sz w:val="22"/>
        </w:rPr>
        <w:t xml:space="preserve">and </w:t>
      </w:r>
      <w:r w:rsidR="00C43535" w:rsidRPr="000D67C6">
        <w:rPr>
          <w:rFonts w:ascii="Arial" w:eastAsia="Times New Roman" w:hAnsi="Arial" w:cs="Arial"/>
          <w:sz w:val="22"/>
        </w:rPr>
        <w:t xml:space="preserve">the other </w:t>
      </w:r>
      <w:r w:rsidR="004A478E" w:rsidRPr="000D67C6">
        <w:rPr>
          <w:rFonts w:ascii="Arial" w:eastAsia="Times New Roman" w:hAnsi="Arial" w:cs="Arial"/>
          <w:sz w:val="22"/>
        </w:rPr>
        <w:t xml:space="preserve">two </w:t>
      </w:r>
      <w:r w:rsidR="00C43535" w:rsidRPr="000D67C6">
        <w:rPr>
          <w:rFonts w:ascii="Arial" w:eastAsia="Times New Roman" w:hAnsi="Arial" w:cs="Arial"/>
          <w:sz w:val="22"/>
        </w:rPr>
        <w:t>Welsh Fire and Rescue Services in Wales</w:t>
      </w:r>
      <w:r w:rsidR="005B1EBE" w:rsidRPr="000D67C6">
        <w:rPr>
          <w:rFonts w:ascii="Arial" w:eastAsia="Times New Roman" w:hAnsi="Arial" w:cs="Arial"/>
          <w:sz w:val="22"/>
        </w:rPr>
        <w:t xml:space="preserve">, </w:t>
      </w:r>
      <w:r w:rsidR="00BB11BA" w:rsidRPr="000D67C6">
        <w:rPr>
          <w:rFonts w:ascii="Arial" w:eastAsia="Times New Roman" w:hAnsi="Arial" w:cs="Arial"/>
          <w:sz w:val="22"/>
          <w:lang w:val="en-GB"/>
        </w:rPr>
        <w:t>t</w:t>
      </w:r>
      <w:r w:rsidR="006B5250" w:rsidRPr="000D67C6">
        <w:rPr>
          <w:rFonts w:ascii="Arial" w:eastAsia="Times New Roman" w:hAnsi="Arial" w:cs="Arial"/>
          <w:sz w:val="22"/>
          <w:lang w:val="en-GB"/>
        </w:rPr>
        <w:t xml:space="preserve">he </w:t>
      </w:r>
      <w:r w:rsidRPr="000D67C6">
        <w:rPr>
          <w:rFonts w:ascii="Arial" w:eastAsia="Times New Roman" w:hAnsi="Arial" w:cs="Arial"/>
          <w:sz w:val="22"/>
          <w:lang w:val="en-GB"/>
        </w:rPr>
        <w:t xml:space="preserve">Authority </w:t>
      </w:r>
      <w:r w:rsidR="008E315E" w:rsidRPr="000D67C6">
        <w:rPr>
          <w:rFonts w:ascii="Arial" w:eastAsia="Times New Roman" w:hAnsi="Arial" w:cs="Arial"/>
          <w:sz w:val="22"/>
          <w:lang w:val="en-GB"/>
        </w:rPr>
        <w:t>has taken</w:t>
      </w:r>
      <w:r w:rsidR="00912313" w:rsidRPr="000D67C6">
        <w:rPr>
          <w:rFonts w:ascii="Arial" w:eastAsia="Times New Roman" w:hAnsi="Arial" w:cs="Arial"/>
          <w:sz w:val="22"/>
          <w:szCs w:val="22"/>
          <w:lang w:val="en-GB"/>
        </w:rPr>
        <w:t xml:space="preserve"> </w:t>
      </w:r>
      <w:r w:rsidR="00912313" w:rsidRPr="000D67C6">
        <w:rPr>
          <w:rStyle w:val="normaltextrun"/>
          <w:rFonts w:ascii="Arial" w:hAnsi="Arial" w:cs="Arial"/>
          <w:sz w:val="22"/>
          <w:szCs w:val="22"/>
          <w:shd w:val="clear" w:color="auto" w:fill="FFFFFF"/>
        </w:rPr>
        <w:t>r</w:t>
      </w:r>
      <w:r w:rsidR="006B5250" w:rsidRPr="000D67C6">
        <w:rPr>
          <w:rStyle w:val="normaltextrun"/>
          <w:rFonts w:ascii="Arial" w:hAnsi="Arial" w:cs="Arial"/>
          <w:sz w:val="22"/>
          <w:szCs w:val="22"/>
          <w:shd w:val="clear" w:color="auto" w:fill="FFFFFF"/>
        </w:rPr>
        <w:t>emedial action and</w:t>
      </w:r>
      <w:r w:rsidR="00AC06DB" w:rsidRPr="000D67C6">
        <w:rPr>
          <w:rStyle w:val="normaltextrun"/>
          <w:rFonts w:ascii="Arial" w:hAnsi="Arial" w:cs="Arial"/>
          <w:sz w:val="22"/>
          <w:szCs w:val="22"/>
          <w:shd w:val="clear" w:color="auto" w:fill="FFFFFF"/>
        </w:rPr>
        <w:t xml:space="preserve"> </w:t>
      </w:r>
      <w:r w:rsidR="006B5250" w:rsidRPr="000D67C6">
        <w:rPr>
          <w:rStyle w:val="normaltextrun"/>
          <w:rFonts w:ascii="Arial" w:hAnsi="Arial" w:cs="Arial"/>
          <w:sz w:val="22"/>
          <w:szCs w:val="22"/>
          <w:shd w:val="clear" w:color="auto" w:fill="FFFFFF"/>
        </w:rPr>
        <w:t xml:space="preserve">the exercise </w:t>
      </w:r>
      <w:r w:rsidR="0038029A" w:rsidRPr="000D67C6">
        <w:rPr>
          <w:rStyle w:val="normaltextrun"/>
          <w:rFonts w:ascii="Arial" w:hAnsi="Arial" w:cs="Arial"/>
          <w:sz w:val="22"/>
          <w:szCs w:val="22"/>
          <w:shd w:val="clear" w:color="auto" w:fill="FFFFFF"/>
        </w:rPr>
        <w:t xml:space="preserve">is </w:t>
      </w:r>
      <w:r w:rsidR="00BC4DD7" w:rsidRPr="000D67C6">
        <w:rPr>
          <w:rStyle w:val="normaltextrun"/>
          <w:rFonts w:ascii="Arial" w:hAnsi="Arial" w:cs="Arial"/>
          <w:sz w:val="22"/>
          <w:szCs w:val="22"/>
          <w:shd w:val="clear" w:color="auto" w:fill="FFFFFF"/>
        </w:rPr>
        <w:t xml:space="preserve">now </w:t>
      </w:r>
      <w:r w:rsidR="00E87395" w:rsidRPr="000D67C6">
        <w:rPr>
          <w:rStyle w:val="normaltextrun"/>
          <w:rFonts w:ascii="Arial" w:hAnsi="Arial" w:cs="Arial"/>
          <w:sz w:val="22"/>
          <w:szCs w:val="22"/>
          <w:shd w:val="clear" w:color="auto" w:fill="FFFFFF"/>
        </w:rPr>
        <w:t>c</w:t>
      </w:r>
      <w:r w:rsidR="006B5250" w:rsidRPr="000D67C6">
        <w:rPr>
          <w:rStyle w:val="normaltextrun"/>
          <w:rFonts w:ascii="Arial" w:hAnsi="Arial" w:cs="Arial"/>
          <w:sz w:val="22"/>
          <w:szCs w:val="22"/>
          <w:shd w:val="clear" w:color="auto" w:fill="FFFFFF"/>
        </w:rPr>
        <w:t>oncluded</w:t>
      </w:r>
      <w:r w:rsidR="007B03CF" w:rsidRPr="000D67C6">
        <w:rPr>
          <w:rStyle w:val="normaltextrun"/>
          <w:rFonts w:ascii="Arial" w:hAnsi="Arial" w:cs="Arial"/>
          <w:sz w:val="22"/>
          <w:szCs w:val="22"/>
          <w:shd w:val="clear" w:color="auto" w:fill="FFFFFF"/>
        </w:rPr>
        <w:t>.</w:t>
      </w:r>
    </w:p>
    <w:p w14:paraId="4E6F6C33" w14:textId="77777777" w:rsidR="00C522E3" w:rsidRPr="000D67C6" w:rsidRDefault="00C522E3" w:rsidP="00FB3086">
      <w:pPr>
        <w:pStyle w:val="Normal0"/>
        <w:rPr>
          <w:rFonts w:ascii="Arial" w:eastAsia="Times New Roman" w:hAnsi="Arial" w:cs="Arial"/>
          <w:color w:val="FF0000"/>
          <w:sz w:val="22"/>
          <w:lang w:val="en-GB"/>
        </w:rPr>
      </w:pPr>
    </w:p>
    <w:p w14:paraId="2396B07A" w14:textId="77777777" w:rsidR="008F013B" w:rsidRPr="000D67C6" w:rsidRDefault="008F013B" w:rsidP="00EB7A52">
      <w:pPr>
        <w:pStyle w:val="Normal0"/>
        <w:jc w:val="both"/>
        <w:rPr>
          <w:rFonts w:ascii="Arial" w:eastAsia="Times New Roman" w:hAnsi="Arial" w:cs="Arial"/>
          <w:b/>
          <w:sz w:val="22"/>
          <w:lang w:val="en-GB"/>
        </w:rPr>
      </w:pPr>
      <w:r w:rsidRPr="000D67C6">
        <w:rPr>
          <w:rFonts w:ascii="Arial" w:eastAsia="Times New Roman" w:hAnsi="Arial" w:cs="Arial"/>
          <w:b/>
          <w:sz w:val="22"/>
          <w:lang w:val="en-GB"/>
        </w:rPr>
        <w:t>Contribution Rates</w:t>
      </w:r>
    </w:p>
    <w:p w14:paraId="66FD0AE4" w14:textId="77777777" w:rsidR="008F013B" w:rsidRPr="000D67C6" w:rsidRDefault="008F013B" w:rsidP="00EB7A52">
      <w:pPr>
        <w:pStyle w:val="Normal0"/>
        <w:jc w:val="both"/>
        <w:rPr>
          <w:rFonts w:ascii="Arial" w:eastAsia="Times New Roman" w:hAnsi="Arial" w:cs="Arial"/>
          <w:sz w:val="22"/>
          <w:lang w:val="en-GB"/>
        </w:rPr>
      </w:pPr>
    </w:p>
    <w:p w14:paraId="1497AD1D" w14:textId="77777777" w:rsidR="008F013B" w:rsidRPr="000D67C6" w:rsidRDefault="008F013B" w:rsidP="00EB7A52">
      <w:pPr>
        <w:pStyle w:val="Normal0"/>
        <w:jc w:val="both"/>
        <w:rPr>
          <w:rFonts w:ascii="Arial" w:eastAsia="Times New Roman" w:hAnsi="Arial" w:cs="Arial"/>
          <w:sz w:val="22"/>
          <w:lang w:val="en-GB"/>
        </w:rPr>
      </w:pPr>
      <w:r w:rsidRPr="000D67C6">
        <w:rPr>
          <w:rFonts w:ascii="Arial" w:eastAsia="Times New Roman" w:hAnsi="Arial" w:cs="Arial"/>
          <w:sz w:val="22"/>
          <w:lang w:val="en-GB"/>
        </w:rPr>
        <w:t>Under the Firefighters’ Pension Regulations, the employer’s contribution rate for the 2015 scheme was 14.3% of pensionable pay with employee’s rates as per the pensionable pay banding detailed below:</w:t>
      </w:r>
    </w:p>
    <w:p w14:paraId="19D8F4AC" w14:textId="77777777" w:rsidR="008F013B" w:rsidRPr="000D67C6" w:rsidRDefault="008F013B" w:rsidP="008F013B">
      <w:pPr>
        <w:pStyle w:val="Normal0"/>
        <w:jc w:val="both"/>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tblGrid>
      <w:tr w:rsidR="00464E99" w:rsidRPr="000D67C6" w14:paraId="611A8709" w14:textId="77777777" w:rsidTr="008F013B">
        <w:tc>
          <w:tcPr>
            <w:tcW w:w="6629" w:type="dxa"/>
            <w:shd w:val="clear" w:color="auto" w:fill="auto"/>
          </w:tcPr>
          <w:p w14:paraId="332F3ABC" w14:textId="77777777" w:rsidR="008F013B" w:rsidRPr="000D67C6" w:rsidRDefault="008F013B" w:rsidP="008F013B">
            <w:pPr>
              <w:pStyle w:val="Normal0"/>
              <w:rPr>
                <w:rFonts w:ascii="Arial" w:eastAsia="Times New Roman" w:hAnsi="Arial" w:cs="Arial"/>
                <w:b/>
                <w:sz w:val="22"/>
                <w:szCs w:val="22"/>
                <w:lang w:val="en-GB"/>
              </w:rPr>
            </w:pPr>
            <w:r w:rsidRPr="000D67C6">
              <w:rPr>
                <w:rFonts w:ascii="Arial" w:eastAsia="Times New Roman" w:hAnsi="Arial" w:cs="Arial"/>
                <w:b/>
                <w:sz w:val="22"/>
                <w:szCs w:val="22"/>
                <w:lang w:val="en-GB"/>
              </w:rPr>
              <w:t>Pensionable Pay Band</w:t>
            </w:r>
          </w:p>
        </w:tc>
        <w:tc>
          <w:tcPr>
            <w:tcW w:w="2126" w:type="dxa"/>
            <w:shd w:val="clear" w:color="auto" w:fill="auto"/>
          </w:tcPr>
          <w:p w14:paraId="35ED0661" w14:textId="77777777" w:rsidR="008F013B" w:rsidRPr="000D67C6" w:rsidRDefault="00C15A6E" w:rsidP="008F013B">
            <w:pPr>
              <w:pStyle w:val="Normal0"/>
              <w:jc w:val="center"/>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0F4679" w:rsidRPr="000D67C6">
              <w:rPr>
                <w:rFonts w:ascii="Arial" w:eastAsia="Times New Roman" w:hAnsi="Arial" w:cs="Arial"/>
                <w:b/>
                <w:sz w:val="22"/>
                <w:szCs w:val="22"/>
                <w:lang w:val="en-GB"/>
              </w:rPr>
              <w:t>8</w:t>
            </w:r>
            <w:r w:rsidRPr="000D67C6">
              <w:rPr>
                <w:rFonts w:ascii="Arial" w:eastAsia="Times New Roman" w:hAnsi="Arial" w:cs="Arial"/>
                <w:b/>
                <w:sz w:val="22"/>
                <w:szCs w:val="22"/>
                <w:lang w:val="en-GB"/>
              </w:rPr>
              <w:t>/1</w:t>
            </w:r>
            <w:r w:rsidR="000F4679" w:rsidRPr="000D67C6">
              <w:rPr>
                <w:rFonts w:ascii="Arial" w:eastAsia="Times New Roman" w:hAnsi="Arial" w:cs="Arial"/>
                <w:b/>
                <w:sz w:val="22"/>
                <w:szCs w:val="22"/>
                <w:lang w:val="en-GB"/>
              </w:rPr>
              <w:t>9</w:t>
            </w:r>
            <w:r w:rsidR="00F54FAD" w:rsidRPr="000D67C6">
              <w:rPr>
                <w:rFonts w:ascii="Arial" w:eastAsia="Times New Roman" w:hAnsi="Arial" w:cs="Arial"/>
                <w:b/>
                <w:sz w:val="22"/>
                <w:szCs w:val="22"/>
                <w:lang w:val="en-GB"/>
              </w:rPr>
              <w:t xml:space="preserve"> </w:t>
            </w:r>
            <w:r w:rsidR="008F013B" w:rsidRPr="000D67C6">
              <w:rPr>
                <w:rFonts w:ascii="Arial" w:eastAsia="Times New Roman" w:hAnsi="Arial" w:cs="Arial"/>
                <w:b/>
                <w:sz w:val="22"/>
                <w:szCs w:val="22"/>
                <w:lang w:val="en-GB"/>
              </w:rPr>
              <w:t>Contribution Rate %</w:t>
            </w:r>
          </w:p>
        </w:tc>
      </w:tr>
      <w:tr w:rsidR="00464E99" w:rsidRPr="000D67C6" w14:paraId="4693B5D2" w14:textId="77777777" w:rsidTr="008F013B">
        <w:tc>
          <w:tcPr>
            <w:tcW w:w="6629" w:type="dxa"/>
            <w:shd w:val="clear" w:color="auto" w:fill="auto"/>
          </w:tcPr>
          <w:p w14:paraId="51BB4F44"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Up to and including £27,</w:t>
            </w:r>
            <w:r w:rsidR="00BE225C" w:rsidRPr="000D67C6">
              <w:rPr>
                <w:rFonts w:ascii="Arial" w:eastAsia="Times New Roman" w:hAnsi="Arial" w:cs="Arial"/>
                <w:sz w:val="22"/>
                <w:szCs w:val="22"/>
                <w:lang w:val="en-GB"/>
              </w:rPr>
              <w:t>818</w:t>
            </w:r>
          </w:p>
        </w:tc>
        <w:tc>
          <w:tcPr>
            <w:tcW w:w="2126" w:type="dxa"/>
            <w:shd w:val="clear" w:color="auto" w:fill="auto"/>
          </w:tcPr>
          <w:p w14:paraId="19DCCC3B"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w:t>
            </w:r>
            <w:r w:rsidR="002B0391" w:rsidRPr="000D67C6">
              <w:rPr>
                <w:rFonts w:ascii="Arial" w:eastAsia="Times New Roman" w:hAnsi="Arial" w:cs="Arial"/>
                <w:sz w:val="22"/>
                <w:szCs w:val="22"/>
                <w:lang w:val="en-GB"/>
              </w:rPr>
              <w:t>1.0</w:t>
            </w:r>
          </w:p>
        </w:tc>
      </w:tr>
      <w:tr w:rsidR="00464E99" w:rsidRPr="000D67C6" w14:paraId="1FD2DE81" w14:textId="77777777" w:rsidTr="008F013B">
        <w:tc>
          <w:tcPr>
            <w:tcW w:w="6629" w:type="dxa"/>
            <w:shd w:val="clear" w:color="auto" w:fill="auto"/>
          </w:tcPr>
          <w:p w14:paraId="2BB31095"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£27,</w:t>
            </w:r>
            <w:r w:rsidR="009844C1" w:rsidRPr="000D67C6">
              <w:rPr>
                <w:rFonts w:ascii="Arial" w:eastAsia="Times New Roman" w:hAnsi="Arial" w:cs="Arial"/>
                <w:sz w:val="22"/>
                <w:szCs w:val="22"/>
                <w:lang w:val="en-GB"/>
              </w:rPr>
              <w:t>81</w:t>
            </w:r>
            <w:r w:rsidR="00926760" w:rsidRPr="000D67C6">
              <w:rPr>
                <w:rFonts w:ascii="Arial" w:eastAsia="Times New Roman" w:hAnsi="Arial" w:cs="Arial"/>
                <w:sz w:val="22"/>
                <w:szCs w:val="22"/>
                <w:lang w:val="en-GB"/>
              </w:rPr>
              <w:t>8</w:t>
            </w:r>
            <w:r w:rsidRPr="000D67C6">
              <w:rPr>
                <w:rFonts w:ascii="Arial" w:eastAsia="Times New Roman" w:hAnsi="Arial" w:cs="Arial"/>
                <w:sz w:val="22"/>
                <w:szCs w:val="22"/>
                <w:lang w:val="en-GB"/>
              </w:rPr>
              <w:t xml:space="preserve"> and up to and including £5</w:t>
            </w:r>
            <w:r w:rsidR="00390E78" w:rsidRPr="000D67C6">
              <w:rPr>
                <w:rFonts w:ascii="Arial" w:eastAsia="Times New Roman" w:hAnsi="Arial" w:cs="Arial"/>
                <w:sz w:val="22"/>
                <w:szCs w:val="22"/>
                <w:lang w:val="en-GB"/>
              </w:rPr>
              <w:t>1</w:t>
            </w:r>
            <w:r w:rsidRPr="000D67C6">
              <w:rPr>
                <w:rFonts w:ascii="Arial" w:eastAsia="Times New Roman" w:hAnsi="Arial" w:cs="Arial"/>
                <w:sz w:val="22"/>
                <w:szCs w:val="22"/>
                <w:lang w:val="en-GB"/>
              </w:rPr>
              <w:t>,</w:t>
            </w:r>
            <w:r w:rsidR="002B0391" w:rsidRPr="000D67C6">
              <w:rPr>
                <w:rFonts w:ascii="Arial" w:eastAsia="Times New Roman" w:hAnsi="Arial" w:cs="Arial"/>
                <w:sz w:val="22"/>
                <w:szCs w:val="22"/>
                <w:lang w:val="en-GB"/>
              </w:rPr>
              <w:t>515</w:t>
            </w:r>
          </w:p>
        </w:tc>
        <w:tc>
          <w:tcPr>
            <w:tcW w:w="2126" w:type="dxa"/>
            <w:shd w:val="clear" w:color="auto" w:fill="auto"/>
          </w:tcPr>
          <w:p w14:paraId="0F8FEF0F"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12.</w:t>
            </w:r>
            <w:r w:rsidR="002B0391" w:rsidRPr="000D67C6">
              <w:rPr>
                <w:rFonts w:ascii="Arial" w:eastAsia="Times New Roman" w:hAnsi="Arial" w:cs="Arial"/>
                <w:sz w:val="22"/>
                <w:szCs w:val="22"/>
                <w:lang w:val="en-GB"/>
              </w:rPr>
              <w:t>9</w:t>
            </w:r>
          </w:p>
        </w:tc>
      </w:tr>
      <w:tr w:rsidR="00464E99" w:rsidRPr="000D67C6" w14:paraId="180A03D0" w14:textId="77777777" w:rsidTr="008F013B">
        <w:tc>
          <w:tcPr>
            <w:tcW w:w="6629" w:type="dxa"/>
            <w:shd w:val="clear" w:color="auto" w:fill="auto"/>
          </w:tcPr>
          <w:p w14:paraId="77AEBC59"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£5</w:t>
            </w:r>
            <w:r w:rsidR="00390E78" w:rsidRPr="000D67C6">
              <w:rPr>
                <w:rFonts w:ascii="Arial" w:eastAsia="Times New Roman" w:hAnsi="Arial" w:cs="Arial"/>
                <w:sz w:val="22"/>
                <w:szCs w:val="22"/>
                <w:lang w:val="en-GB"/>
              </w:rPr>
              <w:t>1</w:t>
            </w:r>
            <w:r w:rsidRPr="000D67C6">
              <w:rPr>
                <w:rFonts w:ascii="Arial" w:eastAsia="Times New Roman" w:hAnsi="Arial" w:cs="Arial"/>
                <w:sz w:val="22"/>
                <w:szCs w:val="22"/>
                <w:lang w:val="en-GB"/>
              </w:rPr>
              <w:t>,</w:t>
            </w:r>
            <w:r w:rsidR="009844C1" w:rsidRPr="000D67C6">
              <w:rPr>
                <w:rFonts w:ascii="Arial" w:eastAsia="Times New Roman" w:hAnsi="Arial" w:cs="Arial"/>
                <w:sz w:val="22"/>
                <w:szCs w:val="22"/>
                <w:lang w:val="en-GB"/>
              </w:rPr>
              <w:t>51</w:t>
            </w:r>
            <w:r w:rsidR="00926760" w:rsidRPr="000D67C6">
              <w:rPr>
                <w:rFonts w:ascii="Arial" w:eastAsia="Times New Roman" w:hAnsi="Arial" w:cs="Arial"/>
                <w:sz w:val="22"/>
                <w:szCs w:val="22"/>
                <w:lang w:val="en-GB"/>
              </w:rPr>
              <w:t>5</w:t>
            </w:r>
            <w:r w:rsidRPr="000D67C6">
              <w:rPr>
                <w:rFonts w:ascii="Arial" w:eastAsia="Times New Roman" w:hAnsi="Arial" w:cs="Arial"/>
                <w:sz w:val="22"/>
                <w:szCs w:val="22"/>
                <w:lang w:val="en-GB"/>
              </w:rPr>
              <w:t xml:space="preserve"> and up to and including £142,500</w:t>
            </w:r>
          </w:p>
        </w:tc>
        <w:tc>
          <w:tcPr>
            <w:tcW w:w="2126" w:type="dxa"/>
            <w:shd w:val="clear" w:color="auto" w:fill="auto"/>
          </w:tcPr>
          <w:p w14:paraId="057C9919"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13.5</w:t>
            </w:r>
          </w:p>
        </w:tc>
      </w:tr>
      <w:tr w:rsidR="00464E99" w:rsidRPr="000D67C6" w14:paraId="6E3C6F41" w14:textId="77777777" w:rsidTr="008F013B">
        <w:tc>
          <w:tcPr>
            <w:tcW w:w="6629" w:type="dxa"/>
            <w:shd w:val="clear" w:color="auto" w:fill="auto"/>
          </w:tcPr>
          <w:p w14:paraId="53411116"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£142,500</w:t>
            </w:r>
          </w:p>
        </w:tc>
        <w:tc>
          <w:tcPr>
            <w:tcW w:w="2126" w:type="dxa"/>
            <w:shd w:val="clear" w:color="auto" w:fill="auto"/>
          </w:tcPr>
          <w:p w14:paraId="0239609F"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14.5</w:t>
            </w:r>
          </w:p>
        </w:tc>
      </w:tr>
    </w:tbl>
    <w:p w14:paraId="1F84F300" w14:textId="77777777" w:rsidR="008F013B" w:rsidRPr="000D67C6" w:rsidRDefault="00390E78"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ab/>
      </w:r>
    </w:p>
    <w:p w14:paraId="4A6AFE12"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For the 2006 scheme the employer’s contribution was 16.8% of pensionable pay with employee’s rates as per the pensionable pay banding detailed below:</w:t>
      </w:r>
    </w:p>
    <w:p w14:paraId="05A1E5CA" w14:textId="77777777" w:rsidR="008F013B" w:rsidRPr="000D67C6" w:rsidRDefault="008F013B" w:rsidP="008F013B">
      <w:pPr>
        <w:pStyle w:val="Normal0"/>
        <w:jc w:val="both"/>
        <w:rPr>
          <w:rFonts w:ascii="Arial" w:eastAsia="Times New Roman"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tblGrid>
      <w:tr w:rsidR="00464E99" w:rsidRPr="000D67C6" w14:paraId="26DA4403" w14:textId="77777777" w:rsidTr="008F013B">
        <w:tc>
          <w:tcPr>
            <w:tcW w:w="6629" w:type="dxa"/>
            <w:shd w:val="clear" w:color="auto" w:fill="auto"/>
          </w:tcPr>
          <w:p w14:paraId="2EF9236B" w14:textId="77777777" w:rsidR="008F013B" w:rsidRPr="000D67C6" w:rsidRDefault="008F013B" w:rsidP="008F013B">
            <w:pPr>
              <w:pStyle w:val="Normal0"/>
              <w:rPr>
                <w:rFonts w:ascii="Arial" w:eastAsia="Times New Roman" w:hAnsi="Arial" w:cs="Arial"/>
                <w:b/>
                <w:sz w:val="22"/>
                <w:szCs w:val="22"/>
                <w:lang w:val="en-GB"/>
              </w:rPr>
            </w:pPr>
            <w:r w:rsidRPr="000D67C6">
              <w:rPr>
                <w:rFonts w:ascii="Arial" w:eastAsia="Times New Roman" w:hAnsi="Arial" w:cs="Arial"/>
                <w:b/>
                <w:sz w:val="22"/>
                <w:szCs w:val="22"/>
                <w:lang w:val="en-GB"/>
              </w:rPr>
              <w:t>Pensionable Pay Band</w:t>
            </w:r>
          </w:p>
        </w:tc>
        <w:tc>
          <w:tcPr>
            <w:tcW w:w="2126" w:type="dxa"/>
            <w:shd w:val="clear" w:color="auto" w:fill="auto"/>
          </w:tcPr>
          <w:p w14:paraId="26D079B8" w14:textId="77777777" w:rsidR="008F013B" w:rsidRPr="000D67C6" w:rsidRDefault="00C15A6E" w:rsidP="008F013B">
            <w:pPr>
              <w:pStyle w:val="Normal0"/>
              <w:jc w:val="center"/>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0F4679" w:rsidRPr="000D67C6">
              <w:rPr>
                <w:rFonts w:ascii="Arial" w:eastAsia="Times New Roman" w:hAnsi="Arial" w:cs="Arial"/>
                <w:b/>
                <w:sz w:val="22"/>
                <w:szCs w:val="22"/>
                <w:lang w:val="en-GB"/>
              </w:rPr>
              <w:t>8/19</w:t>
            </w:r>
            <w:r w:rsidR="008F013B" w:rsidRPr="000D67C6">
              <w:rPr>
                <w:rFonts w:ascii="Arial" w:eastAsia="Times New Roman" w:hAnsi="Arial" w:cs="Arial"/>
                <w:b/>
                <w:sz w:val="22"/>
                <w:szCs w:val="22"/>
                <w:lang w:val="en-GB"/>
              </w:rPr>
              <w:t xml:space="preserve"> Contribution Rate %</w:t>
            </w:r>
          </w:p>
        </w:tc>
      </w:tr>
      <w:tr w:rsidR="00464E99" w:rsidRPr="000D67C6" w14:paraId="51F2CBB9" w14:textId="77777777" w:rsidTr="008F013B">
        <w:tc>
          <w:tcPr>
            <w:tcW w:w="6629" w:type="dxa"/>
            <w:shd w:val="clear" w:color="auto" w:fill="auto"/>
          </w:tcPr>
          <w:p w14:paraId="1E6FFB76"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Up to and including £15,</w:t>
            </w:r>
            <w:r w:rsidR="0060320C" w:rsidRPr="000D67C6">
              <w:rPr>
                <w:rFonts w:ascii="Arial" w:eastAsia="Times New Roman" w:hAnsi="Arial" w:cs="Arial"/>
                <w:sz w:val="22"/>
                <w:szCs w:val="22"/>
                <w:lang w:val="en-GB"/>
              </w:rPr>
              <w:t>609</w:t>
            </w:r>
          </w:p>
        </w:tc>
        <w:tc>
          <w:tcPr>
            <w:tcW w:w="2126" w:type="dxa"/>
            <w:shd w:val="clear" w:color="auto" w:fill="auto"/>
          </w:tcPr>
          <w:p w14:paraId="490EA593"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8.5</w:t>
            </w:r>
          </w:p>
        </w:tc>
      </w:tr>
      <w:tr w:rsidR="00464E99" w:rsidRPr="000D67C6" w14:paraId="3656852C" w14:textId="77777777" w:rsidTr="008F013B">
        <w:tc>
          <w:tcPr>
            <w:tcW w:w="6629" w:type="dxa"/>
            <w:shd w:val="clear" w:color="auto" w:fill="auto"/>
          </w:tcPr>
          <w:p w14:paraId="6A7E5172"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£15,</w:t>
            </w:r>
            <w:r w:rsidR="00926760" w:rsidRPr="000D67C6">
              <w:rPr>
                <w:rFonts w:ascii="Arial" w:eastAsia="Times New Roman" w:hAnsi="Arial" w:cs="Arial"/>
                <w:sz w:val="22"/>
                <w:szCs w:val="22"/>
                <w:lang w:val="en-GB"/>
              </w:rPr>
              <w:t>609</w:t>
            </w:r>
            <w:r w:rsidRPr="000D67C6">
              <w:rPr>
                <w:rFonts w:ascii="Arial" w:eastAsia="Times New Roman" w:hAnsi="Arial" w:cs="Arial"/>
                <w:sz w:val="22"/>
                <w:szCs w:val="22"/>
                <w:lang w:val="en-GB"/>
              </w:rPr>
              <w:t xml:space="preserve"> and up to and including £21,</w:t>
            </w:r>
            <w:r w:rsidR="00AD44D3" w:rsidRPr="000D67C6">
              <w:rPr>
                <w:rFonts w:ascii="Arial" w:eastAsia="Times New Roman" w:hAnsi="Arial" w:cs="Arial"/>
                <w:sz w:val="22"/>
                <w:szCs w:val="22"/>
                <w:lang w:val="en-GB"/>
              </w:rPr>
              <w:t>852</w:t>
            </w:r>
          </w:p>
        </w:tc>
        <w:tc>
          <w:tcPr>
            <w:tcW w:w="2126" w:type="dxa"/>
            <w:shd w:val="clear" w:color="auto" w:fill="auto"/>
          </w:tcPr>
          <w:p w14:paraId="0B076912"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9.4</w:t>
            </w:r>
          </w:p>
        </w:tc>
      </w:tr>
      <w:tr w:rsidR="00464E99" w:rsidRPr="000D67C6" w14:paraId="4584A2DD" w14:textId="77777777" w:rsidTr="008F013B">
        <w:tc>
          <w:tcPr>
            <w:tcW w:w="6629" w:type="dxa"/>
            <w:shd w:val="clear" w:color="auto" w:fill="auto"/>
          </w:tcPr>
          <w:p w14:paraId="303FB437"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£21,</w:t>
            </w:r>
            <w:r w:rsidR="00AD44D3" w:rsidRPr="000D67C6">
              <w:rPr>
                <w:rFonts w:ascii="Arial" w:eastAsia="Times New Roman" w:hAnsi="Arial" w:cs="Arial"/>
                <w:sz w:val="22"/>
                <w:szCs w:val="22"/>
                <w:lang w:val="en-GB"/>
              </w:rPr>
              <w:t>852</w:t>
            </w:r>
            <w:r w:rsidRPr="000D67C6">
              <w:rPr>
                <w:rFonts w:ascii="Arial" w:eastAsia="Times New Roman" w:hAnsi="Arial" w:cs="Arial"/>
                <w:sz w:val="22"/>
                <w:szCs w:val="22"/>
                <w:lang w:val="en-GB"/>
              </w:rPr>
              <w:t xml:space="preserve"> and up to and including £3</w:t>
            </w:r>
            <w:r w:rsidR="00AD44D3" w:rsidRPr="000D67C6">
              <w:rPr>
                <w:rFonts w:ascii="Arial" w:eastAsia="Times New Roman" w:hAnsi="Arial" w:cs="Arial"/>
                <w:sz w:val="22"/>
                <w:szCs w:val="22"/>
                <w:lang w:val="en-GB"/>
              </w:rPr>
              <w:t>1,218</w:t>
            </w:r>
          </w:p>
        </w:tc>
        <w:tc>
          <w:tcPr>
            <w:tcW w:w="2126" w:type="dxa"/>
            <w:shd w:val="clear" w:color="auto" w:fill="auto"/>
          </w:tcPr>
          <w:p w14:paraId="16F1638C"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10.4</w:t>
            </w:r>
          </w:p>
        </w:tc>
      </w:tr>
      <w:tr w:rsidR="00464E99" w:rsidRPr="000D67C6" w14:paraId="33FB4F97" w14:textId="77777777" w:rsidTr="008F013B">
        <w:tc>
          <w:tcPr>
            <w:tcW w:w="6629" w:type="dxa"/>
            <w:shd w:val="clear" w:color="auto" w:fill="auto"/>
          </w:tcPr>
          <w:p w14:paraId="0C68CA2F"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£3</w:t>
            </w:r>
            <w:r w:rsidR="00AD44D3" w:rsidRPr="000D67C6">
              <w:rPr>
                <w:rFonts w:ascii="Arial" w:eastAsia="Times New Roman" w:hAnsi="Arial" w:cs="Arial"/>
                <w:sz w:val="22"/>
                <w:szCs w:val="22"/>
                <w:lang w:val="en-GB"/>
              </w:rPr>
              <w:t>1</w:t>
            </w:r>
            <w:r w:rsidRPr="000D67C6">
              <w:rPr>
                <w:rFonts w:ascii="Arial" w:eastAsia="Times New Roman" w:hAnsi="Arial" w:cs="Arial"/>
                <w:sz w:val="22"/>
                <w:szCs w:val="22"/>
                <w:lang w:val="en-GB"/>
              </w:rPr>
              <w:t>,</w:t>
            </w:r>
            <w:r w:rsidR="00AD44D3" w:rsidRPr="000D67C6">
              <w:rPr>
                <w:rFonts w:ascii="Arial" w:eastAsia="Times New Roman" w:hAnsi="Arial" w:cs="Arial"/>
                <w:sz w:val="22"/>
                <w:szCs w:val="22"/>
                <w:lang w:val="en-GB"/>
              </w:rPr>
              <w:t>218</w:t>
            </w:r>
            <w:r w:rsidRPr="000D67C6">
              <w:rPr>
                <w:rFonts w:ascii="Arial" w:eastAsia="Times New Roman" w:hAnsi="Arial" w:cs="Arial"/>
                <w:sz w:val="22"/>
                <w:szCs w:val="22"/>
                <w:lang w:val="en-GB"/>
              </w:rPr>
              <w:t xml:space="preserve"> and up to and including £4</w:t>
            </w:r>
            <w:r w:rsidR="00390E78" w:rsidRPr="000D67C6">
              <w:rPr>
                <w:rFonts w:ascii="Arial" w:eastAsia="Times New Roman" w:hAnsi="Arial" w:cs="Arial"/>
                <w:sz w:val="22"/>
                <w:szCs w:val="22"/>
                <w:lang w:val="en-GB"/>
              </w:rPr>
              <w:t>1</w:t>
            </w:r>
            <w:r w:rsidRPr="000D67C6">
              <w:rPr>
                <w:rFonts w:ascii="Arial" w:eastAsia="Times New Roman" w:hAnsi="Arial" w:cs="Arial"/>
                <w:sz w:val="22"/>
                <w:szCs w:val="22"/>
                <w:lang w:val="en-GB"/>
              </w:rPr>
              <w:t>,</w:t>
            </w:r>
            <w:r w:rsidR="00602D68" w:rsidRPr="000D67C6">
              <w:rPr>
                <w:rFonts w:ascii="Arial" w:eastAsia="Times New Roman" w:hAnsi="Arial" w:cs="Arial"/>
                <w:sz w:val="22"/>
                <w:szCs w:val="22"/>
                <w:lang w:val="en-GB"/>
              </w:rPr>
              <w:t>624</w:t>
            </w:r>
          </w:p>
        </w:tc>
        <w:tc>
          <w:tcPr>
            <w:tcW w:w="2126" w:type="dxa"/>
            <w:shd w:val="clear" w:color="auto" w:fill="auto"/>
          </w:tcPr>
          <w:p w14:paraId="2B213502"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10.9</w:t>
            </w:r>
          </w:p>
        </w:tc>
      </w:tr>
      <w:tr w:rsidR="00464E99" w:rsidRPr="000D67C6" w14:paraId="4C1E488C" w14:textId="77777777" w:rsidTr="008F013B">
        <w:tc>
          <w:tcPr>
            <w:tcW w:w="6629" w:type="dxa"/>
            <w:shd w:val="clear" w:color="auto" w:fill="auto"/>
          </w:tcPr>
          <w:p w14:paraId="4B2920BB"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£4</w:t>
            </w:r>
            <w:r w:rsidR="00390E78" w:rsidRPr="000D67C6">
              <w:rPr>
                <w:rFonts w:ascii="Arial" w:eastAsia="Times New Roman" w:hAnsi="Arial" w:cs="Arial"/>
                <w:sz w:val="22"/>
                <w:szCs w:val="22"/>
                <w:lang w:val="en-GB"/>
              </w:rPr>
              <w:t>1</w:t>
            </w:r>
            <w:r w:rsidRPr="000D67C6">
              <w:rPr>
                <w:rFonts w:ascii="Arial" w:eastAsia="Times New Roman" w:hAnsi="Arial" w:cs="Arial"/>
                <w:sz w:val="22"/>
                <w:szCs w:val="22"/>
                <w:lang w:val="en-GB"/>
              </w:rPr>
              <w:t>,</w:t>
            </w:r>
            <w:r w:rsidR="00602D68" w:rsidRPr="000D67C6">
              <w:rPr>
                <w:rFonts w:ascii="Arial" w:eastAsia="Times New Roman" w:hAnsi="Arial" w:cs="Arial"/>
                <w:sz w:val="22"/>
                <w:szCs w:val="22"/>
                <w:lang w:val="en-GB"/>
              </w:rPr>
              <w:t>624</w:t>
            </w:r>
            <w:r w:rsidRPr="000D67C6">
              <w:rPr>
                <w:rFonts w:ascii="Arial" w:eastAsia="Times New Roman" w:hAnsi="Arial" w:cs="Arial"/>
                <w:sz w:val="22"/>
                <w:szCs w:val="22"/>
                <w:lang w:val="en-GB"/>
              </w:rPr>
              <w:t xml:space="preserve"> and up to and including £5</w:t>
            </w:r>
            <w:r w:rsidR="00602D68" w:rsidRPr="000D67C6">
              <w:rPr>
                <w:rFonts w:ascii="Arial" w:eastAsia="Times New Roman" w:hAnsi="Arial" w:cs="Arial"/>
                <w:sz w:val="22"/>
                <w:szCs w:val="22"/>
                <w:lang w:val="en-GB"/>
              </w:rPr>
              <w:t>2</w:t>
            </w:r>
            <w:r w:rsidR="00390E78" w:rsidRPr="000D67C6">
              <w:rPr>
                <w:rFonts w:ascii="Arial" w:eastAsia="Times New Roman" w:hAnsi="Arial" w:cs="Arial"/>
                <w:sz w:val="22"/>
                <w:szCs w:val="22"/>
                <w:lang w:val="en-GB"/>
              </w:rPr>
              <w:t>,</w:t>
            </w:r>
            <w:r w:rsidR="00602D68" w:rsidRPr="000D67C6">
              <w:rPr>
                <w:rFonts w:ascii="Arial" w:eastAsia="Times New Roman" w:hAnsi="Arial" w:cs="Arial"/>
                <w:sz w:val="22"/>
                <w:szCs w:val="22"/>
                <w:lang w:val="en-GB"/>
              </w:rPr>
              <w:t>030</w:t>
            </w:r>
          </w:p>
        </w:tc>
        <w:tc>
          <w:tcPr>
            <w:tcW w:w="2126" w:type="dxa"/>
            <w:shd w:val="clear" w:color="auto" w:fill="auto"/>
          </w:tcPr>
          <w:p w14:paraId="03D98DB7"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11.2</w:t>
            </w:r>
          </w:p>
        </w:tc>
      </w:tr>
      <w:tr w:rsidR="00464E99" w:rsidRPr="000D67C6" w14:paraId="03EAC3FC" w14:textId="77777777" w:rsidTr="008F013B">
        <w:tc>
          <w:tcPr>
            <w:tcW w:w="6629" w:type="dxa"/>
            <w:shd w:val="clear" w:color="auto" w:fill="auto"/>
          </w:tcPr>
          <w:p w14:paraId="40D1FD00"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£5</w:t>
            </w:r>
            <w:r w:rsidR="00602D68" w:rsidRPr="000D67C6">
              <w:rPr>
                <w:rFonts w:ascii="Arial" w:eastAsia="Times New Roman" w:hAnsi="Arial" w:cs="Arial"/>
                <w:sz w:val="22"/>
                <w:szCs w:val="22"/>
                <w:lang w:val="en-GB"/>
              </w:rPr>
              <w:t>2,030</w:t>
            </w:r>
            <w:r w:rsidRPr="000D67C6">
              <w:rPr>
                <w:rFonts w:ascii="Arial" w:eastAsia="Times New Roman" w:hAnsi="Arial" w:cs="Arial"/>
                <w:sz w:val="22"/>
                <w:szCs w:val="22"/>
                <w:lang w:val="en-GB"/>
              </w:rPr>
              <w:t xml:space="preserve"> and up to and including £6</w:t>
            </w:r>
            <w:r w:rsidR="00602D68" w:rsidRPr="000D67C6">
              <w:rPr>
                <w:rFonts w:ascii="Arial" w:eastAsia="Times New Roman" w:hAnsi="Arial" w:cs="Arial"/>
                <w:sz w:val="22"/>
                <w:szCs w:val="22"/>
                <w:lang w:val="en-GB"/>
              </w:rPr>
              <w:t>2</w:t>
            </w:r>
            <w:r w:rsidRPr="000D67C6">
              <w:rPr>
                <w:rFonts w:ascii="Arial" w:eastAsia="Times New Roman" w:hAnsi="Arial" w:cs="Arial"/>
                <w:sz w:val="22"/>
                <w:szCs w:val="22"/>
                <w:lang w:val="en-GB"/>
              </w:rPr>
              <w:t>,</w:t>
            </w:r>
            <w:r w:rsidR="00602D68" w:rsidRPr="000D67C6">
              <w:rPr>
                <w:rFonts w:ascii="Arial" w:eastAsia="Times New Roman" w:hAnsi="Arial" w:cs="Arial"/>
                <w:sz w:val="22"/>
                <w:szCs w:val="22"/>
                <w:lang w:val="en-GB"/>
              </w:rPr>
              <w:t>436</w:t>
            </w:r>
          </w:p>
        </w:tc>
        <w:tc>
          <w:tcPr>
            <w:tcW w:w="2126" w:type="dxa"/>
            <w:shd w:val="clear" w:color="auto" w:fill="auto"/>
          </w:tcPr>
          <w:p w14:paraId="52E3B02E" w14:textId="77777777" w:rsidR="008F013B" w:rsidRPr="000D67C6" w:rsidRDefault="00390E78"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11.3</w:t>
            </w:r>
          </w:p>
        </w:tc>
      </w:tr>
      <w:tr w:rsidR="00464E99" w:rsidRPr="000D67C6" w14:paraId="6B996658" w14:textId="77777777" w:rsidTr="008F013B">
        <w:tc>
          <w:tcPr>
            <w:tcW w:w="6629" w:type="dxa"/>
            <w:shd w:val="clear" w:color="auto" w:fill="auto"/>
          </w:tcPr>
          <w:p w14:paraId="606D43E8" w14:textId="77777777" w:rsidR="008F013B" w:rsidRPr="000D67C6" w:rsidRDefault="00E636C0"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£6</w:t>
            </w:r>
            <w:r w:rsidR="00602D68" w:rsidRPr="000D67C6">
              <w:rPr>
                <w:rFonts w:ascii="Arial" w:eastAsia="Times New Roman" w:hAnsi="Arial" w:cs="Arial"/>
                <w:sz w:val="22"/>
                <w:szCs w:val="22"/>
                <w:lang w:val="en-GB"/>
              </w:rPr>
              <w:t>2</w:t>
            </w:r>
            <w:r w:rsidRPr="000D67C6">
              <w:rPr>
                <w:rFonts w:ascii="Arial" w:eastAsia="Times New Roman" w:hAnsi="Arial" w:cs="Arial"/>
                <w:sz w:val="22"/>
                <w:szCs w:val="22"/>
                <w:lang w:val="en-GB"/>
              </w:rPr>
              <w:t>,</w:t>
            </w:r>
            <w:r w:rsidR="00602D68" w:rsidRPr="000D67C6">
              <w:rPr>
                <w:rFonts w:ascii="Arial" w:eastAsia="Times New Roman" w:hAnsi="Arial" w:cs="Arial"/>
                <w:sz w:val="22"/>
                <w:szCs w:val="22"/>
                <w:lang w:val="en-GB"/>
              </w:rPr>
              <w:t>436</w:t>
            </w:r>
            <w:r w:rsidR="008F013B" w:rsidRPr="000D67C6">
              <w:rPr>
                <w:rFonts w:ascii="Arial" w:eastAsia="Times New Roman" w:hAnsi="Arial" w:cs="Arial"/>
                <w:sz w:val="22"/>
                <w:szCs w:val="22"/>
                <w:lang w:val="en-GB"/>
              </w:rPr>
              <w:t xml:space="preserve"> and up to and including £10</w:t>
            </w:r>
            <w:r w:rsidR="001170DA" w:rsidRPr="000D67C6">
              <w:rPr>
                <w:rFonts w:ascii="Arial" w:eastAsia="Times New Roman" w:hAnsi="Arial" w:cs="Arial"/>
                <w:sz w:val="22"/>
                <w:szCs w:val="22"/>
                <w:lang w:val="en-GB"/>
              </w:rPr>
              <w:t>4</w:t>
            </w:r>
            <w:r w:rsidR="008F013B" w:rsidRPr="000D67C6">
              <w:rPr>
                <w:rFonts w:ascii="Arial" w:eastAsia="Times New Roman" w:hAnsi="Arial" w:cs="Arial"/>
                <w:sz w:val="22"/>
                <w:szCs w:val="22"/>
                <w:lang w:val="en-GB"/>
              </w:rPr>
              <w:t>,</w:t>
            </w:r>
            <w:r w:rsidR="001170DA" w:rsidRPr="000D67C6">
              <w:rPr>
                <w:rFonts w:ascii="Arial" w:eastAsia="Times New Roman" w:hAnsi="Arial" w:cs="Arial"/>
                <w:sz w:val="22"/>
                <w:szCs w:val="22"/>
                <w:lang w:val="en-GB"/>
              </w:rPr>
              <w:t>060</w:t>
            </w:r>
          </w:p>
        </w:tc>
        <w:tc>
          <w:tcPr>
            <w:tcW w:w="2126" w:type="dxa"/>
            <w:shd w:val="clear" w:color="auto" w:fill="auto"/>
          </w:tcPr>
          <w:p w14:paraId="5AD2FF4F" w14:textId="77777777" w:rsidR="008F013B" w:rsidRPr="000D67C6" w:rsidRDefault="00E636C0"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11.7</w:t>
            </w:r>
          </w:p>
        </w:tc>
      </w:tr>
      <w:tr w:rsidR="00464E99" w:rsidRPr="000D67C6" w14:paraId="48033023" w14:textId="77777777" w:rsidTr="008F013B">
        <w:tc>
          <w:tcPr>
            <w:tcW w:w="6629" w:type="dxa"/>
            <w:shd w:val="clear" w:color="auto" w:fill="auto"/>
          </w:tcPr>
          <w:p w14:paraId="76F82657" w14:textId="77777777" w:rsidR="008F013B" w:rsidRPr="000D67C6" w:rsidRDefault="00E636C0"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£10</w:t>
            </w:r>
            <w:r w:rsidR="001170DA" w:rsidRPr="000D67C6">
              <w:rPr>
                <w:rFonts w:ascii="Arial" w:eastAsia="Times New Roman" w:hAnsi="Arial" w:cs="Arial"/>
                <w:sz w:val="22"/>
                <w:szCs w:val="22"/>
                <w:lang w:val="en-GB"/>
              </w:rPr>
              <w:t>4,</w:t>
            </w:r>
            <w:r w:rsidRPr="000D67C6">
              <w:rPr>
                <w:rFonts w:ascii="Arial" w:eastAsia="Times New Roman" w:hAnsi="Arial" w:cs="Arial"/>
                <w:sz w:val="22"/>
                <w:szCs w:val="22"/>
                <w:lang w:val="en-GB"/>
              </w:rPr>
              <w:t>0</w:t>
            </w:r>
            <w:r w:rsidR="001170DA" w:rsidRPr="000D67C6">
              <w:rPr>
                <w:rFonts w:ascii="Arial" w:eastAsia="Times New Roman" w:hAnsi="Arial" w:cs="Arial"/>
                <w:sz w:val="22"/>
                <w:szCs w:val="22"/>
                <w:lang w:val="en-GB"/>
              </w:rPr>
              <w:t>6</w:t>
            </w:r>
            <w:r w:rsidRPr="000D67C6">
              <w:rPr>
                <w:rFonts w:ascii="Arial" w:eastAsia="Times New Roman" w:hAnsi="Arial" w:cs="Arial"/>
                <w:sz w:val="22"/>
                <w:szCs w:val="22"/>
                <w:lang w:val="en-GB"/>
              </w:rPr>
              <w:t>0</w:t>
            </w:r>
            <w:r w:rsidR="008F013B" w:rsidRPr="000D67C6">
              <w:rPr>
                <w:rFonts w:ascii="Arial" w:eastAsia="Times New Roman" w:hAnsi="Arial" w:cs="Arial"/>
                <w:sz w:val="22"/>
                <w:szCs w:val="22"/>
                <w:lang w:val="en-GB"/>
              </w:rPr>
              <w:t xml:space="preserve"> and up to and including £</w:t>
            </w:r>
            <w:r w:rsidR="001C577C" w:rsidRPr="000D67C6">
              <w:rPr>
                <w:rFonts w:ascii="Arial" w:eastAsia="Times New Roman" w:hAnsi="Arial" w:cs="Arial"/>
                <w:sz w:val="22"/>
                <w:szCs w:val="22"/>
                <w:lang w:val="en-GB"/>
              </w:rPr>
              <w:t>124</w:t>
            </w:r>
            <w:r w:rsidRPr="000D67C6">
              <w:rPr>
                <w:rFonts w:ascii="Arial" w:eastAsia="Times New Roman" w:hAnsi="Arial" w:cs="Arial"/>
                <w:sz w:val="22"/>
                <w:szCs w:val="22"/>
                <w:lang w:val="en-GB"/>
              </w:rPr>
              <w:t>,</w:t>
            </w:r>
            <w:r w:rsidR="001C577C" w:rsidRPr="000D67C6">
              <w:rPr>
                <w:rFonts w:ascii="Arial" w:eastAsia="Times New Roman" w:hAnsi="Arial" w:cs="Arial"/>
                <w:sz w:val="22"/>
                <w:szCs w:val="22"/>
                <w:lang w:val="en-GB"/>
              </w:rPr>
              <w:t>872</w:t>
            </w:r>
          </w:p>
        </w:tc>
        <w:tc>
          <w:tcPr>
            <w:tcW w:w="2126" w:type="dxa"/>
            <w:shd w:val="clear" w:color="auto" w:fill="auto"/>
          </w:tcPr>
          <w:p w14:paraId="28E3D8DC" w14:textId="77777777" w:rsidR="008F013B" w:rsidRPr="000D67C6" w:rsidRDefault="00E636C0"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12.1</w:t>
            </w:r>
          </w:p>
        </w:tc>
      </w:tr>
      <w:tr w:rsidR="00464E99" w:rsidRPr="000D67C6" w14:paraId="57A3DF10" w14:textId="77777777" w:rsidTr="008F013B">
        <w:tc>
          <w:tcPr>
            <w:tcW w:w="6629" w:type="dxa"/>
            <w:shd w:val="clear" w:color="auto" w:fill="auto"/>
          </w:tcPr>
          <w:p w14:paraId="3D5A7BBE" w14:textId="77777777" w:rsidR="008F013B" w:rsidRPr="000D67C6" w:rsidRDefault="00E636C0"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£12</w:t>
            </w:r>
            <w:r w:rsidR="001C577C" w:rsidRPr="000D67C6">
              <w:rPr>
                <w:rFonts w:ascii="Arial" w:eastAsia="Times New Roman" w:hAnsi="Arial" w:cs="Arial"/>
                <w:sz w:val="22"/>
                <w:szCs w:val="22"/>
                <w:lang w:val="en-GB"/>
              </w:rPr>
              <w:t>4,872</w:t>
            </w:r>
          </w:p>
        </w:tc>
        <w:tc>
          <w:tcPr>
            <w:tcW w:w="2126" w:type="dxa"/>
            <w:shd w:val="clear" w:color="auto" w:fill="auto"/>
          </w:tcPr>
          <w:p w14:paraId="5349F75F" w14:textId="77777777" w:rsidR="008F013B" w:rsidRPr="000D67C6" w:rsidRDefault="00E636C0" w:rsidP="008F013B">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12.5</w:t>
            </w:r>
          </w:p>
        </w:tc>
      </w:tr>
    </w:tbl>
    <w:p w14:paraId="44B143B3" w14:textId="77777777" w:rsidR="008F013B" w:rsidRPr="000D67C6" w:rsidRDefault="008F013B" w:rsidP="008F013B">
      <w:pPr>
        <w:pStyle w:val="Normal0"/>
        <w:jc w:val="both"/>
        <w:rPr>
          <w:rFonts w:ascii="Arial" w:eastAsia="Times New Roman" w:hAnsi="Arial" w:cs="Arial"/>
          <w:lang w:val="en-GB"/>
        </w:rPr>
      </w:pPr>
    </w:p>
    <w:p w14:paraId="5F7F1087" w14:textId="77777777" w:rsidR="008F013B" w:rsidRPr="000D67C6" w:rsidRDefault="008F013B" w:rsidP="001C577C">
      <w:pPr>
        <w:rPr>
          <w:rFonts w:ascii="Arial" w:eastAsia="Times New Roman" w:hAnsi="Arial" w:cs="Arial"/>
          <w:sz w:val="22"/>
          <w:szCs w:val="22"/>
          <w:lang w:val="en-GB"/>
        </w:rPr>
      </w:pPr>
      <w:r w:rsidRPr="000D67C6">
        <w:rPr>
          <w:rFonts w:ascii="Arial" w:eastAsia="Times New Roman" w:hAnsi="Arial" w:cs="Arial"/>
          <w:sz w:val="22"/>
          <w:szCs w:val="22"/>
          <w:lang w:val="en-GB"/>
        </w:rPr>
        <w:t>For the 1992 and Modified schemes the employer’s contribution rate was 25.5% of pensionable pay with employee’s rates as per the pensionable pay bandings detailed below:</w:t>
      </w:r>
    </w:p>
    <w:p w14:paraId="28A9F777" w14:textId="77777777" w:rsidR="008F013B" w:rsidRPr="000D67C6" w:rsidRDefault="008F013B" w:rsidP="008F013B">
      <w:pPr>
        <w:pStyle w:val="Normal0"/>
        <w:jc w:val="both"/>
        <w:rPr>
          <w:rFonts w:ascii="Arial" w:eastAsia="Times New Roman"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tblGrid>
      <w:tr w:rsidR="00464E99" w:rsidRPr="000D67C6" w14:paraId="4C82F64D" w14:textId="77777777" w:rsidTr="008F013B">
        <w:tc>
          <w:tcPr>
            <w:tcW w:w="6629" w:type="dxa"/>
            <w:shd w:val="clear" w:color="auto" w:fill="auto"/>
          </w:tcPr>
          <w:p w14:paraId="1B8763B4" w14:textId="77777777" w:rsidR="008F013B" w:rsidRPr="000D67C6" w:rsidRDefault="008F013B" w:rsidP="008F013B">
            <w:pPr>
              <w:pStyle w:val="Normal0"/>
              <w:jc w:val="both"/>
              <w:rPr>
                <w:rFonts w:ascii="Arial" w:eastAsia="Times New Roman" w:hAnsi="Arial" w:cs="Arial"/>
                <w:b/>
                <w:sz w:val="22"/>
                <w:szCs w:val="22"/>
                <w:lang w:val="en-GB"/>
              </w:rPr>
            </w:pPr>
            <w:r w:rsidRPr="000D67C6">
              <w:rPr>
                <w:rFonts w:ascii="Arial" w:eastAsia="Times New Roman" w:hAnsi="Arial" w:cs="Arial"/>
                <w:b/>
                <w:sz w:val="22"/>
                <w:szCs w:val="22"/>
                <w:lang w:val="en-GB"/>
              </w:rPr>
              <w:t>Pensionable Pay Band</w:t>
            </w:r>
          </w:p>
        </w:tc>
        <w:tc>
          <w:tcPr>
            <w:tcW w:w="2126" w:type="dxa"/>
            <w:shd w:val="clear" w:color="auto" w:fill="auto"/>
          </w:tcPr>
          <w:p w14:paraId="3408B134" w14:textId="77777777" w:rsidR="008F013B" w:rsidRPr="000D67C6" w:rsidRDefault="00C15A6E" w:rsidP="008F013B">
            <w:pPr>
              <w:pStyle w:val="Normal0"/>
              <w:jc w:val="center"/>
              <w:rPr>
                <w:rFonts w:ascii="Arial" w:eastAsia="Times New Roman" w:hAnsi="Arial" w:cs="Arial"/>
                <w:b/>
                <w:sz w:val="22"/>
                <w:szCs w:val="22"/>
                <w:lang w:val="en-GB"/>
              </w:rPr>
            </w:pPr>
            <w:r w:rsidRPr="000D67C6">
              <w:rPr>
                <w:rFonts w:ascii="Arial" w:eastAsia="Times New Roman" w:hAnsi="Arial" w:cs="Arial"/>
                <w:b/>
                <w:sz w:val="22"/>
                <w:szCs w:val="22"/>
                <w:lang w:val="en-GB"/>
              </w:rPr>
              <w:t>201</w:t>
            </w:r>
            <w:r w:rsidR="000F4679" w:rsidRPr="000D67C6">
              <w:rPr>
                <w:rFonts w:ascii="Arial" w:eastAsia="Times New Roman" w:hAnsi="Arial" w:cs="Arial"/>
                <w:b/>
                <w:sz w:val="22"/>
                <w:szCs w:val="22"/>
                <w:lang w:val="en-GB"/>
              </w:rPr>
              <w:t>8</w:t>
            </w:r>
            <w:r w:rsidRPr="000D67C6">
              <w:rPr>
                <w:rFonts w:ascii="Arial" w:eastAsia="Times New Roman" w:hAnsi="Arial" w:cs="Arial"/>
                <w:b/>
                <w:sz w:val="22"/>
                <w:szCs w:val="22"/>
                <w:lang w:val="en-GB"/>
              </w:rPr>
              <w:t>/1</w:t>
            </w:r>
            <w:r w:rsidR="000F4679" w:rsidRPr="000D67C6">
              <w:rPr>
                <w:rFonts w:ascii="Arial" w:eastAsia="Times New Roman" w:hAnsi="Arial" w:cs="Arial"/>
                <w:b/>
                <w:sz w:val="22"/>
                <w:szCs w:val="22"/>
                <w:lang w:val="en-GB"/>
              </w:rPr>
              <w:t>9</w:t>
            </w:r>
            <w:r w:rsidR="00F54FAD" w:rsidRPr="000D67C6">
              <w:rPr>
                <w:rFonts w:ascii="Arial" w:eastAsia="Times New Roman" w:hAnsi="Arial" w:cs="Arial"/>
                <w:b/>
                <w:sz w:val="22"/>
                <w:szCs w:val="22"/>
                <w:lang w:val="en-GB"/>
              </w:rPr>
              <w:t xml:space="preserve"> </w:t>
            </w:r>
            <w:r w:rsidR="008F013B" w:rsidRPr="000D67C6">
              <w:rPr>
                <w:rFonts w:ascii="Arial" w:eastAsia="Times New Roman" w:hAnsi="Arial" w:cs="Arial"/>
                <w:b/>
                <w:sz w:val="22"/>
                <w:szCs w:val="22"/>
                <w:lang w:val="en-GB"/>
              </w:rPr>
              <w:t>Contribution Rate %</w:t>
            </w:r>
          </w:p>
        </w:tc>
      </w:tr>
      <w:tr w:rsidR="003A5992" w:rsidRPr="000D67C6" w14:paraId="6BE6289E" w14:textId="77777777" w:rsidTr="008F013B">
        <w:tc>
          <w:tcPr>
            <w:tcW w:w="6629" w:type="dxa"/>
            <w:shd w:val="clear" w:color="auto" w:fill="auto"/>
          </w:tcPr>
          <w:p w14:paraId="572FBCB7"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Up to and including £15,609</w:t>
            </w:r>
          </w:p>
        </w:tc>
        <w:tc>
          <w:tcPr>
            <w:tcW w:w="2126" w:type="dxa"/>
            <w:shd w:val="clear" w:color="auto" w:fill="auto"/>
          </w:tcPr>
          <w:p w14:paraId="5D67A307"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11.0</w:t>
            </w:r>
          </w:p>
        </w:tc>
      </w:tr>
      <w:tr w:rsidR="003A5992" w:rsidRPr="000D67C6" w14:paraId="771D5D00" w14:textId="77777777" w:rsidTr="008F013B">
        <w:tc>
          <w:tcPr>
            <w:tcW w:w="6629" w:type="dxa"/>
            <w:shd w:val="clear" w:color="auto" w:fill="auto"/>
          </w:tcPr>
          <w:p w14:paraId="77B136DF"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£15,609 and up to and including £21,852</w:t>
            </w:r>
          </w:p>
        </w:tc>
        <w:tc>
          <w:tcPr>
            <w:tcW w:w="2126" w:type="dxa"/>
            <w:shd w:val="clear" w:color="auto" w:fill="auto"/>
          </w:tcPr>
          <w:p w14:paraId="6493046B"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12.2</w:t>
            </w:r>
          </w:p>
        </w:tc>
      </w:tr>
      <w:tr w:rsidR="003A5992" w:rsidRPr="000D67C6" w14:paraId="2A902DEE" w14:textId="77777777" w:rsidTr="008F013B">
        <w:tc>
          <w:tcPr>
            <w:tcW w:w="6629" w:type="dxa"/>
            <w:shd w:val="clear" w:color="auto" w:fill="auto"/>
          </w:tcPr>
          <w:p w14:paraId="3C85CAED"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£21,852 and up to and including £31,218</w:t>
            </w:r>
          </w:p>
        </w:tc>
        <w:tc>
          <w:tcPr>
            <w:tcW w:w="2126" w:type="dxa"/>
            <w:shd w:val="clear" w:color="auto" w:fill="auto"/>
          </w:tcPr>
          <w:p w14:paraId="73C6BEBC"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14.2</w:t>
            </w:r>
          </w:p>
        </w:tc>
      </w:tr>
      <w:tr w:rsidR="003A5992" w:rsidRPr="000D67C6" w14:paraId="054FEFAB" w14:textId="77777777" w:rsidTr="008F013B">
        <w:tc>
          <w:tcPr>
            <w:tcW w:w="6629" w:type="dxa"/>
            <w:shd w:val="clear" w:color="auto" w:fill="auto"/>
          </w:tcPr>
          <w:p w14:paraId="783ED235"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£31,218 and up to and including £41,624</w:t>
            </w:r>
          </w:p>
        </w:tc>
        <w:tc>
          <w:tcPr>
            <w:tcW w:w="2126" w:type="dxa"/>
            <w:shd w:val="clear" w:color="auto" w:fill="auto"/>
          </w:tcPr>
          <w:p w14:paraId="1D1337CA"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14.7</w:t>
            </w:r>
          </w:p>
        </w:tc>
      </w:tr>
      <w:tr w:rsidR="003A5992" w:rsidRPr="000D67C6" w14:paraId="7CE3538A" w14:textId="77777777" w:rsidTr="008F013B">
        <w:tc>
          <w:tcPr>
            <w:tcW w:w="6629" w:type="dxa"/>
            <w:shd w:val="clear" w:color="auto" w:fill="auto"/>
          </w:tcPr>
          <w:p w14:paraId="66AA17D5"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£41,624 and up to and including £52,030</w:t>
            </w:r>
          </w:p>
        </w:tc>
        <w:tc>
          <w:tcPr>
            <w:tcW w:w="2126" w:type="dxa"/>
            <w:shd w:val="clear" w:color="auto" w:fill="auto"/>
          </w:tcPr>
          <w:p w14:paraId="266146BC"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15.2</w:t>
            </w:r>
          </w:p>
        </w:tc>
      </w:tr>
      <w:tr w:rsidR="003A5992" w:rsidRPr="000D67C6" w14:paraId="3B896FF4" w14:textId="77777777" w:rsidTr="008F013B">
        <w:tc>
          <w:tcPr>
            <w:tcW w:w="6629" w:type="dxa"/>
            <w:shd w:val="clear" w:color="auto" w:fill="auto"/>
          </w:tcPr>
          <w:p w14:paraId="3808CCA5"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£52,030 and up to and including £62,436</w:t>
            </w:r>
          </w:p>
        </w:tc>
        <w:tc>
          <w:tcPr>
            <w:tcW w:w="2126" w:type="dxa"/>
            <w:shd w:val="clear" w:color="auto" w:fill="auto"/>
          </w:tcPr>
          <w:p w14:paraId="449FA4FE"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15.5</w:t>
            </w:r>
          </w:p>
        </w:tc>
      </w:tr>
      <w:tr w:rsidR="003A5992" w:rsidRPr="000D67C6" w14:paraId="48F323D8" w14:textId="77777777" w:rsidTr="008F013B">
        <w:tc>
          <w:tcPr>
            <w:tcW w:w="6629" w:type="dxa"/>
            <w:shd w:val="clear" w:color="auto" w:fill="auto"/>
          </w:tcPr>
          <w:p w14:paraId="2298A8A7"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£62,436 and up to and including £104,060</w:t>
            </w:r>
          </w:p>
        </w:tc>
        <w:tc>
          <w:tcPr>
            <w:tcW w:w="2126" w:type="dxa"/>
            <w:shd w:val="clear" w:color="auto" w:fill="auto"/>
          </w:tcPr>
          <w:p w14:paraId="558ACD4F"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16.0</w:t>
            </w:r>
          </w:p>
        </w:tc>
      </w:tr>
      <w:tr w:rsidR="003A5992" w:rsidRPr="000D67C6" w14:paraId="75770BE2" w14:textId="77777777" w:rsidTr="008F013B">
        <w:tc>
          <w:tcPr>
            <w:tcW w:w="6629" w:type="dxa"/>
            <w:shd w:val="clear" w:color="auto" w:fill="auto"/>
          </w:tcPr>
          <w:p w14:paraId="32B2EEA2"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£104,060 and up to and including £124,872</w:t>
            </w:r>
          </w:p>
        </w:tc>
        <w:tc>
          <w:tcPr>
            <w:tcW w:w="2126" w:type="dxa"/>
            <w:shd w:val="clear" w:color="auto" w:fill="auto"/>
          </w:tcPr>
          <w:p w14:paraId="15799C8A"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16.5</w:t>
            </w:r>
          </w:p>
        </w:tc>
      </w:tr>
      <w:tr w:rsidR="003A5992" w:rsidRPr="000D67C6" w14:paraId="5FDE0AED" w14:textId="77777777" w:rsidTr="008F013B">
        <w:tc>
          <w:tcPr>
            <w:tcW w:w="6629" w:type="dxa"/>
            <w:shd w:val="clear" w:color="auto" w:fill="auto"/>
          </w:tcPr>
          <w:p w14:paraId="730FCE51" w14:textId="77777777" w:rsidR="003A5992" w:rsidRPr="000D67C6" w:rsidRDefault="003A5992" w:rsidP="003A5992">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More than £124,872</w:t>
            </w:r>
          </w:p>
        </w:tc>
        <w:tc>
          <w:tcPr>
            <w:tcW w:w="2126" w:type="dxa"/>
            <w:shd w:val="clear" w:color="auto" w:fill="auto"/>
          </w:tcPr>
          <w:p w14:paraId="406AE4F3" w14:textId="77777777" w:rsidR="003A5992" w:rsidRPr="000D67C6" w:rsidRDefault="003A5992" w:rsidP="003A5992">
            <w:pPr>
              <w:pStyle w:val="Normal0"/>
              <w:jc w:val="center"/>
              <w:rPr>
                <w:rFonts w:ascii="Arial" w:eastAsia="Times New Roman" w:hAnsi="Arial" w:cs="Arial"/>
                <w:sz w:val="22"/>
                <w:szCs w:val="22"/>
                <w:lang w:val="en-GB"/>
              </w:rPr>
            </w:pPr>
            <w:r w:rsidRPr="000D67C6">
              <w:rPr>
                <w:rFonts w:ascii="Arial" w:eastAsia="Times New Roman" w:hAnsi="Arial" w:cs="Arial"/>
                <w:sz w:val="22"/>
                <w:szCs w:val="22"/>
                <w:lang w:val="en-GB"/>
              </w:rPr>
              <w:t>17.0</w:t>
            </w:r>
          </w:p>
        </w:tc>
      </w:tr>
    </w:tbl>
    <w:p w14:paraId="64561F54" w14:textId="77777777" w:rsidR="008F013B" w:rsidRPr="000D67C6" w:rsidRDefault="008F013B" w:rsidP="008F013B">
      <w:pPr>
        <w:pStyle w:val="Normal0"/>
        <w:jc w:val="both"/>
        <w:rPr>
          <w:rFonts w:ascii="Arial" w:eastAsia="Times New Roman" w:hAnsi="Arial" w:cs="Arial"/>
          <w:sz w:val="22"/>
          <w:szCs w:val="22"/>
          <w:lang w:val="en-GB"/>
        </w:rPr>
      </w:pPr>
    </w:p>
    <w:p w14:paraId="56FCD5AC" w14:textId="77777777" w:rsidR="008F013B" w:rsidRPr="000D67C6" w:rsidRDefault="008F013B" w:rsidP="008F013B">
      <w:pPr>
        <w:pStyle w:val="Normal0"/>
        <w:jc w:val="both"/>
        <w:rPr>
          <w:rFonts w:ascii="Arial" w:eastAsia="Times New Roman" w:hAnsi="Arial" w:cs="Arial"/>
          <w:sz w:val="22"/>
          <w:szCs w:val="22"/>
          <w:lang w:val="en-GB"/>
        </w:rPr>
      </w:pPr>
      <w:r w:rsidRPr="000D67C6">
        <w:rPr>
          <w:rFonts w:ascii="Arial" w:eastAsia="Times New Roman" w:hAnsi="Arial" w:cs="Arial"/>
          <w:sz w:val="22"/>
          <w:szCs w:val="22"/>
          <w:lang w:val="en-GB"/>
        </w:rPr>
        <w:t xml:space="preserve">The Firefighters’ Pension Fund Account does not take account of liabilities for pensions and other benefits after the period end as this is the responsibility of the </w:t>
      </w:r>
      <w:r w:rsidR="00EB7A52" w:rsidRPr="000D67C6">
        <w:rPr>
          <w:rFonts w:ascii="Arial" w:eastAsia="Times New Roman" w:hAnsi="Arial" w:cs="Arial"/>
          <w:sz w:val="22"/>
          <w:szCs w:val="22"/>
          <w:lang w:val="en-GB"/>
        </w:rPr>
        <w:t>Authority.  Details of the long-</w:t>
      </w:r>
      <w:r w:rsidRPr="000D67C6">
        <w:rPr>
          <w:rFonts w:ascii="Arial" w:eastAsia="Times New Roman" w:hAnsi="Arial" w:cs="Arial"/>
          <w:sz w:val="22"/>
          <w:szCs w:val="22"/>
          <w:lang w:val="en-GB"/>
        </w:rPr>
        <w:t xml:space="preserve">term pension obligations can be found in Note </w:t>
      </w:r>
      <w:r w:rsidR="00B91E17" w:rsidRPr="000D67C6">
        <w:rPr>
          <w:rFonts w:ascii="Arial" w:eastAsia="Times New Roman" w:hAnsi="Arial" w:cs="Arial"/>
          <w:sz w:val="22"/>
          <w:szCs w:val="22"/>
          <w:lang w:val="en-GB"/>
        </w:rPr>
        <w:t>30</w:t>
      </w:r>
      <w:r w:rsidRPr="000D67C6">
        <w:rPr>
          <w:rFonts w:ascii="Arial" w:eastAsia="Times New Roman" w:hAnsi="Arial" w:cs="Arial"/>
          <w:sz w:val="22"/>
          <w:szCs w:val="22"/>
          <w:lang w:val="en-GB"/>
        </w:rPr>
        <w:t xml:space="preserve"> to the core financial state</w:t>
      </w:r>
      <w:r w:rsidR="00EB7A52" w:rsidRPr="000D67C6">
        <w:rPr>
          <w:rFonts w:ascii="Arial" w:eastAsia="Times New Roman" w:hAnsi="Arial" w:cs="Arial"/>
          <w:sz w:val="22"/>
          <w:szCs w:val="22"/>
          <w:lang w:val="en-GB"/>
        </w:rPr>
        <w:t>ments (£</w:t>
      </w:r>
      <w:r w:rsidR="00D72997" w:rsidRPr="000D67C6">
        <w:rPr>
          <w:rFonts w:ascii="Arial" w:eastAsia="Times New Roman" w:hAnsi="Arial" w:cs="Arial"/>
          <w:sz w:val="22"/>
          <w:szCs w:val="22"/>
          <w:lang w:val="en-GB"/>
        </w:rPr>
        <w:t>500</w:t>
      </w:r>
      <w:r w:rsidR="00EB7A52" w:rsidRPr="000D67C6">
        <w:rPr>
          <w:rFonts w:ascii="Arial" w:eastAsia="Times New Roman" w:hAnsi="Arial" w:cs="Arial"/>
          <w:sz w:val="22"/>
          <w:szCs w:val="22"/>
          <w:lang w:val="en-GB"/>
        </w:rPr>
        <w:t>.</w:t>
      </w:r>
      <w:r w:rsidR="00D72997" w:rsidRPr="000D67C6">
        <w:rPr>
          <w:rFonts w:ascii="Arial" w:eastAsia="Times New Roman" w:hAnsi="Arial" w:cs="Arial"/>
          <w:sz w:val="22"/>
          <w:szCs w:val="22"/>
          <w:lang w:val="en-GB"/>
        </w:rPr>
        <w:t>747</w:t>
      </w:r>
      <w:r w:rsidRPr="000D67C6">
        <w:rPr>
          <w:rFonts w:ascii="Arial" w:eastAsia="Times New Roman" w:hAnsi="Arial" w:cs="Arial"/>
          <w:sz w:val="22"/>
          <w:szCs w:val="22"/>
          <w:lang w:val="en-GB"/>
        </w:rPr>
        <w:t>m at 31 March 201</w:t>
      </w:r>
      <w:r w:rsidR="000F4679" w:rsidRPr="000D67C6">
        <w:rPr>
          <w:rFonts w:ascii="Arial" w:eastAsia="Times New Roman" w:hAnsi="Arial" w:cs="Arial"/>
          <w:sz w:val="22"/>
          <w:szCs w:val="22"/>
          <w:lang w:val="en-GB"/>
        </w:rPr>
        <w:t>9</w:t>
      </w:r>
      <w:r w:rsidR="00B937D4" w:rsidRPr="000D67C6">
        <w:rPr>
          <w:rFonts w:ascii="Arial" w:eastAsia="Times New Roman" w:hAnsi="Arial" w:cs="Arial"/>
          <w:sz w:val="22"/>
          <w:szCs w:val="22"/>
          <w:lang w:val="en-GB"/>
        </w:rPr>
        <w:t xml:space="preserve"> and £4</w:t>
      </w:r>
      <w:r w:rsidR="000F4679" w:rsidRPr="000D67C6">
        <w:rPr>
          <w:rFonts w:ascii="Arial" w:eastAsia="Times New Roman" w:hAnsi="Arial" w:cs="Arial"/>
          <w:sz w:val="22"/>
          <w:szCs w:val="22"/>
          <w:lang w:val="en-GB"/>
        </w:rPr>
        <w:t>93</w:t>
      </w:r>
      <w:r w:rsidR="00B937D4" w:rsidRPr="000D67C6">
        <w:rPr>
          <w:rFonts w:ascii="Arial" w:eastAsia="Times New Roman" w:hAnsi="Arial" w:cs="Arial"/>
          <w:sz w:val="22"/>
          <w:szCs w:val="22"/>
          <w:lang w:val="en-GB"/>
        </w:rPr>
        <w:t>.</w:t>
      </w:r>
      <w:r w:rsidR="000F4679" w:rsidRPr="000D67C6">
        <w:rPr>
          <w:rFonts w:ascii="Arial" w:eastAsia="Times New Roman" w:hAnsi="Arial" w:cs="Arial"/>
          <w:sz w:val="22"/>
          <w:szCs w:val="22"/>
          <w:lang w:val="en-GB"/>
        </w:rPr>
        <w:t>1</w:t>
      </w:r>
      <w:r w:rsidR="00B937D4" w:rsidRPr="000D67C6">
        <w:rPr>
          <w:rFonts w:ascii="Arial" w:eastAsia="Times New Roman" w:hAnsi="Arial" w:cs="Arial"/>
          <w:sz w:val="22"/>
          <w:szCs w:val="22"/>
          <w:lang w:val="en-GB"/>
        </w:rPr>
        <w:t>80m at 31 March 201</w:t>
      </w:r>
      <w:r w:rsidR="000F4679" w:rsidRPr="000D67C6">
        <w:rPr>
          <w:rFonts w:ascii="Arial" w:eastAsia="Times New Roman" w:hAnsi="Arial" w:cs="Arial"/>
          <w:sz w:val="22"/>
          <w:szCs w:val="22"/>
          <w:lang w:val="en-GB"/>
        </w:rPr>
        <w:t>8</w:t>
      </w:r>
      <w:r w:rsidRPr="000D67C6">
        <w:rPr>
          <w:rFonts w:ascii="Arial" w:eastAsia="Times New Roman" w:hAnsi="Arial" w:cs="Arial"/>
          <w:sz w:val="22"/>
          <w:szCs w:val="22"/>
          <w:lang w:val="en-GB"/>
        </w:rPr>
        <w:t>).</w:t>
      </w:r>
    </w:p>
    <w:p w14:paraId="3C9E0080" w14:textId="77777777" w:rsidR="008F013B" w:rsidRPr="000D67C6" w:rsidRDefault="008F013B" w:rsidP="00252FDD">
      <w:pPr>
        <w:pStyle w:val="Heading1"/>
        <w:spacing w:before="0" w:line="22" w:lineRule="atLeast"/>
        <w:rPr>
          <w:rFonts w:ascii="Arial" w:hAnsi="Arial" w:cs="Arial"/>
          <w:sz w:val="28"/>
          <w:szCs w:val="28"/>
          <w:lang w:val="en-GB"/>
        </w:rPr>
      </w:pPr>
      <w:r w:rsidRPr="000D67C6">
        <w:rPr>
          <w:rFonts w:ascii="Arial" w:hAnsi="Arial" w:cs="Arial"/>
          <w:sz w:val="28"/>
          <w:szCs w:val="28"/>
          <w:lang w:val="en-GB"/>
        </w:rPr>
        <w:t xml:space="preserve">Glossary </w:t>
      </w:r>
      <w:r w:rsidR="005C44A9" w:rsidRPr="000D67C6">
        <w:rPr>
          <w:rFonts w:ascii="Arial" w:hAnsi="Arial" w:cs="Arial"/>
          <w:sz w:val="28"/>
          <w:szCs w:val="28"/>
          <w:lang w:val="en-GB"/>
        </w:rPr>
        <w:t>of Terms used in the Statement of Accounts</w:t>
      </w:r>
    </w:p>
    <w:p w14:paraId="14860040" w14:textId="77777777" w:rsidR="008F013B" w:rsidRPr="000D67C6" w:rsidRDefault="008F013B" w:rsidP="00252FDD">
      <w:pPr>
        <w:pStyle w:val="Normal0"/>
        <w:spacing w:line="22" w:lineRule="atLeast"/>
        <w:rPr>
          <w:rFonts w:ascii="Arial" w:hAnsi="Arial" w:cs="Arial"/>
          <w:sz w:val="22"/>
          <w:szCs w:val="22"/>
          <w:lang w:val="en-GB"/>
        </w:rPr>
      </w:pPr>
    </w:p>
    <w:p w14:paraId="73C4513E"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ACCOUNTING PERIOD</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4D6DA7FE"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period of time covered by the accounts, normally a period of twelve months commencing on 1 April. The end of the accounting period is the Balance Sheet date. </w:t>
      </w:r>
    </w:p>
    <w:p w14:paraId="02D2877B" w14:textId="77777777" w:rsidR="008F013B" w:rsidRPr="000D67C6" w:rsidRDefault="008F013B" w:rsidP="00252FDD">
      <w:pPr>
        <w:pStyle w:val="Normal0"/>
        <w:spacing w:line="22" w:lineRule="atLeast"/>
        <w:jc w:val="both"/>
        <w:rPr>
          <w:rFonts w:ascii="Arial" w:hAnsi="Arial" w:cs="Arial"/>
          <w:sz w:val="22"/>
          <w:szCs w:val="22"/>
          <w:lang w:val="en-GB"/>
        </w:rPr>
      </w:pPr>
    </w:p>
    <w:p w14:paraId="61A422BE" w14:textId="77777777" w:rsidR="005C44A9" w:rsidRPr="000D67C6" w:rsidRDefault="005C44A9"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ACCOUNTING POLICIES</w:t>
      </w:r>
    </w:p>
    <w:p w14:paraId="70D5C18B" w14:textId="77777777" w:rsidR="006D22B3" w:rsidRPr="000D67C6" w:rsidRDefault="006D22B3"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These specify policies and procedures used by the Authority to prepare its Financial Statements, including methods, measurement systems and procedures for presenting disclosures.</w:t>
      </w:r>
    </w:p>
    <w:p w14:paraId="536EDF44" w14:textId="77777777" w:rsidR="006D22B3" w:rsidRPr="000D67C6" w:rsidRDefault="006D22B3" w:rsidP="00252FDD">
      <w:pPr>
        <w:pStyle w:val="Normal0"/>
        <w:spacing w:line="22" w:lineRule="atLeast"/>
        <w:jc w:val="both"/>
        <w:rPr>
          <w:rFonts w:ascii="Arial" w:hAnsi="Arial" w:cs="Arial"/>
          <w:b/>
          <w:sz w:val="22"/>
          <w:szCs w:val="22"/>
          <w:lang w:val="en-GB"/>
        </w:rPr>
      </w:pPr>
    </w:p>
    <w:p w14:paraId="5F781196"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ACCRUALS</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1C479830"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Sums included in the final accounts to recognise revenue and capital income and expenditure earned or incurred in the financial year, but for which actual payment had not been received or made as at 31 March.</w:t>
      </w:r>
    </w:p>
    <w:p w14:paraId="01A6241C" w14:textId="77777777" w:rsidR="008F013B" w:rsidRPr="000D67C6" w:rsidRDefault="008F013B" w:rsidP="00252FDD">
      <w:pPr>
        <w:pStyle w:val="Normal0"/>
        <w:spacing w:line="22" w:lineRule="atLeast"/>
        <w:jc w:val="both"/>
        <w:rPr>
          <w:rFonts w:ascii="Arial" w:hAnsi="Arial" w:cs="Arial"/>
          <w:sz w:val="22"/>
          <w:szCs w:val="22"/>
          <w:lang w:val="en-GB"/>
        </w:rPr>
      </w:pPr>
    </w:p>
    <w:p w14:paraId="5DC40243"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ACTUARIAL GAINS AND LOSSES</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4397B81B"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For a defined benefit pension scheme, the changes in actuarial surpluses or deficits that arise because:</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2E7EBB1A" w14:textId="77777777" w:rsidR="008F013B" w:rsidRPr="000D67C6" w:rsidRDefault="008F013B" w:rsidP="00C4608B">
      <w:pPr>
        <w:pStyle w:val="Normal0"/>
        <w:numPr>
          <w:ilvl w:val="0"/>
          <w:numId w:val="25"/>
        </w:numPr>
        <w:spacing w:line="22" w:lineRule="atLeast"/>
        <w:jc w:val="both"/>
        <w:rPr>
          <w:rFonts w:ascii="Arial" w:hAnsi="Arial" w:cs="Arial"/>
          <w:sz w:val="22"/>
          <w:szCs w:val="22"/>
          <w:lang w:val="en-GB"/>
        </w:rPr>
      </w:pPr>
      <w:r w:rsidRPr="000D67C6">
        <w:rPr>
          <w:rFonts w:ascii="Arial" w:hAnsi="Arial" w:cs="Arial"/>
          <w:sz w:val="22"/>
          <w:szCs w:val="22"/>
          <w:lang w:val="en-GB"/>
        </w:rPr>
        <w:t>Events have not coincided with the actuarial assumptions made for the last valuation (experience gains and losses); or</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4EDC9F5F" w14:textId="77777777" w:rsidR="008F013B" w:rsidRPr="000D67C6" w:rsidRDefault="008F013B" w:rsidP="00C4608B">
      <w:pPr>
        <w:pStyle w:val="Normal0"/>
        <w:numPr>
          <w:ilvl w:val="0"/>
          <w:numId w:val="25"/>
        </w:numPr>
        <w:spacing w:line="22" w:lineRule="atLeast"/>
        <w:jc w:val="both"/>
        <w:rPr>
          <w:rFonts w:ascii="Arial" w:hAnsi="Arial" w:cs="Arial"/>
          <w:sz w:val="22"/>
          <w:szCs w:val="22"/>
          <w:lang w:val="en-GB"/>
        </w:rPr>
      </w:pPr>
      <w:r w:rsidRPr="000D67C6">
        <w:rPr>
          <w:rFonts w:ascii="Arial" w:hAnsi="Arial" w:cs="Arial"/>
          <w:sz w:val="22"/>
          <w:szCs w:val="22"/>
          <w:lang w:val="en-GB"/>
        </w:rPr>
        <w:t>The actuarial assumptions have changed</w:t>
      </w:r>
      <w:r w:rsidR="00A805FD" w:rsidRPr="000D67C6">
        <w:rPr>
          <w:rFonts w:ascii="Arial" w:hAnsi="Arial" w:cs="Arial"/>
          <w:sz w:val="22"/>
          <w:szCs w:val="22"/>
          <w:lang w:val="en-GB"/>
        </w:rPr>
        <w:t>.</w:t>
      </w:r>
    </w:p>
    <w:p w14:paraId="00DAF1EE" w14:textId="77777777" w:rsidR="008F013B" w:rsidRPr="000D67C6" w:rsidRDefault="008F013B" w:rsidP="00252FDD">
      <w:pPr>
        <w:pStyle w:val="Normal0"/>
        <w:spacing w:line="22" w:lineRule="atLeast"/>
        <w:jc w:val="both"/>
        <w:rPr>
          <w:rFonts w:ascii="Arial" w:hAnsi="Arial" w:cs="Arial"/>
          <w:sz w:val="22"/>
          <w:szCs w:val="22"/>
          <w:lang w:val="en-GB"/>
        </w:rPr>
      </w:pPr>
    </w:p>
    <w:p w14:paraId="6A7FF8F2"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ASSET</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4A7E52AD"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An item having value to the </w:t>
      </w:r>
      <w:r w:rsidR="00197018" w:rsidRPr="000D67C6">
        <w:rPr>
          <w:rFonts w:ascii="Arial" w:hAnsi="Arial" w:cs="Arial"/>
          <w:sz w:val="22"/>
          <w:szCs w:val="22"/>
          <w:lang w:val="en-GB"/>
        </w:rPr>
        <w:t>Authority</w:t>
      </w:r>
      <w:r w:rsidRPr="000D67C6">
        <w:rPr>
          <w:rFonts w:ascii="Arial" w:hAnsi="Arial" w:cs="Arial"/>
          <w:sz w:val="22"/>
          <w:szCs w:val="22"/>
          <w:lang w:val="en-GB"/>
        </w:rPr>
        <w:t xml:space="preserve"> in monetary terms. Assets are categorised as either current or non-current</w:t>
      </w:r>
      <w:r w:rsidR="00252FDD" w:rsidRPr="000D67C6">
        <w:rPr>
          <w:rFonts w:ascii="Arial" w:hAnsi="Arial" w:cs="Arial"/>
          <w:sz w:val="22"/>
          <w:szCs w:val="22"/>
          <w:lang w:val="en-GB"/>
        </w:rPr>
        <w:t>:</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6B369854" w14:textId="77777777" w:rsidR="008F013B" w:rsidRPr="000D67C6" w:rsidRDefault="008F013B" w:rsidP="00C4608B">
      <w:pPr>
        <w:pStyle w:val="Normal0"/>
        <w:numPr>
          <w:ilvl w:val="0"/>
          <w:numId w:val="26"/>
        </w:numPr>
        <w:spacing w:line="22" w:lineRule="atLeast"/>
        <w:jc w:val="both"/>
        <w:rPr>
          <w:rFonts w:ascii="Arial" w:hAnsi="Arial" w:cs="Arial"/>
          <w:sz w:val="22"/>
          <w:szCs w:val="22"/>
          <w:lang w:val="en-GB"/>
        </w:rPr>
      </w:pPr>
      <w:r w:rsidRPr="000D67C6">
        <w:rPr>
          <w:rFonts w:ascii="Arial" w:hAnsi="Arial" w:cs="Arial"/>
          <w:sz w:val="22"/>
          <w:szCs w:val="22"/>
          <w:lang w:val="en-GB"/>
        </w:rPr>
        <w:t>A current asset will be consumed or cease to have material value within the next financial year (e.g. cash and stock);</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287EB46B" w14:textId="77777777" w:rsidR="00252FDD" w:rsidRPr="000D67C6" w:rsidRDefault="008F013B" w:rsidP="00C4608B">
      <w:pPr>
        <w:pStyle w:val="Normal0"/>
        <w:numPr>
          <w:ilvl w:val="0"/>
          <w:numId w:val="26"/>
        </w:numPr>
        <w:spacing w:line="22" w:lineRule="atLeast"/>
        <w:jc w:val="both"/>
        <w:rPr>
          <w:rFonts w:ascii="Arial" w:hAnsi="Arial" w:cs="Arial"/>
          <w:sz w:val="22"/>
          <w:szCs w:val="22"/>
          <w:lang w:val="en-GB"/>
        </w:rPr>
      </w:pPr>
      <w:r w:rsidRPr="000D67C6">
        <w:rPr>
          <w:rFonts w:ascii="Arial" w:hAnsi="Arial" w:cs="Arial"/>
          <w:sz w:val="22"/>
          <w:szCs w:val="22"/>
          <w:lang w:val="en-GB"/>
        </w:rPr>
        <w:t xml:space="preserve">A non-current asset provides benefits to the Authority and to the services it provides for a period of more than one year and may be tangible e.g. a </w:t>
      </w:r>
      <w:r w:rsidR="00C37733" w:rsidRPr="000D67C6">
        <w:rPr>
          <w:rFonts w:ascii="Arial" w:hAnsi="Arial" w:cs="Arial"/>
          <w:sz w:val="22"/>
          <w:szCs w:val="22"/>
          <w:lang w:val="en-GB"/>
        </w:rPr>
        <w:t>fire station</w:t>
      </w:r>
      <w:r w:rsidRPr="000D67C6">
        <w:rPr>
          <w:rFonts w:ascii="Arial" w:hAnsi="Arial" w:cs="Arial"/>
          <w:sz w:val="22"/>
          <w:szCs w:val="22"/>
          <w:lang w:val="en-GB"/>
        </w:rPr>
        <w:t>, or intangible, e.g. computer software licences.</w:t>
      </w:r>
    </w:p>
    <w:p w14:paraId="1FDC47E9" w14:textId="77777777" w:rsidR="00252FDD" w:rsidRPr="000D67C6" w:rsidRDefault="00252FDD" w:rsidP="00252FDD">
      <w:pPr>
        <w:pStyle w:val="Normal0"/>
        <w:spacing w:line="22" w:lineRule="atLeast"/>
        <w:jc w:val="both"/>
        <w:rPr>
          <w:rFonts w:ascii="Arial" w:hAnsi="Arial" w:cs="Arial"/>
          <w:sz w:val="22"/>
          <w:szCs w:val="22"/>
          <w:lang w:val="en-GB"/>
        </w:rPr>
      </w:pPr>
    </w:p>
    <w:p w14:paraId="60BF83B8"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AUDIT OF ACCOUNTS</w:t>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2E2D0E06"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An independent examination of the Authority’s financial affairs.</w:t>
      </w:r>
    </w:p>
    <w:p w14:paraId="117FD067" w14:textId="77777777" w:rsidR="008F013B" w:rsidRPr="000D67C6" w:rsidRDefault="008F013B" w:rsidP="00252FDD">
      <w:pPr>
        <w:pStyle w:val="Normal0"/>
        <w:spacing w:line="22" w:lineRule="atLeast"/>
        <w:jc w:val="both"/>
        <w:rPr>
          <w:rFonts w:ascii="Arial" w:hAnsi="Arial" w:cs="Arial"/>
          <w:sz w:val="22"/>
          <w:szCs w:val="22"/>
          <w:lang w:val="en-GB"/>
        </w:rPr>
      </w:pPr>
    </w:p>
    <w:p w14:paraId="6F6AB92F"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BALANCE SHEET</w:t>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6C4F41FF"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 statement of the recorded assets, liabilities and other balances at the end of the accounting period.</w:t>
      </w:r>
      <w:r w:rsidRPr="000D67C6">
        <w:rPr>
          <w:rFonts w:ascii="Arial" w:hAnsi="Arial" w:cs="Arial"/>
          <w:sz w:val="22"/>
          <w:szCs w:val="22"/>
          <w:lang w:val="en-GB"/>
        </w:rPr>
        <w:tab/>
      </w:r>
    </w:p>
    <w:p w14:paraId="37A3D2A4" w14:textId="77777777" w:rsidR="008F013B" w:rsidRPr="000D67C6" w:rsidRDefault="008F013B" w:rsidP="00252FDD">
      <w:pPr>
        <w:pStyle w:val="Normal0"/>
        <w:spacing w:line="22" w:lineRule="atLeast"/>
        <w:jc w:val="both"/>
        <w:rPr>
          <w:rFonts w:ascii="Arial" w:hAnsi="Arial" w:cs="Arial"/>
          <w:sz w:val="22"/>
          <w:szCs w:val="22"/>
          <w:lang w:val="en-GB"/>
        </w:rPr>
      </w:pPr>
    </w:p>
    <w:p w14:paraId="22D4B2EC"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BORROWING</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54E0DD4D"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Using cash provided by another party to pay for expenditure, on the basis of an agreement to repay the cash at a future point, usually incurring additional interest charges over and above the original amount.</w:t>
      </w:r>
    </w:p>
    <w:p w14:paraId="5196BD72" w14:textId="77777777" w:rsidR="008F013B" w:rsidRPr="000D67C6" w:rsidRDefault="008F013B" w:rsidP="00252FDD">
      <w:pPr>
        <w:pStyle w:val="Normal0"/>
        <w:spacing w:line="22" w:lineRule="atLeast"/>
        <w:jc w:val="both"/>
        <w:rPr>
          <w:rFonts w:ascii="Arial" w:hAnsi="Arial" w:cs="Arial"/>
          <w:sz w:val="22"/>
          <w:szCs w:val="22"/>
          <w:lang w:val="en-GB"/>
        </w:rPr>
      </w:pPr>
    </w:p>
    <w:p w14:paraId="1EEE9C87"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BUDGET</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42F79FEA"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forecast of net revenue and capital expenditure over the accounting period.</w:t>
      </w:r>
    </w:p>
    <w:p w14:paraId="30BEA8AE" w14:textId="77777777" w:rsidR="008F013B" w:rsidRPr="000D67C6" w:rsidRDefault="008F013B" w:rsidP="00252FDD">
      <w:pPr>
        <w:pStyle w:val="Normal0"/>
        <w:spacing w:line="22" w:lineRule="atLeast"/>
        <w:jc w:val="both"/>
        <w:rPr>
          <w:rFonts w:ascii="Arial" w:hAnsi="Arial" w:cs="Arial"/>
          <w:sz w:val="22"/>
          <w:szCs w:val="22"/>
          <w:lang w:val="en-GB"/>
        </w:rPr>
      </w:pPr>
    </w:p>
    <w:p w14:paraId="1D59D86E"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CAPITAL EXPENDITURE</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1AD0B6CD"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Expenditure on the acquisition of a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 which will be used in providing services beyond the current accounting period, or expenditure which adds to and not merely maintains the value of an existing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w:t>
      </w:r>
    </w:p>
    <w:p w14:paraId="54018AD9" w14:textId="77777777" w:rsidR="008F013B" w:rsidRPr="000D67C6" w:rsidRDefault="008F013B" w:rsidP="00252FDD">
      <w:pPr>
        <w:pStyle w:val="Normal0"/>
        <w:spacing w:line="22" w:lineRule="atLeast"/>
        <w:jc w:val="both"/>
        <w:rPr>
          <w:rFonts w:ascii="Arial" w:hAnsi="Arial" w:cs="Arial"/>
          <w:sz w:val="22"/>
          <w:szCs w:val="22"/>
          <w:lang w:val="en-GB"/>
        </w:rPr>
      </w:pPr>
    </w:p>
    <w:p w14:paraId="5A387F65" w14:textId="77777777" w:rsidR="006D22B3" w:rsidRPr="000D67C6" w:rsidRDefault="006D22B3">
      <w:pPr>
        <w:rPr>
          <w:rFonts w:ascii="Arial" w:hAnsi="Arial" w:cs="Arial"/>
          <w:b/>
          <w:sz w:val="22"/>
          <w:szCs w:val="22"/>
          <w:lang w:val="en-GB"/>
        </w:rPr>
      </w:pPr>
      <w:r w:rsidRPr="000D67C6">
        <w:rPr>
          <w:rFonts w:ascii="Arial" w:hAnsi="Arial" w:cs="Arial"/>
          <w:b/>
          <w:sz w:val="22"/>
          <w:szCs w:val="22"/>
          <w:lang w:val="en-GB"/>
        </w:rPr>
        <w:br w:type="page"/>
      </w:r>
    </w:p>
    <w:p w14:paraId="447C3A5B" w14:textId="77777777" w:rsidR="008F013B" w:rsidRPr="000D67C6" w:rsidRDefault="006D22B3" w:rsidP="00252FDD">
      <w:pPr>
        <w:pStyle w:val="Normal0"/>
        <w:spacing w:line="22" w:lineRule="atLeast"/>
        <w:jc w:val="both"/>
        <w:rPr>
          <w:rFonts w:ascii="Arial" w:hAnsi="Arial" w:cs="Arial"/>
          <w:sz w:val="22"/>
          <w:szCs w:val="22"/>
          <w:lang w:val="en-GB"/>
        </w:rPr>
      </w:pPr>
      <w:r w:rsidRPr="000D67C6">
        <w:rPr>
          <w:rFonts w:ascii="Arial" w:hAnsi="Arial" w:cs="Arial"/>
          <w:b/>
          <w:sz w:val="22"/>
          <w:szCs w:val="22"/>
          <w:lang w:val="en-GB"/>
        </w:rPr>
        <w:t>CAPITAL FINANCING</w:t>
      </w:r>
      <w:r w:rsidR="008F013B" w:rsidRPr="000D67C6">
        <w:rPr>
          <w:rFonts w:ascii="Arial" w:hAnsi="Arial" w:cs="Arial"/>
          <w:sz w:val="22"/>
          <w:szCs w:val="22"/>
          <w:lang w:val="en-GB"/>
        </w:rPr>
        <w:tab/>
      </w:r>
    </w:p>
    <w:p w14:paraId="6CD787C7"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Funds raised to pay for capital expenditure. There are various methods of financing capital expenditure including borrowing, leasing, direct revenue financing, usable capital receipts, capital grants, capital contributions, revenue reserves and earmarked reserves.</w:t>
      </w:r>
    </w:p>
    <w:p w14:paraId="2380CB84" w14:textId="77777777" w:rsidR="008F013B" w:rsidRPr="000D67C6" w:rsidRDefault="008F013B" w:rsidP="00252FDD">
      <w:pPr>
        <w:pStyle w:val="Normal0"/>
        <w:spacing w:line="22" w:lineRule="atLeast"/>
        <w:jc w:val="both"/>
        <w:rPr>
          <w:rFonts w:ascii="Arial" w:hAnsi="Arial" w:cs="Arial"/>
          <w:sz w:val="22"/>
          <w:szCs w:val="22"/>
          <w:lang w:val="en-GB"/>
        </w:rPr>
      </w:pPr>
    </w:p>
    <w:p w14:paraId="1F0C41ED"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CAPITAL PROGRAMME</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3449D2B4"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capital schemes the Authority intends to carry out over a specific period of time.</w:t>
      </w:r>
    </w:p>
    <w:p w14:paraId="0F250050" w14:textId="77777777" w:rsidR="008F013B" w:rsidRPr="000D67C6" w:rsidRDefault="008F013B" w:rsidP="00252FDD">
      <w:pPr>
        <w:pStyle w:val="Normal0"/>
        <w:spacing w:line="22" w:lineRule="atLeast"/>
        <w:jc w:val="both"/>
        <w:rPr>
          <w:rFonts w:ascii="Arial" w:hAnsi="Arial" w:cs="Arial"/>
          <w:sz w:val="22"/>
          <w:szCs w:val="22"/>
          <w:lang w:val="en-GB"/>
        </w:rPr>
      </w:pPr>
    </w:p>
    <w:p w14:paraId="1989A407"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CAPITAL RECEIPT</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50666567"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proceeds from the disposal of land or other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assets. Proportions of capital receipts can be used to finance new capital expenditure, within rules set down by the government but they cannot be used to finance revenue expenditure.</w:t>
      </w:r>
    </w:p>
    <w:p w14:paraId="034CF77D" w14:textId="77777777" w:rsidR="008F013B" w:rsidRPr="000D67C6" w:rsidRDefault="008F013B" w:rsidP="00252FDD">
      <w:pPr>
        <w:pStyle w:val="Normal0"/>
        <w:spacing w:line="22" w:lineRule="atLeast"/>
        <w:jc w:val="both"/>
        <w:rPr>
          <w:rFonts w:ascii="Arial" w:hAnsi="Arial" w:cs="Arial"/>
          <w:sz w:val="22"/>
          <w:szCs w:val="22"/>
          <w:lang w:val="en-GB"/>
        </w:rPr>
      </w:pPr>
    </w:p>
    <w:p w14:paraId="3ABF2C6F"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CIPFA</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531876BE"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Chartered Institute of Public Finance and Accountancy</w:t>
      </w:r>
      <w:r w:rsidRPr="000D67C6">
        <w:rPr>
          <w:rFonts w:ascii="Arial" w:hAnsi="Arial" w:cs="Arial"/>
          <w:sz w:val="22"/>
          <w:szCs w:val="22"/>
          <w:lang w:val="en-GB"/>
        </w:rPr>
        <w:tab/>
      </w:r>
      <w:r w:rsidR="006D22B3" w:rsidRPr="000D67C6">
        <w:rPr>
          <w:rFonts w:ascii="Arial" w:hAnsi="Arial" w:cs="Arial"/>
          <w:sz w:val="22"/>
          <w:szCs w:val="22"/>
          <w:lang w:val="en-GB"/>
        </w:rPr>
        <w:t>.</w:t>
      </w:r>
    </w:p>
    <w:p w14:paraId="6C902E63" w14:textId="77777777" w:rsidR="008F013B" w:rsidRPr="000D67C6" w:rsidRDefault="008F013B" w:rsidP="00252FDD">
      <w:pPr>
        <w:pStyle w:val="Normal0"/>
        <w:spacing w:line="22" w:lineRule="atLeast"/>
        <w:jc w:val="both"/>
        <w:rPr>
          <w:rFonts w:ascii="Arial" w:hAnsi="Arial" w:cs="Arial"/>
          <w:sz w:val="22"/>
          <w:szCs w:val="22"/>
          <w:lang w:val="en-GB"/>
        </w:rPr>
      </w:pPr>
    </w:p>
    <w:p w14:paraId="72508439"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COMPREHENSIVE INCOME AND EXPENDITURE STATEMENT</w:t>
      </w:r>
      <w:r w:rsidRPr="000D67C6">
        <w:rPr>
          <w:rFonts w:ascii="Arial" w:hAnsi="Arial" w:cs="Arial"/>
          <w:b/>
          <w:sz w:val="22"/>
          <w:szCs w:val="22"/>
          <w:lang w:val="en-GB"/>
        </w:rPr>
        <w:tab/>
      </w:r>
    </w:p>
    <w:p w14:paraId="15ED6D14" w14:textId="77777777" w:rsidR="008F013B" w:rsidRPr="000D67C6" w:rsidRDefault="006D0770"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w:t>
      </w:r>
      <w:r w:rsidR="008F013B" w:rsidRPr="000D67C6">
        <w:rPr>
          <w:rFonts w:ascii="Arial" w:hAnsi="Arial" w:cs="Arial"/>
          <w:sz w:val="22"/>
          <w:szCs w:val="22"/>
          <w:lang w:val="en-GB"/>
        </w:rPr>
        <w:t>account of the Authority that reports the net cost for the year of the functions for which it is responsible and demonstrates how that cost has been financed from precepts, grants and other income.</w:t>
      </w:r>
    </w:p>
    <w:p w14:paraId="507E612C" w14:textId="77777777" w:rsidR="008F013B" w:rsidRPr="000D67C6" w:rsidRDefault="008F013B" w:rsidP="00252FDD">
      <w:pPr>
        <w:pStyle w:val="Normal0"/>
        <w:spacing w:line="22" w:lineRule="atLeast"/>
        <w:jc w:val="both"/>
        <w:rPr>
          <w:rFonts w:ascii="Arial" w:hAnsi="Arial" w:cs="Arial"/>
          <w:sz w:val="22"/>
          <w:szCs w:val="22"/>
          <w:lang w:val="en-GB"/>
        </w:rPr>
      </w:pPr>
    </w:p>
    <w:p w14:paraId="1B62A4B6"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CONTINGENT ASSET</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325597C9"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contingent asset is a possible asset arising from past events whose existence will be confirmed only by the occurrence of one or more uncertain future events not wholly within the Authority’s </w:t>
      </w:r>
      <w:r w:rsidR="00C37733" w:rsidRPr="000D67C6">
        <w:rPr>
          <w:rFonts w:ascii="Arial" w:hAnsi="Arial" w:cs="Arial"/>
          <w:sz w:val="22"/>
          <w:szCs w:val="22"/>
          <w:lang w:val="en-GB"/>
        </w:rPr>
        <w:t>control</w:t>
      </w:r>
      <w:r w:rsidRPr="000D67C6">
        <w:rPr>
          <w:rFonts w:ascii="Arial" w:hAnsi="Arial" w:cs="Arial"/>
          <w:sz w:val="22"/>
          <w:szCs w:val="22"/>
          <w:lang w:val="en-GB"/>
        </w:rPr>
        <w:t>.</w:t>
      </w:r>
    </w:p>
    <w:p w14:paraId="18ACC04E" w14:textId="77777777" w:rsidR="008F013B" w:rsidRPr="000D67C6" w:rsidRDefault="008F013B" w:rsidP="00252FDD">
      <w:pPr>
        <w:pStyle w:val="Normal0"/>
        <w:spacing w:line="22" w:lineRule="atLeast"/>
        <w:jc w:val="both"/>
        <w:rPr>
          <w:rFonts w:ascii="Arial" w:hAnsi="Arial" w:cs="Arial"/>
          <w:sz w:val="22"/>
          <w:szCs w:val="22"/>
          <w:lang w:val="en-GB"/>
        </w:rPr>
      </w:pPr>
    </w:p>
    <w:p w14:paraId="365A3259"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CONTINGENT LIABILITY</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3D4A5B2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 contingent liability is either:</w:t>
      </w:r>
      <w:r w:rsidRPr="000D67C6">
        <w:rPr>
          <w:rFonts w:ascii="Arial" w:hAnsi="Arial" w:cs="Arial"/>
          <w:sz w:val="22"/>
          <w:szCs w:val="22"/>
          <w:lang w:val="en-GB"/>
        </w:rPr>
        <w:tab/>
      </w:r>
      <w:r w:rsidRPr="000D67C6">
        <w:rPr>
          <w:rFonts w:ascii="Arial" w:hAnsi="Arial" w:cs="Arial"/>
          <w:sz w:val="22"/>
          <w:szCs w:val="22"/>
          <w:lang w:val="en-GB"/>
        </w:rPr>
        <w:tab/>
      </w:r>
    </w:p>
    <w:p w14:paraId="689779F9" w14:textId="77777777" w:rsidR="008F013B" w:rsidRPr="000D67C6" w:rsidRDefault="008F013B" w:rsidP="00C4608B">
      <w:pPr>
        <w:pStyle w:val="Normal0"/>
        <w:numPr>
          <w:ilvl w:val="0"/>
          <w:numId w:val="27"/>
        </w:numPr>
        <w:spacing w:line="22" w:lineRule="atLeast"/>
        <w:jc w:val="both"/>
        <w:rPr>
          <w:rFonts w:ascii="Arial" w:hAnsi="Arial" w:cs="Arial"/>
          <w:sz w:val="22"/>
          <w:szCs w:val="22"/>
          <w:lang w:val="en-GB"/>
        </w:rPr>
      </w:pPr>
      <w:r w:rsidRPr="000D67C6">
        <w:rPr>
          <w:rFonts w:ascii="Arial" w:hAnsi="Arial" w:cs="Arial"/>
          <w:sz w:val="22"/>
          <w:szCs w:val="22"/>
          <w:lang w:val="en-GB"/>
        </w:rPr>
        <w:t>A possible obligation arising from past events whose existence will be confirmed only by the occurrence of one or more uncertain future events not wholly within the Authority’s control; or</w:t>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162F3601" w14:textId="77777777" w:rsidR="008F013B" w:rsidRPr="000D67C6" w:rsidRDefault="008F013B" w:rsidP="00C4608B">
      <w:pPr>
        <w:pStyle w:val="Normal0"/>
        <w:numPr>
          <w:ilvl w:val="0"/>
          <w:numId w:val="27"/>
        </w:numPr>
        <w:spacing w:line="22" w:lineRule="atLeast"/>
        <w:jc w:val="both"/>
        <w:rPr>
          <w:rFonts w:ascii="Arial" w:hAnsi="Arial" w:cs="Arial"/>
          <w:sz w:val="22"/>
          <w:szCs w:val="22"/>
          <w:lang w:val="en-GB"/>
        </w:rPr>
      </w:pPr>
      <w:r w:rsidRPr="000D67C6">
        <w:rPr>
          <w:rFonts w:ascii="Arial" w:hAnsi="Arial" w:cs="Arial"/>
          <w:sz w:val="22"/>
          <w:szCs w:val="22"/>
          <w:lang w:val="en-GB"/>
        </w:rPr>
        <w:t>A present obligation arising from past events where it is not probable that a transfer of economic benefits will be required, or the amount of the obligation cannot be measured with sufficient reliability.</w:t>
      </w:r>
    </w:p>
    <w:p w14:paraId="2C377119" w14:textId="77777777" w:rsidR="008F013B" w:rsidRPr="000D67C6" w:rsidRDefault="008F013B" w:rsidP="00252FDD">
      <w:pPr>
        <w:pStyle w:val="Normal0"/>
        <w:spacing w:line="22" w:lineRule="atLeast"/>
        <w:jc w:val="both"/>
        <w:rPr>
          <w:rFonts w:ascii="Arial" w:hAnsi="Arial" w:cs="Arial"/>
          <w:sz w:val="22"/>
          <w:szCs w:val="22"/>
          <w:lang w:val="en-GB"/>
        </w:rPr>
      </w:pPr>
    </w:p>
    <w:p w14:paraId="65FA906A"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CREDITOR</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58832586"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Amount owed by the Authority for work done, goods </w:t>
      </w:r>
      <w:r w:rsidR="009E413D" w:rsidRPr="000D67C6">
        <w:rPr>
          <w:rFonts w:ascii="Arial" w:hAnsi="Arial" w:cs="Arial"/>
          <w:sz w:val="22"/>
          <w:szCs w:val="22"/>
          <w:lang w:val="en-GB"/>
        </w:rPr>
        <w:t>received,</w:t>
      </w:r>
      <w:r w:rsidRPr="000D67C6">
        <w:rPr>
          <w:rFonts w:ascii="Arial" w:hAnsi="Arial" w:cs="Arial"/>
          <w:sz w:val="22"/>
          <w:szCs w:val="22"/>
          <w:lang w:val="en-GB"/>
        </w:rPr>
        <w:t xml:space="preserve"> or services rendered within the accounting period, but for which payment has not been made by the end of that accounting period.</w:t>
      </w:r>
      <w:r w:rsidRPr="000D67C6">
        <w:rPr>
          <w:rFonts w:ascii="Arial" w:hAnsi="Arial" w:cs="Arial"/>
          <w:sz w:val="22"/>
          <w:szCs w:val="22"/>
          <w:lang w:val="en-GB"/>
        </w:rPr>
        <w:tab/>
      </w:r>
    </w:p>
    <w:p w14:paraId="3A43588D" w14:textId="77777777" w:rsidR="008F013B" w:rsidRPr="000D67C6" w:rsidRDefault="008F013B" w:rsidP="00252FDD">
      <w:pPr>
        <w:pStyle w:val="Normal0"/>
        <w:spacing w:line="22" w:lineRule="atLeast"/>
        <w:jc w:val="both"/>
        <w:rPr>
          <w:rFonts w:ascii="Arial" w:hAnsi="Arial" w:cs="Arial"/>
          <w:sz w:val="22"/>
          <w:szCs w:val="22"/>
          <w:lang w:val="en-GB"/>
        </w:rPr>
      </w:pPr>
    </w:p>
    <w:p w14:paraId="44A8EF04" w14:textId="77777777" w:rsidR="008F013B" w:rsidRPr="000D67C6" w:rsidRDefault="006D22B3"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CURRENT SERVICE COST (PENSIONS)</w:t>
      </w:r>
      <w:r w:rsidR="008F013B" w:rsidRPr="000D67C6">
        <w:rPr>
          <w:rFonts w:ascii="Arial" w:hAnsi="Arial" w:cs="Arial"/>
          <w:b/>
          <w:sz w:val="22"/>
          <w:szCs w:val="22"/>
          <w:lang w:val="en-GB"/>
        </w:rPr>
        <w:tab/>
      </w:r>
      <w:r w:rsidR="008F013B" w:rsidRPr="000D67C6">
        <w:rPr>
          <w:rFonts w:ascii="Arial" w:hAnsi="Arial" w:cs="Arial"/>
          <w:b/>
          <w:sz w:val="22"/>
          <w:szCs w:val="22"/>
          <w:lang w:val="en-GB"/>
        </w:rPr>
        <w:tab/>
      </w:r>
    </w:p>
    <w:p w14:paraId="1FE64578"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increase in the present value of </w:t>
      </w:r>
      <w:r w:rsidR="00DB0EE6" w:rsidRPr="000D67C6">
        <w:rPr>
          <w:rFonts w:ascii="Arial" w:hAnsi="Arial" w:cs="Arial"/>
          <w:sz w:val="22"/>
          <w:szCs w:val="22"/>
          <w:lang w:val="en-GB"/>
        </w:rPr>
        <w:t>the</w:t>
      </w:r>
      <w:r w:rsidRPr="000D67C6">
        <w:rPr>
          <w:rFonts w:ascii="Arial" w:hAnsi="Arial" w:cs="Arial"/>
          <w:sz w:val="22"/>
          <w:szCs w:val="22"/>
          <w:lang w:val="en-GB"/>
        </w:rPr>
        <w:t xml:space="preserve"> defined benefit pension scheme’s liabilities, expected to arise from employee service in the current period.</w:t>
      </w:r>
    </w:p>
    <w:p w14:paraId="6003DE57" w14:textId="77777777" w:rsidR="00252FDD" w:rsidRPr="000D67C6" w:rsidRDefault="00252FDD" w:rsidP="00252FDD">
      <w:pPr>
        <w:pStyle w:val="Normal0"/>
        <w:spacing w:line="22" w:lineRule="atLeast"/>
        <w:jc w:val="both"/>
        <w:rPr>
          <w:rFonts w:ascii="Arial" w:hAnsi="Arial" w:cs="Arial"/>
          <w:sz w:val="22"/>
          <w:szCs w:val="22"/>
          <w:lang w:val="en-GB"/>
        </w:rPr>
      </w:pPr>
    </w:p>
    <w:p w14:paraId="0F758FF7"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DEBTOR</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2C20C0D6"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Amount owed to the Authority for works done, goods </w:t>
      </w:r>
      <w:r w:rsidR="009E413D" w:rsidRPr="000D67C6">
        <w:rPr>
          <w:rFonts w:ascii="Arial" w:hAnsi="Arial" w:cs="Arial"/>
          <w:sz w:val="22"/>
          <w:szCs w:val="22"/>
          <w:lang w:val="en-GB"/>
        </w:rPr>
        <w:t>received,</w:t>
      </w:r>
      <w:r w:rsidRPr="000D67C6">
        <w:rPr>
          <w:rFonts w:ascii="Arial" w:hAnsi="Arial" w:cs="Arial"/>
          <w:sz w:val="22"/>
          <w:szCs w:val="22"/>
          <w:lang w:val="en-GB"/>
        </w:rPr>
        <w:t xml:space="preserve"> or services rendered within the accounting period, but for which payment has not been received by the end of that accounting period.</w:t>
      </w:r>
    </w:p>
    <w:p w14:paraId="7F929DDE" w14:textId="77777777" w:rsidR="006D0770" w:rsidRPr="000D67C6" w:rsidRDefault="006D0770" w:rsidP="006D0770">
      <w:pPr>
        <w:rPr>
          <w:rFonts w:ascii="Arial" w:hAnsi="Arial" w:cs="Arial"/>
          <w:sz w:val="22"/>
          <w:szCs w:val="22"/>
          <w:lang w:val="en-GB"/>
        </w:rPr>
      </w:pPr>
    </w:p>
    <w:p w14:paraId="36BF3C78" w14:textId="77777777" w:rsidR="008F013B" w:rsidRPr="000D67C6" w:rsidRDefault="008F013B" w:rsidP="006D0770">
      <w:pPr>
        <w:rPr>
          <w:rFonts w:ascii="Arial" w:hAnsi="Arial" w:cs="Arial"/>
          <w:b/>
          <w:sz w:val="22"/>
          <w:szCs w:val="22"/>
          <w:lang w:val="en-GB"/>
        </w:rPr>
      </w:pPr>
      <w:r w:rsidRPr="000D67C6">
        <w:rPr>
          <w:rFonts w:ascii="Arial" w:hAnsi="Arial" w:cs="Arial"/>
          <w:b/>
          <w:sz w:val="22"/>
          <w:szCs w:val="22"/>
          <w:lang w:val="en-GB"/>
        </w:rPr>
        <w:t>DEFINED BENEFIT PENSION SCHEME</w:t>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617F93F2"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Pension schemes in which the benefits received by the participants are independent of the contributions paid and are not directly related to the investments of the scheme.</w:t>
      </w:r>
      <w:r w:rsidRPr="000D67C6">
        <w:rPr>
          <w:rFonts w:ascii="Arial" w:hAnsi="Arial" w:cs="Arial"/>
          <w:sz w:val="22"/>
          <w:szCs w:val="22"/>
          <w:lang w:val="en-GB"/>
        </w:rPr>
        <w:tab/>
      </w:r>
    </w:p>
    <w:p w14:paraId="765B8846" w14:textId="77777777" w:rsidR="006D0770" w:rsidRPr="000D67C6" w:rsidRDefault="006D0770">
      <w:pPr>
        <w:rPr>
          <w:rFonts w:ascii="Arial" w:hAnsi="Arial" w:cs="Arial"/>
          <w:sz w:val="22"/>
          <w:szCs w:val="22"/>
          <w:lang w:val="en-GB"/>
        </w:rPr>
      </w:pPr>
      <w:r w:rsidRPr="000D67C6">
        <w:rPr>
          <w:rFonts w:ascii="Arial" w:hAnsi="Arial" w:cs="Arial"/>
          <w:sz w:val="22"/>
          <w:szCs w:val="22"/>
          <w:lang w:val="en-GB"/>
        </w:rPr>
        <w:br w:type="page"/>
      </w:r>
    </w:p>
    <w:p w14:paraId="3087CBB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DEPRECIATION</w:t>
      </w:r>
      <w:r w:rsidRPr="000D67C6">
        <w:rPr>
          <w:rFonts w:ascii="Arial" w:hAnsi="Arial" w:cs="Arial"/>
          <w:b/>
          <w:sz w:val="22"/>
          <w:szCs w:val="22"/>
          <w:lang w:val="en-GB"/>
        </w:rPr>
        <w:tab/>
      </w:r>
      <w:r w:rsidRPr="000D67C6">
        <w:rPr>
          <w:rFonts w:ascii="Arial" w:hAnsi="Arial" w:cs="Arial"/>
          <w:b/>
          <w:sz w:val="22"/>
          <w:szCs w:val="22"/>
          <w:lang w:val="en-GB"/>
        </w:rPr>
        <w:tab/>
      </w:r>
    </w:p>
    <w:p w14:paraId="649EB658"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measure of the cost of wearing out, consumption or other reduction in the useful economic life of the Authority’s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assets during the accounting period, whether from use, the passage of time</w:t>
      </w:r>
      <w:r w:rsidR="008B5701" w:rsidRPr="000D67C6">
        <w:rPr>
          <w:rFonts w:ascii="Arial" w:hAnsi="Arial" w:cs="Arial"/>
          <w:sz w:val="22"/>
          <w:szCs w:val="22"/>
          <w:lang w:val="en-GB"/>
        </w:rPr>
        <w:t>,</w:t>
      </w:r>
      <w:r w:rsidRPr="000D67C6">
        <w:rPr>
          <w:rFonts w:ascii="Arial" w:hAnsi="Arial" w:cs="Arial"/>
          <w:sz w:val="22"/>
          <w:szCs w:val="22"/>
          <w:lang w:val="en-GB"/>
        </w:rPr>
        <w:t xml:space="preserve"> or obsolescence through technical or other changes.</w:t>
      </w:r>
    </w:p>
    <w:p w14:paraId="37C634C5" w14:textId="77777777" w:rsidR="008F013B" w:rsidRPr="000D67C6" w:rsidRDefault="008F013B" w:rsidP="00252FDD">
      <w:pPr>
        <w:pStyle w:val="Normal0"/>
        <w:spacing w:line="22" w:lineRule="atLeast"/>
        <w:jc w:val="both"/>
        <w:rPr>
          <w:rFonts w:ascii="Arial" w:hAnsi="Arial" w:cs="Arial"/>
          <w:sz w:val="22"/>
          <w:szCs w:val="22"/>
          <w:lang w:val="en-GB"/>
        </w:rPr>
      </w:pPr>
    </w:p>
    <w:p w14:paraId="49E34B7F"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DISCRETIONARY BENEFITS (PENSIONS)</w:t>
      </w:r>
      <w:r w:rsidRPr="000D67C6">
        <w:rPr>
          <w:rFonts w:ascii="Arial" w:hAnsi="Arial" w:cs="Arial"/>
          <w:b/>
          <w:sz w:val="22"/>
          <w:szCs w:val="22"/>
          <w:lang w:val="en-GB"/>
        </w:rPr>
        <w:tab/>
      </w:r>
    </w:p>
    <w:p w14:paraId="2FD4307D"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Retirement benefits, which the employer has no legal, contractual or constructive obligation to award and are awarded under the Authority’s discretionary powers such as the Local Government (Discretionary Payments) Regulations 1996.</w:t>
      </w:r>
    </w:p>
    <w:p w14:paraId="7A54EDB8" w14:textId="77777777" w:rsidR="008F013B" w:rsidRPr="000D67C6" w:rsidRDefault="008F013B" w:rsidP="00252FDD">
      <w:pPr>
        <w:pStyle w:val="Normal0"/>
        <w:spacing w:line="22" w:lineRule="atLeast"/>
        <w:jc w:val="both"/>
        <w:rPr>
          <w:rFonts w:ascii="Arial" w:hAnsi="Arial" w:cs="Arial"/>
          <w:sz w:val="22"/>
          <w:szCs w:val="22"/>
          <w:lang w:val="en-GB"/>
        </w:rPr>
      </w:pPr>
    </w:p>
    <w:p w14:paraId="2730A288"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EQUITY</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0FD80A7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Authority’s value of total assets</w:t>
      </w:r>
      <w:r w:rsidR="008B5701" w:rsidRPr="000D67C6">
        <w:rPr>
          <w:rFonts w:ascii="Arial" w:hAnsi="Arial" w:cs="Arial"/>
          <w:sz w:val="22"/>
          <w:szCs w:val="22"/>
          <w:lang w:val="en-GB"/>
        </w:rPr>
        <w:t>,</w:t>
      </w:r>
      <w:r w:rsidRPr="000D67C6">
        <w:rPr>
          <w:rFonts w:ascii="Arial" w:hAnsi="Arial" w:cs="Arial"/>
          <w:sz w:val="22"/>
          <w:szCs w:val="22"/>
          <w:lang w:val="en-GB"/>
        </w:rPr>
        <w:t xml:space="preserve"> less total liabilities.</w:t>
      </w:r>
    </w:p>
    <w:p w14:paraId="6E15F62E" w14:textId="77777777" w:rsidR="008F013B" w:rsidRPr="000D67C6" w:rsidRDefault="008F013B" w:rsidP="00252FDD">
      <w:pPr>
        <w:pStyle w:val="Normal0"/>
        <w:spacing w:line="22" w:lineRule="atLeast"/>
        <w:jc w:val="both"/>
        <w:rPr>
          <w:rFonts w:ascii="Arial" w:hAnsi="Arial" w:cs="Arial"/>
          <w:sz w:val="22"/>
          <w:szCs w:val="22"/>
          <w:lang w:val="en-GB"/>
        </w:rPr>
      </w:pPr>
    </w:p>
    <w:p w14:paraId="5B922E1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EVENTS AFTER THE BALANCE SHEET DATE</w:t>
      </w:r>
    </w:p>
    <w:p w14:paraId="11FEC0B6"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Events after the Balance Sheet date are those events, favourable or unfavourable, that occur between the Balance Sheet date and the date when the Statement of Accounts is authorised for issue.</w:t>
      </w:r>
    </w:p>
    <w:p w14:paraId="7533BADD" w14:textId="77777777" w:rsidR="008F013B" w:rsidRPr="000D67C6" w:rsidRDefault="008F013B" w:rsidP="00252FDD">
      <w:pPr>
        <w:pStyle w:val="Normal0"/>
        <w:spacing w:line="22" w:lineRule="atLeast"/>
        <w:jc w:val="both"/>
        <w:rPr>
          <w:rFonts w:ascii="Arial" w:hAnsi="Arial" w:cs="Arial"/>
          <w:sz w:val="22"/>
          <w:szCs w:val="22"/>
          <w:lang w:val="en-GB"/>
        </w:rPr>
      </w:pPr>
    </w:p>
    <w:p w14:paraId="5C94ABB1"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EXPECTED RETURN ON PENSION ASSETS</w:t>
      </w:r>
      <w:r w:rsidRPr="000D67C6">
        <w:rPr>
          <w:rFonts w:ascii="Arial" w:hAnsi="Arial" w:cs="Arial"/>
          <w:b/>
          <w:sz w:val="22"/>
          <w:szCs w:val="22"/>
          <w:lang w:val="en-GB"/>
        </w:rPr>
        <w:tab/>
      </w:r>
    </w:p>
    <w:p w14:paraId="4E8B856F"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For a funded defined benefit scheme, this is the average rate of return, including both income and changes in fair value</w:t>
      </w:r>
      <w:r w:rsidR="008B5701" w:rsidRPr="000D67C6">
        <w:rPr>
          <w:rFonts w:ascii="Arial" w:hAnsi="Arial" w:cs="Arial"/>
          <w:sz w:val="22"/>
          <w:szCs w:val="22"/>
          <w:lang w:val="en-GB"/>
        </w:rPr>
        <w:t>,</w:t>
      </w:r>
      <w:r w:rsidRPr="000D67C6">
        <w:rPr>
          <w:rFonts w:ascii="Arial" w:hAnsi="Arial" w:cs="Arial"/>
          <w:sz w:val="22"/>
          <w:szCs w:val="22"/>
          <w:lang w:val="en-GB"/>
        </w:rPr>
        <w:t xml:space="preserve"> but net of scheme expenses, which is expected over the remaining life of the related obligation on the actual assets held by the scheme.</w:t>
      </w:r>
      <w:r w:rsidRPr="000D67C6">
        <w:rPr>
          <w:rFonts w:ascii="Arial" w:hAnsi="Arial" w:cs="Arial"/>
          <w:sz w:val="22"/>
          <w:szCs w:val="22"/>
          <w:lang w:val="en-GB"/>
        </w:rPr>
        <w:tab/>
      </w:r>
    </w:p>
    <w:p w14:paraId="598ACEE3" w14:textId="77777777" w:rsidR="008F013B" w:rsidRPr="000D67C6" w:rsidRDefault="008F013B" w:rsidP="00252FDD">
      <w:pPr>
        <w:pStyle w:val="Normal0"/>
        <w:spacing w:line="22" w:lineRule="atLeast"/>
        <w:jc w:val="both"/>
        <w:rPr>
          <w:rFonts w:ascii="Arial" w:hAnsi="Arial" w:cs="Arial"/>
          <w:sz w:val="22"/>
          <w:szCs w:val="22"/>
          <w:lang w:val="en-GB"/>
        </w:rPr>
      </w:pPr>
    </w:p>
    <w:p w14:paraId="3D2FB2F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FAIR VALUE</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69F1285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fair value of an asset is the price at which it could be exchanged in an arm’s length transaction.</w:t>
      </w:r>
      <w:r w:rsidRPr="000D67C6">
        <w:rPr>
          <w:rFonts w:ascii="Arial" w:hAnsi="Arial" w:cs="Arial"/>
          <w:sz w:val="22"/>
          <w:szCs w:val="22"/>
          <w:lang w:val="en-GB"/>
        </w:rPr>
        <w:tab/>
      </w:r>
    </w:p>
    <w:p w14:paraId="63A54215" w14:textId="77777777" w:rsidR="008F013B" w:rsidRPr="000D67C6" w:rsidRDefault="008F013B" w:rsidP="00252FDD">
      <w:pPr>
        <w:pStyle w:val="Normal0"/>
        <w:spacing w:line="22" w:lineRule="atLeast"/>
        <w:jc w:val="both"/>
        <w:rPr>
          <w:rFonts w:ascii="Arial" w:hAnsi="Arial" w:cs="Arial"/>
          <w:sz w:val="22"/>
          <w:szCs w:val="22"/>
          <w:lang w:val="en-GB"/>
        </w:rPr>
      </w:pPr>
    </w:p>
    <w:p w14:paraId="55E50D79"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FINANCE LEASE</w:t>
      </w:r>
      <w:r w:rsidRPr="000D67C6">
        <w:rPr>
          <w:rFonts w:ascii="Arial" w:hAnsi="Arial" w:cs="Arial"/>
          <w:b/>
          <w:sz w:val="22"/>
          <w:szCs w:val="22"/>
          <w:lang w:val="en-GB"/>
        </w:rPr>
        <w:tab/>
      </w:r>
    </w:p>
    <w:p w14:paraId="4F42BFBC"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lease that transfers substantially all of the risks and rewards of ownership of a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 to the lessee.</w:t>
      </w:r>
    </w:p>
    <w:p w14:paraId="4EC274E6" w14:textId="77777777" w:rsidR="006D0770" w:rsidRPr="000D67C6" w:rsidRDefault="006D0770" w:rsidP="00252FDD">
      <w:pPr>
        <w:pStyle w:val="Normal0"/>
        <w:spacing w:line="22" w:lineRule="atLeast"/>
        <w:jc w:val="both"/>
        <w:rPr>
          <w:rFonts w:ascii="Arial" w:hAnsi="Arial" w:cs="Arial"/>
          <w:b/>
          <w:sz w:val="22"/>
          <w:szCs w:val="22"/>
          <w:lang w:val="en-GB"/>
        </w:rPr>
      </w:pPr>
    </w:p>
    <w:p w14:paraId="150B8116"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GOVERNMENT GRANTS</w:t>
      </w:r>
      <w:r w:rsidRPr="000D67C6">
        <w:rPr>
          <w:rFonts w:ascii="Arial" w:hAnsi="Arial" w:cs="Arial"/>
          <w:b/>
          <w:sz w:val="22"/>
          <w:szCs w:val="22"/>
          <w:lang w:val="en-GB"/>
        </w:rPr>
        <w:tab/>
      </w:r>
    </w:p>
    <w:p w14:paraId="7563E12F"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Grants made by the government towards either revenue or capital expenditure in return for past or future compliance with certain conditions relating to the activities of the Authority. These grants may be specific to a particular scheme or may support the revenue spend of the Authority in general.</w:t>
      </w:r>
      <w:r w:rsidRPr="000D67C6">
        <w:rPr>
          <w:rFonts w:ascii="Arial" w:hAnsi="Arial" w:cs="Arial"/>
          <w:sz w:val="22"/>
          <w:szCs w:val="22"/>
          <w:lang w:val="en-GB"/>
        </w:rPr>
        <w:tab/>
      </w:r>
    </w:p>
    <w:p w14:paraId="13C2D11F" w14:textId="77777777" w:rsidR="008F013B" w:rsidRPr="000D67C6" w:rsidRDefault="008F013B" w:rsidP="00252FDD">
      <w:pPr>
        <w:pStyle w:val="Normal0"/>
        <w:spacing w:line="22" w:lineRule="atLeast"/>
        <w:jc w:val="both"/>
        <w:rPr>
          <w:rFonts w:ascii="Arial" w:hAnsi="Arial" w:cs="Arial"/>
          <w:sz w:val="22"/>
          <w:szCs w:val="22"/>
          <w:lang w:val="en-GB"/>
        </w:rPr>
      </w:pPr>
    </w:p>
    <w:p w14:paraId="33DD4E48"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IMPAIRMENT</w:t>
      </w:r>
      <w:r w:rsidRPr="000D67C6">
        <w:rPr>
          <w:rFonts w:ascii="Arial" w:hAnsi="Arial" w:cs="Arial"/>
          <w:b/>
          <w:sz w:val="22"/>
          <w:szCs w:val="22"/>
          <w:lang w:val="en-GB"/>
        </w:rPr>
        <w:tab/>
      </w:r>
    </w:p>
    <w:p w14:paraId="4C10E697"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reduction in the value of a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 to below its recoverable amount, the higher of the asset's fair value less costs to sell and its value in use.</w:t>
      </w:r>
    </w:p>
    <w:p w14:paraId="3F6AFECE" w14:textId="77777777" w:rsidR="008F013B" w:rsidRPr="000D67C6" w:rsidRDefault="008F013B" w:rsidP="00252FDD">
      <w:pPr>
        <w:pStyle w:val="Normal0"/>
        <w:spacing w:line="22" w:lineRule="atLeast"/>
        <w:jc w:val="both"/>
        <w:rPr>
          <w:rFonts w:ascii="Arial" w:hAnsi="Arial" w:cs="Arial"/>
          <w:sz w:val="22"/>
          <w:szCs w:val="22"/>
          <w:lang w:val="en-GB"/>
        </w:rPr>
      </w:pPr>
    </w:p>
    <w:p w14:paraId="06BDF769"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INFRASTRUCTURE ASSETS</w:t>
      </w:r>
    </w:p>
    <w:p w14:paraId="40C93110" w14:textId="77777777" w:rsidR="008F013B" w:rsidRPr="000D67C6" w:rsidRDefault="00C37733"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Non-current</w:t>
      </w:r>
      <w:r w:rsidR="008F013B" w:rsidRPr="000D67C6">
        <w:rPr>
          <w:rFonts w:ascii="Arial" w:hAnsi="Arial" w:cs="Arial"/>
          <w:sz w:val="22"/>
          <w:szCs w:val="22"/>
          <w:lang w:val="en-GB"/>
        </w:rPr>
        <w:t xml:space="preserve"> assets belonging to the Authority that cannot be transferred or sold, on which expenditure is only recoverable by the continued use of the asset created. Examples are </w:t>
      </w:r>
      <w:r w:rsidRPr="000D67C6">
        <w:rPr>
          <w:rFonts w:ascii="Arial" w:hAnsi="Arial" w:cs="Arial"/>
          <w:sz w:val="22"/>
          <w:szCs w:val="22"/>
          <w:lang w:val="en-GB"/>
        </w:rPr>
        <w:t>hydrants</w:t>
      </w:r>
      <w:r w:rsidR="008F013B" w:rsidRPr="000D67C6">
        <w:rPr>
          <w:rFonts w:ascii="Arial" w:hAnsi="Arial" w:cs="Arial"/>
          <w:sz w:val="22"/>
          <w:szCs w:val="22"/>
          <w:lang w:val="en-GB"/>
        </w:rPr>
        <w:t>.</w:t>
      </w:r>
    </w:p>
    <w:p w14:paraId="016C1C51" w14:textId="77777777" w:rsidR="006D22B3" w:rsidRPr="000D67C6" w:rsidRDefault="006D22B3">
      <w:pPr>
        <w:rPr>
          <w:rFonts w:ascii="Arial" w:hAnsi="Arial" w:cs="Arial"/>
          <w:b/>
          <w:sz w:val="22"/>
          <w:szCs w:val="22"/>
          <w:lang w:val="en-GB"/>
        </w:rPr>
      </w:pPr>
    </w:p>
    <w:p w14:paraId="2B86F950"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INTANGIBLE ASSETS</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74173A24"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An intangible (non-physical) item may be defined as an asset when access to the future economic benefits it represents is controlled by the reporting entity. This Authority’s intangible assets comprise computer software licences.</w:t>
      </w:r>
    </w:p>
    <w:p w14:paraId="3A1E78BE" w14:textId="77777777" w:rsidR="008F013B" w:rsidRPr="000D67C6" w:rsidRDefault="008F013B" w:rsidP="00252FDD">
      <w:pPr>
        <w:pStyle w:val="Normal0"/>
        <w:spacing w:line="22" w:lineRule="atLeast"/>
        <w:jc w:val="both"/>
        <w:rPr>
          <w:rFonts w:ascii="Arial" w:hAnsi="Arial" w:cs="Arial"/>
          <w:sz w:val="22"/>
          <w:szCs w:val="22"/>
          <w:lang w:val="en-GB"/>
        </w:rPr>
      </w:pPr>
    </w:p>
    <w:p w14:paraId="3E0AE46B"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INTEREST COST (PENSIONS)</w:t>
      </w:r>
      <w:r w:rsidRPr="000D67C6">
        <w:rPr>
          <w:rFonts w:ascii="Arial" w:hAnsi="Arial" w:cs="Arial"/>
          <w:b/>
          <w:sz w:val="22"/>
          <w:szCs w:val="22"/>
          <w:lang w:val="en-GB"/>
        </w:rPr>
        <w:tab/>
      </w:r>
      <w:r w:rsidRPr="000D67C6">
        <w:rPr>
          <w:rFonts w:ascii="Arial" w:hAnsi="Arial" w:cs="Arial"/>
          <w:b/>
          <w:sz w:val="22"/>
          <w:szCs w:val="22"/>
          <w:lang w:val="en-GB"/>
        </w:rPr>
        <w:tab/>
      </w:r>
    </w:p>
    <w:p w14:paraId="42E9BD14"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For a defined benefit scheme, the expected increase during the period of the present value of the scheme liabilities because the benefits are one period closer to settlement.</w:t>
      </w:r>
      <w:r w:rsidRPr="000D67C6">
        <w:rPr>
          <w:rFonts w:ascii="Arial" w:hAnsi="Arial" w:cs="Arial"/>
          <w:sz w:val="22"/>
          <w:szCs w:val="22"/>
          <w:lang w:val="en-GB"/>
        </w:rPr>
        <w:tab/>
      </w:r>
    </w:p>
    <w:p w14:paraId="1C078ACD" w14:textId="77777777" w:rsidR="009E413D" w:rsidRPr="000D67C6" w:rsidRDefault="009E413D" w:rsidP="00252FDD">
      <w:pPr>
        <w:pStyle w:val="Normal0"/>
        <w:spacing w:line="22" w:lineRule="atLeast"/>
        <w:jc w:val="both"/>
        <w:rPr>
          <w:rFonts w:ascii="Arial" w:hAnsi="Arial" w:cs="Arial"/>
          <w:sz w:val="22"/>
          <w:szCs w:val="22"/>
          <w:lang w:val="en-GB"/>
        </w:rPr>
      </w:pPr>
    </w:p>
    <w:p w14:paraId="6864887A"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INVESTMENTS (PENSION FUND)</w:t>
      </w:r>
      <w:r w:rsidRPr="000D67C6">
        <w:rPr>
          <w:rFonts w:ascii="Arial" w:hAnsi="Arial" w:cs="Arial"/>
          <w:b/>
          <w:sz w:val="22"/>
          <w:szCs w:val="22"/>
          <w:lang w:val="en-GB"/>
        </w:rPr>
        <w:tab/>
      </w:r>
    </w:p>
    <w:p w14:paraId="73D49E63"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investments of the Pension Fund will be accounted for in the statements of that fund. However, </w:t>
      </w:r>
      <w:r w:rsidR="009C0108" w:rsidRPr="000D67C6">
        <w:rPr>
          <w:rFonts w:ascii="Arial" w:hAnsi="Arial" w:cs="Arial"/>
          <w:sz w:val="22"/>
          <w:szCs w:val="22"/>
          <w:lang w:val="en-GB"/>
        </w:rPr>
        <w:t>A</w:t>
      </w:r>
      <w:r w:rsidRPr="000D67C6">
        <w:rPr>
          <w:rFonts w:ascii="Arial" w:hAnsi="Arial" w:cs="Arial"/>
          <w:sz w:val="22"/>
          <w:szCs w:val="22"/>
          <w:lang w:val="en-GB"/>
        </w:rPr>
        <w:t>uthorities are also required to disclose, as part of the disclosure requirements relating to retirement benefits, the attributable share of the pension scheme assets associated with their underlying obligations.</w:t>
      </w:r>
      <w:r w:rsidRPr="000D67C6">
        <w:rPr>
          <w:rFonts w:ascii="Arial" w:hAnsi="Arial" w:cs="Arial"/>
          <w:sz w:val="22"/>
          <w:szCs w:val="22"/>
          <w:lang w:val="en-GB"/>
        </w:rPr>
        <w:tab/>
      </w:r>
    </w:p>
    <w:p w14:paraId="3ECD35A6" w14:textId="77777777" w:rsidR="008F013B" w:rsidRPr="000D67C6" w:rsidRDefault="008F013B" w:rsidP="00252FDD">
      <w:pPr>
        <w:pStyle w:val="Normal0"/>
        <w:spacing w:line="22" w:lineRule="atLeast"/>
        <w:jc w:val="both"/>
        <w:rPr>
          <w:rFonts w:ascii="Arial" w:hAnsi="Arial" w:cs="Arial"/>
          <w:sz w:val="22"/>
          <w:szCs w:val="22"/>
          <w:lang w:val="en-GB"/>
        </w:rPr>
      </w:pPr>
    </w:p>
    <w:p w14:paraId="618FFA8B"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LIABILITY</w:t>
      </w:r>
      <w:r w:rsidRPr="000D67C6">
        <w:rPr>
          <w:rFonts w:ascii="Arial" w:hAnsi="Arial" w:cs="Arial"/>
          <w:b/>
          <w:sz w:val="22"/>
          <w:szCs w:val="22"/>
          <w:lang w:val="en-GB"/>
        </w:rPr>
        <w:tab/>
      </w:r>
      <w:r w:rsidRPr="000D67C6">
        <w:rPr>
          <w:rFonts w:ascii="Arial" w:hAnsi="Arial" w:cs="Arial"/>
          <w:b/>
          <w:sz w:val="22"/>
          <w:szCs w:val="22"/>
          <w:lang w:val="en-GB"/>
        </w:rPr>
        <w:tab/>
      </w:r>
    </w:p>
    <w:p w14:paraId="6B8B8D2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 liability is where the Authority owes payment to an indiv</w:t>
      </w:r>
      <w:r w:rsidR="006D22B3" w:rsidRPr="000D67C6">
        <w:rPr>
          <w:rFonts w:ascii="Arial" w:hAnsi="Arial" w:cs="Arial"/>
          <w:sz w:val="22"/>
          <w:szCs w:val="22"/>
          <w:lang w:val="en-GB"/>
        </w:rPr>
        <w:t>idual or another organisation.</w:t>
      </w:r>
      <w:r w:rsidR="006D22B3" w:rsidRPr="000D67C6">
        <w:rPr>
          <w:rFonts w:ascii="Arial" w:hAnsi="Arial" w:cs="Arial"/>
          <w:sz w:val="22"/>
          <w:szCs w:val="22"/>
          <w:lang w:val="en-GB"/>
        </w:rPr>
        <w:tab/>
      </w:r>
    </w:p>
    <w:p w14:paraId="63B2BECC" w14:textId="77777777" w:rsidR="008F013B" w:rsidRPr="000D67C6" w:rsidRDefault="008F013B" w:rsidP="00C4608B">
      <w:pPr>
        <w:pStyle w:val="Normal0"/>
        <w:numPr>
          <w:ilvl w:val="0"/>
          <w:numId w:val="28"/>
        </w:numPr>
        <w:spacing w:line="22" w:lineRule="atLeast"/>
        <w:jc w:val="both"/>
        <w:rPr>
          <w:rFonts w:ascii="Arial" w:hAnsi="Arial" w:cs="Arial"/>
          <w:sz w:val="22"/>
          <w:szCs w:val="22"/>
          <w:lang w:val="en-GB"/>
        </w:rPr>
      </w:pPr>
      <w:r w:rsidRPr="000D67C6">
        <w:rPr>
          <w:rFonts w:ascii="Arial" w:hAnsi="Arial" w:cs="Arial"/>
          <w:sz w:val="22"/>
          <w:szCs w:val="22"/>
          <w:lang w:val="en-GB"/>
        </w:rPr>
        <w:t>A current liability is an amount which will become payable or could be called in within the next accounting period, e.g. creditors or cash overdrawn.</w:t>
      </w:r>
      <w:r w:rsidRPr="000D67C6">
        <w:rPr>
          <w:rFonts w:ascii="Arial" w:hAnsi="Arial" w:cs="Arial"/>
          <w:sz w:val="22"/>
          <w:szCs w:val="22"/>
          <w:lang w:val="en-GB"/>
        </w:rPr>
        <w:tab/>
      </w:r>
    </w:p>
    <w:p w14:paraId="5B4E89C6" w14:textId="77777777" w:rsidR="008F013B" w:rsidRPr="000D67C6" w:rsidRDefault="008F013B" w:rsidP="00C4608B">
      <w:pPr>
        <w:pStyle w:val="Normal0"/>
        <w:numPr>
          <w:ilvl w:val="0"/>
          <w:numId w:val="28"/>
        </w:numPr>
        <w:spacing w:line="22" w:lineRule="atLeast"/>
        <w:jc w:val="both"/>
        <w:rPr>
          <w:rFonts w:ascii="Arial" w:hAnsi="Arial" w:cs="Arial"/>
          <w:sz w:val="22"/>
          <w:szCs w:val="22"/>
          <w:lang w:val="en-GB"/>
        </w:rPr>
      </w:pPr>
      <w:r w:rsidRPr="000D67C6">
        <w:rPr>
          <w:rFonts w:ascii="Arial" w:hAnsi="Arial" w:cs="Arial"/>
          <w:sz w:val="22"/>
          <w:szCs w:val="22"/>
          <w:lang w:val="en-GB"/>
        </w:rPr>
        <w:t>A deferred liability is an amount which by arrangement is payable beyond the next year at some point in the future or to be paid off by an annual sum over a period of time.</w:t>
      </w:r>
    </w:p>
    <w:p w14:paraId="6F085FD2" w14:textId="77777777" w:rsidR="008F013B" w:rsidRPr="000D67C6" w:rsidRDefault="008F013B" w:rsidP="00252FDD">
      <w:pPr>
        <w:pStyle w:val="Normal0"/>
        <w:spacing w:line="22" w:lineRule="atLeast"/>
        <w:jc w:val="both"/>
        <w:rPr>
          <w:rFonts w:ascii="Arial" w:hAnsi="Arial" w:cs="Arial"/>
          <w:sz w:val="22"/>
          <w:szCs w:val="22"/>
          <w:lang w:val="en-GB"/>
        </w:rPr>
      </w:pPr>
    </w:p>
    <w:p w14:paraId="2F50F4E6"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LONG-TERM CONTRACT</w:t>
      </w:r>
      <w:r w:rsidRPr="000D67C6">
        <w:rPr>
          <w:rFonts w:ascii="Arial" w:hAnsi="Arial" w:cs="Arial"/>
          <w:b/>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r w:rsidRPr="000D67C6">
        <w:rPr>
          <w:rFonts w:ascii="Arial" w:hAnsi="Arial" w:cs="Arial"/>
          <w:sz w:val="22"/>
          <w:szCs w:val="22"/>
          <w:lang w:val="en-GB"/>
        </w:rPr>
        <w:tab/>
      </w:r>
    </w:p>
    <w:p w14:paraId="4FCFEDE6"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 contract entered into for the design, manufacture or construction of a single substantial asset or the provision of a service (or a combination of assets or services which together constitute a single project), where the time taken to substantially complete the contract is such that the contract activity falls into more than one accounting period.</w:t>
      </w:r>
    </w:p>
    <w:p w14:paraId="76E6824B" w14:textId="77777777" w:rsidR="008F013B" w:rsidRPr="000D67C6" w:rsidRDefault="008F013B" w:rsidP="00252FDD">
      <w:pPr>
        <w:pStyle w:val="Normal0"/>
        <w:spacing w:line="22" w:lineRule="atLeast"/>
        <w:jc w:val="both"/>
        <w:rPr>
          <w:rFonts w:ascii="Arial" w:hAnsi="Arial" w:cs="Arial"/>
          <w:sz w:val="22"/>
          <w:szCs w:val="22"/>
          <w:lang w:val="en-GB"/>
        </w:rPr>
      </w:pPr>
    </w:p>
    <w:p w14:paraId="04216D1D"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MINIMUM REVENUE PROVISION (MRP)</w:t>
      </w:r>
      <w:r w:rsidRPr="000D67C6">
        <w:rPr>
          <w:rFonts w:ascii="Arial" w:hAnsi="Arial" w:cs="Arial"/>
          <w:b/>
          <w:sz w:val="22"/>
          <w:szCs w:val="22"/>
          <w:lang w:val="en-GB"/>
        </w:rPr>
        <w:tab/>
      </w:r>
    </w:p>
    <w:p w14:paraId="11639A60"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minimum amount which must be charged to the revenue account each year in order to provide for the repayment of loans and other amounts borrowed by the Authority.</w:t>
      </w:r>
    </w:p>
    <w:p w14:paraId="35260820" w14:textId="77777777" w:rsidR="008F013B" w:rsidRPr="000D67C6" w:rsidRDefault="008F013B" w:rsidP="00252FDD">
      <w:pPr>
        <w:pStyle w:val="Normal0"/>
        <w:spacing w:line="22" w:lineRule="atLeast"/>
        <w:jc w:val="both"/>
        <w:rPr>
          <w:rFonts w:ascii="Arial" w:hAnsi="Arial" w:cs="Arial"/>
          <w:sz w:val="22"/>
          <w:szCs w:val="22"/>
          <w:lang w:val="en-GB"/>
        </w:rPr>
      </w:pPr>
    </w:p>
    <w:p w14:paraId="0F1296C2"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NET BOOK VALUE</w:t>
      </w:r>
      <w:r w:rsidRPr="000D67C6">
        <w:rPr>
          <w:rFonts w:ascii="Arial" w:hAnsi="Arial" w:cs="Arial"/>
          <w:b/>
          <w:sz w:val="22"/>
          <w:szCs w:val="22"/>
          <w:lang w:val="en-GB"/>
        </w:rPr>
        <w:tab/>
      </w:r>
      <w:r w:rsidRPr="000D67C6">
        <w:rPr>
          <w:rFonts w:ascii="Arial" w:hAnsi="Arial" w:cs="Arial"/>
          <w:b/>
          <w:sz w:val="22"/>
          <w:szCs w:val="22"/>
          <w:lang w:val="en-GB"/>
        </w:rPr>
        <w:tab/>
      </w:r>
    </w:p>
    <w:p w14:paraId="572E4FDD"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amount at which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assets are included in the Balance Sheet, i.e. their historical costs or current value less the cumulative amounts provided for depreciation.</w:t>
      </w:r>
    </w:p>
    <w:p w14:paraId="26BAC4C0" w14:textId="77777777" w:rsidR="008F013B" w:rsidRPr="000D67C6" w:rsidRDefault="008F013B" w:rsidP="00252FDD">
      <w:pPr>
        <w:pStyle w:val="Normal0"/>
        <w:spacing w:line="22" w:lineRule="atLeast"/>
        <w:jc w:val="both"/>
        <w:rPr>
          <w:rFonts w:ascii="Arial" w:hAnsi="Arial" w:cs="Arial"/>
          <w:sz w:val="22"/>
          <w:szCs w:val="22"/>
          <w:lang w:val="en-GB"/>
        </w:rPr>
      </w:pPr>
    </w:p>
    <w:p w14:paraId="661AD011"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OPERATING LEASE</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2DACFF9B"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lease where the ownership of the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 remains with the lessor.</w:t>
      </w:r>
      <w:r w:rsidRPr="000D67C6">
        <w:rPr>
          <w:rFonts w:ascii="Arial" w:hAnsi="Arial" w:cs="Arial"/>
          <w:sz w:val="22"/>
          <w:szCs w:val="22"/>
          <w:lang w:val="en-GB"/>
        </w:rPr>
        <w:tab/>
      </w:r>
    </w:p>
    <w:p w14:paraId="60D6B892" w14:textId="77777777" w:rsidR="008F013B" w:rsidRPr="000D67C6" w:rsidRDefault="008F013B" w:rsidP="00252FDD">
      <w:pPr>
        <w:pStyle w:val="Normal0"/>
        <w:spacing w:line="22" w:lineRule="atLeast"/>
        <w:jc w:val="both"/>
        <w:rPr>
          <w:rFonts w:ascii="Arial" w:hAnsi="Arial" w:cs="Arial"/>
          <w:sz w:val="22"/>
          <w:szCs w:val="22"/>
          <w:lang w:val="en-GB"/>
        </w:rPr>
      </w:pPr>
    </w:p>
    <w:p w14:paraId="28739C0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OPERATIONAL ASSETS</w:t>
      </w:r>
      <w:r w:rsidRPr="000D67C6">
        <w:rPr>
          <w:rFonts w:ascii="Arial" w:hAnsi="Arial" w:cs="Arial"/>
          <w:b/>
          <w:sz w:val="22"/>
          <w:szCs w:val="22"/>
          <w:lang w:val="en-GB"/>
        </w:rPr>
        <w:tab/>
      </w:r>
    </w:p>
    <w:p w14:paraId="763543A1" w14:textId="77777777" w:rsidR="008F013B" w:rsidRPr="000D67C6" w:rsidRDefault="00C37733"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Non-current</w:t>
      </w:r>
      <w:r w:rsidR="008F013B" w:rsidRPr="000D67C6">
        <w:rPr>
          <w:rFonts w:ascii="Arial" w:hAnsi="Arial" w:cs="Arial"/>
          <w:sz w:val="22"/>
          <w:szCs w:val="22"/>
          <w:lang w:val="en-GB"/>
        </w:rPr>
        <w:t xml:space="preserve"> assets held and occupied, used or consumed by the Authority in the pursuit of its strategy and in the direct delivery of those services for which it has either a statutory or discretionary responsibility.</w:t>
      </w:r>
    </w:p>
    <w:p w14:paraId="74707331" w14:textId="77777777" w:rsidR="006D22B3" w:rsidRPr="000D67C6" w:rsidRDefault="006D22B3" w:rsidP="00252FDD">
      <w:pPr>
        <w:pStyle w:val="Normal0"/>
        <w:spacing w:line="22" w:lineRule="atLeast"/>
        <w:jc w:val="both"/>
        <w:rPr>
          <w:rFonts w:ascii="Arial" w:hAnsi="Arial" w:cs="Arial"/>
          <w:sz w:val="22"/>
          <w:szCs w:val="22"/>
          <w:lang w:val="en-GB"/>
        </w:rPr>
      </w:pPr>
    </w:p>
    <w:p w14:paraId="19001ACF" w14:textId="77777777" w:rsidR="008F013B"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PAST SERVICE COST (PENSIONS)</w:t>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r w:rsidRPr="000D67C6">
        <w:rPr>
          <w:rFonts w:ascii="Arial" w:hAnsi="Arial" w:cs="Arial"/>
          <w:b/>
          <w:sz w:val="22"/>
          <w:szCs w:val="22"/>
          <w:lang w:val="en-GB"/>
        </w:rPr>
        <w:tab/>
      </w:r>
    </w:p>
    <w:p w14:paraId="3411425A"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For a defined benefit pension scheme, the increase in the present value of the scheme liabilities related to employee service in prior periods arising in the current period as a result of the introduction of, or improvement to</w:t>
      </w:r>
      <w:r w:rsidR="0000535F" w:rsidRPr="000D67C6">
        <w:rPr>
          <w:rFonts w:ascii="Arial" w:hAnsi="Arial" w:cs="Arial"/>
          <w:sz w:val="22"/>
          <w:szCs w:val="22"/>
          <w:lang w:val="en-GB"/>
        </w:rPr>
        <w:t>,</w:t>
      </w:r>
      <w:r w:rsidRPr="000D67C6">
        <w:rPr>
          <w:rFonts w:ascii="Arial" w:hAnsi="Arial" w:cs="Arial"/>
          <w:sz w:val="22"/>
          <w:szCs w:val="22"/>
          <w:lang w:val="en-GB"/>
        </w:rPr>
        <w:t xml:space="preserve"> retirement benefits.</w:t>
      </w:r>
    </w:p>
    <w:p w14:paraId="152B57A8" w14:textId="77777777" w:rsidR="008F013B" w:rsidRPr="000D67C6" w:rsidRDefault="008F013B" w:rsidP="00252FDD">
      <w:pPr>
        <w:pStyle w:val="Normal0"/>
        <w:spacing w:line="22" w:lineRule="atLeast"/>
        <w:jc w:val="both"/>
        <w:rPr>
          <w:rFonts w:ascii="Arial" w:hAnsi="Arial" w:cs="Arial"/>
          <w:sz w:val="22"/>
          <w:szCs w:val="22"/>
          <w:lang w:val="en-GB"/>
        </w:rPr>
      </w:pPr>
    </w:p>
    <w:p w14:paraId="3ACE7D28"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PENSION SCHEME LIABILITIES</w:t>
      </w:r>
      <w:r w:rsidRPr="000D67C6">
        <w:rPr>
          <w:rFonts w:ascii="Arial" w:hAnsi="Arial" w:cs="Arial"/>
          <w:b/>
          <w:sz w:val="22"/>
          <w:szCs w:val="22"/>
          <w:lang w:val="en-GB"/>
        </w:rPr>
        <w:tab/>
      </w:r>
    </w:p>
    <w:p w14:paraId="1EA4390E"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liabilities of a defined benefit pension scheme for outgoings due after the valuation date. Scheme liabilities measured </w:t>
      </w:r>
      <w:r w:rsidR="00C37733" w:rsidRPr="000D67C6">
        <w:rPr>
          <w:rFonts w:ascii="Arial" w:hAnsi="Arial" w:cs="Arial"/>
          <w:sz w:val="22"/>
          <w:szCs w:val="22"/>
          <w:lang w:val="en-GB"/>
        </w:rPr>
        <w:t>using</w:t>
      </w:r>
      <w:r w:rsidRPr="000D67C6">
        <w:rPr>
          <w:rFonts w:ascii="Arial" w:hAnsi="Arial" w:cs="Arial"/>
          <w:sz w:val="22"/>
          <w:szCs w:val="22"/>
          <w:lang w:val="en-GB"/>
        </w:rPr>
        <w:t xml:space="preserve"> the projected unit method reflect the benefits that the employer is committed to provide for service up to the valuation date.</w:t>
      </w:r>
    </w:p>
    <w:p w14:paraId="1D2D998B" w14:textId="77777777" w:rsidR="008F013B" w:rsidRPr="000D67C6" w:rsidRDefault="008F013B" w:rsidP="00252FDD">
      <w:pPr>
        <w:pStyle w:val="Normal0"/>
        <w:spacing w:line="22" w:lineRule="atLeast"/>
        <w:jc w:val="both"/>
        <w:rPr>
          <w:rFonts w:ascii="Arial" w:hAnsi="Arial" w:cs="Arial"/>
          <w:sz w:val="22"/>
          <w:szCs w:val="22"/>
          <w:lang w:val="en-GB"/>
        </w:rPr>
      </w:pPr>
    </w:p>
    <w:p w14:paraId="79681999"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PRIOR YEAR ADJUSTMENT</w:t>
      </w:r>
      <w:r w:rsidRPr="000D67C6">
        <w:rPr>
          <w:rFonts w:ascii="Arial" w:hAnsi="Arial" w:cs="Arial"/>
          <w:b/>
          <w:sz w:val="22"/>
          <w:szCs w:val="22"/>
          <w:lang w:val="en-GB"/>
        </w:rPr>
        <w:tab/>
      </w:r>
    </w:p>
    <w:p w14:paraId="29AAF3F3"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Material adjustments applicable to previous years arising from changes in accounting policies or from the correction of fundamental errors. This does not include normal recurring corrections or adjustments of accounting estimates made in prior years.</w:t>
      </w:r>
    </w:p>
    <w:p w14:paraId="1E5D8460" w14:textId="77777777" w:rsidR="008F013B" w:rsidRPr="000D67C6" w:rsidRDefault="008F013B" w:rsidP="00252FDD">
      <w:pPr>
        <w:pStyle w:val="Normal0"/>
        <w:spacing w:line="22" w:lineRule="atLeast"/>
        <w:jc w:val="both"/>
        <w:rPr>
          <w:rFonts w:ascii="Arial" w:hAnsi="Arial" w:cs="Arial"/>
          <w:sz w:val="22"/>
          <w:szCs w:val="22"/>
          <w:lang w:val="en-GB"/>
        </w:rPr>
      </w:pPr>
    </w:p>
    <w:p w14:paraId="04AC1B37"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PROVISION</w:t>
      </w:r>
      <w:r w:rsidRPr="000D67C6">
        <w:rPr>
          <w:rFonts w:ascii="Arial" w:hAnsi="Arial" w:cs="Arial"/>
          <w:b/>
          <w:sz w:val="22"/>
          <w:szCs w:val="22"/>
          <w:lang w:val="en-GB"/>
        </w:rPr>
        <w:tab/>
      </w:r>
    </w:p>
    <w:p w14:paraId="599CB34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An amount put aside in the accounts for future liabilities or losses which are certain or very likely to occur but the amounts or dates of when they will arise are uncertain.</w:t>
      </w:r>
    </w:p>
    <w:p w14:paraId="6B9630EF" w14:textId="77777777" w:rsidR="008F013B" w:rsidRPr="000D67C6" w:rsidRDefault="008F013B" w:rsidP="00252FDD">
      <w:pPr>
        <w:pStyle w:val="Normal0"/>
        <w:spacing w:line="22" w:lineRule="atLeast"/>
        <w:jc w:val="both"/>
        <w:rPr>
          <w:rFonts w:ascii="Arial" w:hAnsi="Arial" w:cs="Arial"/>
          <w:sz w:val="22"/>
          <w:szCs w:val="22"/>
          <w:lang w:val="en-GB"/>
        </w:rPr>
      </w:pPr>
    </w:p>
    <w:p w14:paraId="7BE03CFA" w14:textId="77777777" w:rsidR="006D0770" w:rsidRPr="000D67C6" w:rsidRDefault="006D0770">
      <w:pPr>
        <w:rPr>
          <w:rFonts w:ascii="Arial" w:hAnsi="Arial" w:cs="Arial"/>
          <w:b/>
          <w:sz w:val="22"/>
          <w:szCs w:val="22"/>
          <w:lang w:val="en-GB"/>
        </w:rPr>
      </w:pPr>
      <w:r w:rsidRPr="000D67C6">
        <w:rPr>
          <w:rFonts w:ascii="Arial" w:hAnsi="Arial" w:cs="Arial"/>
          <w:b/>
          <w:sz w:val="22"/>
          <w:szCs w:val="22"/>
          <w:lang w:val="en-GB"/>
        </w:rPr>
        <w:br w:type="page"/>
      </w:r>
    </w:p>
    <w:p w14:paraId="6490424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PUBLIC WORKS LOAN BOARD (PWLB)</w:t>
      </w:r>
      <w:r w:rsidRPr="000D67C6">
        <w:rPr>
          <w:rFonts w:ascii="Arial" w:hAnsi="Arial" w:cs="Arial"/>
          <w:b/>
          <w:sz w:val="22"/>
          <w:szCs w:val="22"/>
          <w:lang w:val="en-GB"/>
        </w:rPr>
        <w:tab/>
      </w:r>
    </w:p>
    <w:p w14:paraId="0D4B5039"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A Central Government Agency, which provides loans for one year and above to </w:t>
      </w:r>
      <w:r w:rsidR="003D7A56" w:rsidRPr="000D67C6">
        <w:rPr>
          <w:rFonts w:ascii="Arial" w:hAnsi="Arial" w:cs="Arial"/>
          <w:sz w:val="22"/>
          <w:szCs w:val="22"/>
          <w:lang w:val="en-GB"/>
        </w:rPr>
        <w:t>Au</w:t>
      </w:r>
      <w:r w:rsidRPr="000D67C6">
        <w:rPr>
          <w:rFonts w:ascii="Arial" w:hAnsi="Arial" w:cs="Arial"/>
          <w:sz w:val="22"/>
          <w:szCs w:val="22"/>
          <w:lang w:val="en-GB"/>
        </w:rPr>
        <w:t>thorities at interest rates only slightly higher than those at which the government can borrow itself.</w:t>
      </w:r>
    </w:p>
    <w:p w14:paraId="1D51578D" w14:textId="77777777" w:rsidR="008F013B" w:rsidRPr="000D67C6" w:rsidRDefault="008F013B" w:rsidP="00252FDD">
      <w:pPr>
        <w:pStyle w:val="Normal0"/>
        <w:spacing w:line="22" w:lineRule="atLeast"/>
        <w:jc w:val="both"/>
        <w:rPr>
          <w:rFonts w:ascii="Arial" w:hAnsi="Arial" w:cs="Arial"/>
          <w:sz w:val="22"/>
          <w:szCs w:val="22"/>
          <w:lang w:val="en-GB"/>
        </w:rPr>
      </w:pPr>
    </w:p>
    <w:p w14:paraId="54988294"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RELATED PARTIES</w:t>
      </w:r>
      <w:r w:rsidRPr="000D67C6">
        <w:rPr>
          <w:rFonts w:ascii="Arial" w:hAnsi="Arial" w:cs="Arial"/>
          <w:b/>
          <w:sz w:val="22"/>
          <w:szCs w:val="22"/>
          <w:lang w:val="en-GB"/>
        </w:rPr>
        <w:tab/>
      </w:r>
    </w:p>
    <w:p w14:paraId="79D6571B"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There is a detailed defini</w:t>
      </w:r>
      <w:r w:rsidR="0097605D" w:rsidRPr="000D67C6">
        <w:rPr>
          <w:rFonts w:ascii="Arial" w:hAnsi="Arial" w:cs="Arial"/>
          <w:sz w:val="22"/>
          <w:szCs w:val="22"/>
          <w:lang w:val="en-GB"/>
        </w:rPr>
        <w:t>tion of related parties in IAS 24</w:t>
      </w:r>
      <w:r w:rsidRPr="000D67C6">
        <w:rPr>
          <w:rFonts w:ascii="Arial" w:hAnsi="Arial" w:cs="Arial"/>
          <w:sz w:val="22"/>
          <w:szCs w:val="22"/>
          <w:lang w:val="en-GB"/>
        </w:rPr>
        <w:t xml:space="preserve">. For the </w:t>
      </w:r>
      <w:r w:rsidR="00B77F23" w:rsidRPr="000D67C6">
        <w:rPr>
          <w:rFonts w:ascii="Arial" w:hAnsi="Arial" w:cs="Arial"/>
          <w:sz w:val="22"/>
          <w:szCs w:val="22"/>
          <w:lang w:val="en-GB"/>
        </w:rPr>
        <w:t>Authority’s</w:t>
      </w:r>
      <w:r w:rsidRPr="000D67C6">
        <w:rPr>
          <w:rFonts w:ascii="Arial" w:hAnsi="Arial" w:cs="Arial"/>
          <w:sz w:val="22"/>
          <w:szCs w:val="22"/>
          <w:lang w:val="en-GB"/>
        </w:rPr>
        <w:t xml:space="preserve"> purposes related parties are deemed to include the Authority’s members, the Chief Executive, its Directors and their close family and household members.</w:t>
      </w:r>
    </w:p>
    <w:p w14:paraId="2ED8A3DE" w14:textId="77777777" w:rsidR="008F013B" w:rsidRPr="000D67C6" w:rsidRDefault="008F013B" w:rsidP="00252FDD">
      <w:pPr>
        <w:pStyle w:val="Normal0"/>
        <w:spacing w:line="22" w:lineRule="atLeast"/>
        <w:jc w:val="both"/>
        <w:rPr>
          <w:rFonts w:ascii="Arial" w:hAnsi="Arial" w:cs="Arial"/>
          <w:sz w:val="22"/>
          <w:szCs w:val="22"/>
          <w:lang w:val="en-GB"/>
        </w:rPr>
      </w:pPr>
    </w:p>
    <w:p w14:paraId="48133545"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RELATED PARTY TRANSACTIONS</w:t>
      </w:r>
      <w:r w:rsidRPr="000D67C6">
        <w:rPr>
          <w:rFonts w:ascii="Arial" w:hAnsi="Arial" w:cs="Arial"/>
          <w:b/>
          <w:sz w:val="22"/>
          <w:szCs w:val="22"/>
          <w:lang w:val="en-GB"/>
        </w:rPr>
        <w:tab/>
      </w:r>
      <w:r w:rsidRPr="000D67C6">
        <w:rPr>
          <w:rFonts w:ascii="Arial" w:hAnsi="Arial" w:cs="Arial"/>
          <w:b/>
          <w:sz w:val="22"/>
          <w:szCs w:val="22"/>
          <w:lang w:val="en-GB"/>
        </w:rPr>
        <w:tab/>
      </w:r>
    </w:p>
    <w:p w14:paraId="23EF65B2" w14:textId="77777777" w:rsidR="008F013B" w:rsidRPr="000D67C6" w:rsidRDefault="006D0770"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Statement o</w:t>
      </w:r>
      <w:r w:rsidR="008F013B" w:rsidRPr="000D67C6">
        <w:rPr>
          <w:rFonts w:ascii="Arial" w:hAnsi="Arial" w:cs="Arial"/>
          <w:sz w:val="22"/>
          <w:szCs w:val="22"/>
          <w:lang w:val="en-GB"/>
        </w:rPr>
        <w:t>f Recommended Practice requires the disclosure of any material transactions between the Authority and related parties to ensure that stakeholders are aware when these transactions occur and the amount and implications of such.</w:t>
      </w:r>
    </w:p>
    <w:p w14:paraId="321D1809" w14:textId="77777777" w:rsidR="006D22B3" w:rsidRPr="000D67C6" w:rsidRDefault="006D22B3">
      <w:pPr>
        <w:rPr>
          <w:rFonts w:ascii="Arial" w:hAnsi="Arial" w:cs="Arial"/>
          <w:sz w:val="22"/>
          <w:szCs w:val="22"/>
          <w:lang w:val="en-GB"/>
        </w:rPr>
      </w:pPr>
    </w:p>
    <w:p w14:paraId="212FD7DB"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REMUNERATION</w:t>
      </w:r>
      <w:r w:rsidRPr="000D67C6">
        <w:rPr>
          <w:rFonts w:ascii="Arial" w:hAnsi="Arial" w:cs="Arial"/>
          <w:b/>
          <w:sz w:val="22"/>
          <w:szCs w:val="22"/>
          <w:lang w:val="en-GB"/>
        </w:rPr>
        <w:tab/>
      </w:r>
    </w:p>
    <w:p w14:paraId="4378A415"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All sums paid to or receivable by an employee and sums due by way of expenses allowances (as far as those sums are chargeable to UK income tax) and the money value of any other benefits. Received other than in cash. Pension contributions payable by the employer are excluded.</w:t>
      </w:r>
    </w:p>
    <w:p w14:paraId="063B83F6" w14:textId="77777777" w:rsidR="008F013B" w:rsidRPr="000D67C6" w:rsidRDefault="008F013B" w:rsidP="00252FDD">
      <w:pPr>
        <w:pStyle w:val="Normal0"/>
        <w:spacing w:line="22" w:lineRule="atLeast"/>
        <w:jc w:val="both"/>
        <w:rPr>
          <w:rFonts w:ascii="Arial" w:hAnsi="Arial" w:cs="Arial"/>
          <w:sz w:val="22"/>
          <w:szCs w:val="22"/>
          <w:lang w:val="en-GB"/>
        </w:rPr>
      </w:pPr>
    </w:p>
    <w:p w14:paraId="34422F09"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RESERVES</w:t>
      </w:r>
    </w:p>
    <w:p w14:paraId="6A134EB9"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accumulation of surpluses, deficits and appropriations over past years. Reserves of a revenue nature are available and can be spent or earmarked at the discretion of the Authority. Some capital reserves such as the </w:t>
      </w:r>
      <w:r w:rsidR="00C37733" w:rsidRPr="000D67C6">
        <w:rPr>
          <w:rFonts w:ascii="Arial" w:hAnsi="Arial" w:cs="Arial"/>
          <w:sz w:val="22"/>
          <w:szCs w:val="22"/>
          <w:lang w:val="en-GB"/>
        </w:rPr>
        <w:t>Capital Adjustment</w:t>
      </w:r>
      <w:r w:rsidRPr="000D67C6">
        <w:rPr>
          <w:rFonts w:ascii="Arial" w:hAnsi="Arial" w:cs="Arial"/>
          <w:sz w:val="22"/>
          <w:szCs w:val="22"/>
          <w:lang w:val="en-GB"/>
        </w:rPr>
        <w:t xml:space="preserve"> account cannot be used to meet current expenditure.</w:t>
      </w:r>
    </w:p>
    <w:p w14:paraId="01C002FA" w14:textId="77777777" w:rsidR="008F013B" w:rsidRPr="000D67C6" w:rsidRDefault="008F013B" w:rsidP="00252FDD">
      <w:pPr>
        <w:pStyle w:val="Normal0"/>
        <w:spacing w:line="22" w:lineRule="atLeast"/>
        <w:jc w:val="both"/>
        <w:rPr>
          <w:rFonts w:ascii="Arial" w:hAnsi="Arial" w:cs="Arial"/>
          <w:sz w:val="22"/>
          <w:szCs w:val="22"/>
          <w:lang w:val="en-GB"/>
        </w:rPr>
      </w:pPr>
    </w:p>
    <w:p w14:paraId="3E3ED649"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RETIREMENT BENEFITS</w:t>
      </w:r>
      <w:r w:rsidRPr="000D67C6">
        <w:rPr>
          <w:rFonts w:ascii="Arial" w:hAnsi="Arial" w:cs="Arial"/>
          <w:b/>
          <w:sz w:val="22"/>
          <w:szCs w:val="22"/>
          <w:lang w:val="en-GB"/>
        </w:rPr>
        <w:tab/>
      </w:r>
    </w:p>
    <w:p w14:paraId="0BAF8179"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All forms of consideration given by an employer in exchange for services rendered by employees that are payable after the completion of employment.</w:t>
      </w:r>
    </w:p>
    <w:p w14:paraId="6706A5FE" w14:textId="77777777" w:rsidR="008F013B" w:rsidRPr="000D67C6" w:rsidRDefault="008F013B" w:rsidP="00252FDD">
      <w:pPr>
        <w:pStyle w:val="Normal0"/>
        <w:spacing w:line="22" w:lineRule="atLeast"/>
        <w:jc w:val="both"/>
        <w:rPr>
          <w:rFonts w:ascii="Arial" w:hAnsi="Arial" w:cs="Arial"/>
          <w:sz w:val="22"/>
          <w:szCs w:val="22"/>
          <w:lang w:val="en-GB"/>
        </w:rPr>
      </w:pPr>
    </w:p>
    <w:p w14:paraId="051AF378"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REVENUE EXPENDITURE</w:t>
      </w:r>
      <w:r w:rsidRPr="000D67C6">
        <w:rPr>
          <w:rFonts w:ascii="Arial" w:hAnsi="Arial" w:cs="Arial"/>
          <w:b/>
          <w:sz w:val="22"/>
          <w:szCs w:val="22"/>
          <w:lang w:val="en-GB"/>
        </w:rPr>
        <w:tab/>
      </w:r>
    </w:p>
    <w:p w14:paraId="75FAEF2C" w14:textId="77777777" w:rsidR="008F013B" w:rsidRPr="000D67C6"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The day-to-day expenses of providing services.</w:t>
      </w:r>
    </w:p>
    <w:p w14:paraId="36B66E1C" w14:textId="77777777" w:rsidR="008F013B" w:rsidRPr="000D67C6" w:rsidRDefault="008F013B" w:rsidP="00252FDD">
      <w:pPr>
        <w:pStyle w:val="Normal0"/>
        <w:spacing w:line="22" w:lineRule="atLeast"/>
        <w:jc w:val="both"/>
        <w:rPr>
          <w:rFonts w:ascii="Arial" w:hAnsi="Arial" w:cs="Arial"/>
          <w:sz w:val="22"/>
          <w:szCs w:val="22"/>
          <w:lang w:val="en-GB"/>
        </w:rPr>
      </w:pPr>
    </w:p>
    <w:p w14:paraId="0FAAFD38" w14:textId="77777777" w:rsidR="00252FDD" w:rsidRPr="000D67C6" w:rsidRDefault="008F013B" w:rsidP="00252FDD">
      <w:pPr>
        <w:pStyle w:val="Normal0"/>
        <w:spacing w:line="22" w:lineRule="atLeast"/>
        <w:jc w:val="both"/>
        <w:rPr>
          <w:rFonts w:ascii="Arial" w:hAnsi="Arial" w:cs="Arial"/>
          <w:b/>
          <w:sz w:val="22"/>
          <w:szCs w:val="22"/>
          <w:lang w:val="en-GB"/>
        </w:rPr>
      </w:pPr>
      <w:r w:rsidRPr="000D67C6">
        <w:rPr>
          <w:rFonts w:ascii="Arial" w:hAnsi="Arial" w:cs="Arial"/>
          <w:b/>
          <w:sz w:val="22"/>
          <w:szCs w:val="22"/>
          <w:lang w:val="en-GB"/>
        </w:rPr>
        <w:t>USEFUL ECONOMIC LIFE (UEL)</w:t>
      </w:r>
      <w:r w:rsidRPr="000D67C6">
        <w:rPr>
          <w:rFonts w:ascii="Arial" w:hAnsi="Arial" w:cs="Arial"/>
          <w:b/>
          <w:sz w:val="22"/>
          <w:szCs w:val="22"/>
          <w:lang w:val="en-GB"/>
        </w:rPr>
        <w:tab/>
      </w:r>
    </w:p>
    <w:p w14:paraId="2DC1070A" w14:textId="77777777" w:rsidR="008F013B" w:rsidRPr="005C44A9" w:rsidRDefault="008F013B" w:rsidP="00252FDD">
      <w:pPr>
        <w:pStyle w:val="Normal0"/>
        <w:spacing w:line="22" w:lineRule="atLeast"/>
        <w:jc w:val="both"/>
        <w:rPr>
          <w:rFonts w:ascii="Arial" w:hAnsi="Arial" w:cs="Arial"/>
          <w:sz w:val="22"/>
          <w:szCs w:val="22"/>
          <w:lang w:val="en-GB"/>
        </w:rPr>
      </w:pPr>
      <w:r w:rsidRPr="000D67C6">
        <w:rPr>
          <w:rFonts w:ascii="Arial" w:hAnsi="Arial" w:cs="Arial"/>
          <w:sz w:val="22"/>
          <w:szCs w:val="22"/>
          <w:lang w:val="en-GB"/>
        </w:rPr>
        <w:t xml:space="preserve">The period over which the Authority will derive benefits from the use of a </w:t>
      </w:r>
      <w:r w:rsidR="00C37733" w:rsidRPr="000D67C6">
        <w:rPr>
          <w:rFonts w:ascii="Arial" w:hAnsi="Arial" w:cs="Arial"/>
          <w:sz w:val="22"/>
          <w:szCs w:val="22"/>
          <w:lang w:val="en-GB"/>
        </w:rPr>
        <w:t>non-current</w:t>
      </w:r>
      <w:r w:rsidRPr="000D67C6">
        <w:rPr>
          <w:rFonts w:ascii="Arial" w:hAnsi="Arial" w:cs="Arial"/>
          <w:sz w:val="22"/>
          <w:szCs w:val="22"/>
          <w:lang w:val="en-GB"/>
        </w:rPr>
        <w:t xml:space="preserve"> asset.</w:t>
      </w:r>
      <w:r w:rsidRPr="005C44A9">
        <w:rPr>
          <w:rFonts w:ascii="Arial" w:hAnsi="Arial" w:cs="Arial"/>
          <w:sz w:val="22"/>
          <w:szCs w:val="22"/>
          <w:lang w:val="en-GB"/>
        </w:rPr>
        <w:t xml:space="preserve"> </w:t>
      </w:r>
    </w:p>
    <w:p w14:paraId="6137DF3A" w14:textId="77777777" w:rsidR="008F013B" w:rsidRPr="005C44A9" w:rsidRDefault="008F013B" w:rsidP="00252FDD">
      <w:pPr>
        <w:pStyle w:val="Normal0"/>
        <w:spacing w:line="22" w:lineRule="atLeast"/>
        <w:rPr>
          <w:rFonts w:ascii="Arial" w:hAnsi="Arial" w:cs="Arial"/>
          <w:sz w:val="22"/>
          <w:szCs w:val="22"/>
          <w:lang w:val="en-GB"/>
        </w:rPr>
      </w:pPr>
    </w:p>
    <w:p w14:paraId="377B90AF" w14:textId="77777777" w:rsidR="008F013B" w:rsidRPr="005C44A9" w:rsidRDefault="008F013B" w:rsidP="00252FDD">
      <w:pPr>
        <w:pStyle w:val="Normal0"/>
        <w:spacing w:line="22" w:lineRule="atLeast"/>
        <w:rPr>
          <w:rFonts w:ascii="Arial" w:hAnsi="Arial" w:cs="Arial"/>
          <w:sz w:val="22"/>
          <w:szCs w:val="22"/>
          <w:lang w:val="en-GB"/>
        </w:rPr>
      </w:pPr>
    </w:p>
    <w:p w14:paraId="1A6A5089" w14:textId="2DC8F00C" w:rsidR="000D67C6" w:rsidRDefault="000D67C6">
      <w:pPr>
        <w:rPr>
          <w:rFonts w:ascii="Arial" w:eastAsia="Times New Roman" w:hAnsi="Arial" w:cs="Arial"/>
          <w:b/>
          <w:bCs/>
          <w:sz w:val="22"/>
          <w:szCs w:val="22"/>
          <w:u w:val="single"/>
          <w:lang w:val="en-GB"/>
        </w:rPr>
      </w:pPr>
      <w:r>
        <w:rPr>
          <w:rFonts w:ascii="Arial" w:eastAsia="Times New Roman" w:hAnsi="Arial" w:cs="Arial"/>
          <w:b/>
          <w:bCs/>
          <w:sz w:val="22"/>
          <w:szCs w:val="22"/>
          <w:u w:val="single"/>
          <w:lang w:val="en-GB"/>
        </w:rPr>
        <w:br w:type="page"/>
      </w:r>
    </w:p>
    <w:p w14:paraId="1AAB7E1C" w14:textId="78A22446" w:rsidR="006A783B" w:rsidRPr="004E4C24" w:rsidRDefault="006A783B" w:rsidP="00E06B4E">
      <w:pPr>
        <w:autoSpaceDE w:val="0"/>
        <w:autoSpaceDN w:val="0"/>
        <w:adjustRightInd w:val="0"/>
        <w:jc w:val="both"/>
        <w:outlineLvl w:val="0"/>
        <w:rPr>
          <w:rFonts w:ascii="Arial" w:eastAsia="Times New Roman" w:hAnsi="Arial" w:cs="Arial"/>
          <w:b/>
          <w:bCs/>
        </w:rPr>
      </w:pPr>
      <w:bookmarkStart w:id="7" w:name="AGS"/>
      <w:r w:rsidRPr="004E4C24">
        <w:rPr>
          <w:rFonts w:ascii="Arial" w:eastAsia="Times New Roman" w:hAnsi="Arial" w:cs="Arial"/>
          <w:b/>
          <w:bCs/>
        </w:rPr>
        <w:t>Mid and West Wales Fire and Rescue Authority</w:t>
      </w:r>
    </w:p>
    <w:p w14:paraId="4011BDB5" w14:textId="77777777" w:rsidR="006A783B" w:rsidRPr="004E4C24" w:rsidRDefault="006A783B" w:rsidP="00E06B4E">
      <w:pPr>
        <w:autoSpaceDE w:val="0"/>
        <w:autoSpaceDN w:val="0"/>
        <w:adjustRightInd w:val="0"/>
        <w:jc w:val="both"/>
        <w:outlineLvl w:val="0"/>
        <w:rPr>
          <w:rFonts w:ascii="Arial" w:eastAsia="Times New Roman" w:hAnsi="Arial" w:cs="Arial"/>
          <w:b/>
          <w:bCs/>
        </w:rPr>
      </w:pPr>
    </w:p>
    <w:p w14:paraId="03A791D0" w14:textId="5E72ECC7" w:rsidR="006A783B" w:rsidRDefault="006A783B" w:rsidP="00E06B4E">
      <w:pPr>
        <w:autoSpaceDE w:val="0"/>
        <w:autoSpaceDN w:val="0"/>
        <w:adjustRightInd w:val="0"/>
        <w:jc w:val="both"/>
        <w:outlineLvl w:val="0"/>
        <w:rPr>
          <w:rFonts w:ascii="Arial" w:eastAsia="Times New Roman" w:hAnsi="Arial" w:cs="Arial"/>
          <w:b/>
          <w:bCs/>
          <w:u w:val="single"/>
        </w:rPr>
      </w:pPr>
      <w:r w:rsidRPr="004E4C24">
        <w:rPr>
          <w:rFonts w:ascii="Arial" w:eastAsia="Times New Roman" w:hAnsi="Arial" w:cs="Arial"/>
          <w:b/>
          <w:bCs/>
          <w:u w:val="single"/>
        </w:rPr>
        <w:t>ANNUAL GOVERNANCE STATEMENT</w:t>
      </w:r>
    </w:p>
    <w:p w14:paraId="79F27A90" w14:textId="77777777" w:rsidR="00E06B4E" w:rsidRPr="004E4C24" w:rsidRDefault="00E06B4E" w:rsidP="00E06B4E">
      <w:pPr>
        <w:autoSpaceDE w:val="0"/>
        <w:autoSpaceDN w:val="0"/>
        <w:adjustRightInd w:val="0"/>
        <w:jc w:val="both"/>
        <w:outlineLvl w:val="0"/>
        <w:rPr>
          <w:rFonts w:ascii="Arial" w:eastAsia="Times New Roman" w:hAnsi="Arial" w:cs="Arial"/>
          <w:b/>
          <w:bCs/>
          <w:u w:val="single"/>
        </w:rPr>
      </w:pPr>
    </w:p>
    <w:p w14:paraId="4148C6B6" w14:textId="77777777" w:rsidR="006A783B" w:rsidRPr="004E4C24" w:rsidRDefault="006A783B" w:rsidP="00E06B4E">
      <w:pPr>
        <w:autoSpaceDE w:val="0"/>
        <w:autoSpaceDN w:val="0"/>
        <w:adjustRightInd w:val="0"/>
        <w:jc w:val="both"/>
        <w:outlineLvl w:val="0"/>
        <w:rPr>
          <w:rFonts w:ascii="Arial" w:eastAsia="Times New Roman" w:hAnsi="Arial" w:cs="Arial"/>
          <w:b/>
          <w:bCs/>
        </w:rPr>
      </w:pPr>
      <w:r w:rsidRPr="004E4C24">
        <w:rPr>
          <w:rFonts w:ascii="Arial" w:eastAsia="Times New Roman" w:hAnsi="Arial" w:cs="Arial"/>
          <w:b/>
          <w:bCs/>
          <w:u w:val="single"/>
        </w:rPr>
        <w:t>For the year ended 31</w:t>
      </w:r>
      <w:r w:rsidRPr="004E4C24">
        <w:rPr>
          <w:rFonts w:ascii="Arial" w:eastAsia="Times New Roman" w:hAnsi="Arial" w:cs="Arial"/>
          <w:b/>
          <w:bCs/>
          <w:u w:val="single"/>
          <w:vertAlign w:val="superscript"/>
        </w:rPr>
        <w:t>st</w:t>
      </w:r>
      <w:r w:rsidRPr="004E4C24">
        <w:rPr>
          <w:rFonts w:ascii="Arial" w:eastAsia="Times New Roman" w:hAnsi="Arial" w:cs="Arial"/>
          <w:b/>
          <w:bCs/>
          <w:u w:val="single"/>
        </w:rPr>
        <w:t xml:space="preserve"> March 2019</w:t>
      </w:r>
    </w:p>
    <w:p w14:paraId="1FFBFB27" w14:textId="77777777" w:rsidR="006A783B" w:rsidRPr="004E4C24" w:rsidRDefault="006A783B" w:rsidP="00E06B4E">
      <w:pPr>
        <w:autoSpaceDE w:val="0"/>
        <w:autoSpaceDN w:val="0"/>
        <w:adjustRightInd w:val="0"/>
        <w:jc w:val="both"/>
        <w:rPr>
          <w:rFonts w:ascii="Arial" w:eastAsia="Times New Roman" w:hAnsi="Arial" w:cs="Arial"/>
          <w:b/>
          <w:bCs/>
        </w:rPr>
      </w:pPr>
    </w:p>
    <w:p w14:paraId="20DEC224" w14:textId="77777777" w:rsidR="006A783B" w:rsidRPr="00E06B4E" w:rsidRDefault="006A783B" w:rsidP="00E06B4E">
      <w:pPr>
        <w:autoSpaceDE w:val="0"/>
        <w:autoSpaceDN w:val="0"/>
        <w:adjustRightInd w:val="0"/>
        <w:jc w:val="both"/>
        <w:rPr>
          <w:rFonts w:ascii="Arial" w:eastAsia="Times New Roman" w:hAnsi="Arial" w:cs="Arial"/>
          <w:bCs/>
          <w:sz w:val="22"/>
        </w:rPr>
      </w:pPr>
      <w:r w:rsidRPr="00E06B4E">
        <w:rPr>
          <w:rFonts w:ascii="Arial" w:eastAsia="Times New Roman" w:hAnsi="Arial" w:cs="Arial"/>
          <w:bCs/>
          <w:sz w:val="22"/>
        </w:rPr>
        <w:t>This Statement has been prepared in accordance with guidance produced by the Chartered Institute of Public Finance and Accountancy (CIPFA) and the Society of Local Authority Chief Executives (SOLACE), the ‘</w:t>
      </w:r>
      <w:r w:rsidRPr="00E06B4E">
        <w:rPr>
          <w:rFonts w:ascii="Arial" w:eastAsia="Times New Roman" w:hAnsi="Arial" w:cs="Arial"/>
          <w:bCs/>
          <w:i/>
          <w:sz w:val="22"/>
        </w:rPr>
        <w:t xml:space="preserve">Delivering Good Governance in Local Government Framework’ 2016. </w:t>
      </w:r>
      <w:r w:rsidRPr="00E06B4E">
        <w:rPr>
          <w:rFonts w:ascii="Arial" w:eastAsia="Times New Roman" w:hAnsi="Arial" w:cs="Arial"/>
          <w:bCs/>
          <w:sz w:val="22"/>
        </w:rPr>
        <w:t>This Annual Governance Statement explains how the Authority has complied with the framework and its seven core principles of good governance to ensure that resources are directed in accordance with agreed policy and priorities.</w:t>
      </w:r>
    </w:p>
    <w:p w14:paraId="1CCA90AF" w14:textId="77777777" w:rsidR="006A783B" w:rsidRPr="004E4C24" w:rsidRDefault="006A783B" w:rsidP="00E06B4E">
      <w:pPr>
        <w:autoSpaceDE w:val="0"/>
        <w:autoSpaceDN w:val="0"/>
        <w:adjustRightInd w:val="0"/>
        <w:jc w:val="both"/>
        <w:rPr>
          <w:rFonts w:ascii="Arial" w:eastAsia="Times New Roman" w:hAnsi="Arial" w:cs="Arial"/>
          <w:b/>
          <w:bCs/>
          <w:color w:val="000000"/>
        </w:rPr>
      </w:pPr>
    </w:p>
    <w:p w14:paraId="221D467E" w14:textId="77777777" w:rsidR="006A783B" w:rsidRPr="004E4C24" w:rsidRDefault="006A783B" w:rsidP="00E06B4E">
      <w:pPr>
        <w:autoSpaceDE w:val="0"/>
        <w:autoSpaceDN w:val="0"/>
        <w:adjustRightInd w:val="0"/>
        <w:jc w:val="both"/>
        <w:rPr>
          <w:rFonts w:ascii="Arial" w:eastAsia="Times New Roman" w:hAnsi="Arial" w:cs="Arial"/>
          <w:b/>
          <w:bCs/>
          <w:color w:val="000000"/>
        </w:rPr>
      </w:pPr>
      <w:r w:rsidRPr="004E4C24">
        <w:rPr>
          <w:rFonts w:ascii="Arial" w:eastAsia="Times New Roman" w:hAnsi="Arial" w:cs="Arial"/>
          <w:b/>
          <w:bCs/>
          <w:color w:val="000000"/>
        </w:rPr>
        <w:t>Scope of Responsibility</w:t>
      </w:r>
    </w:p>
    <w:p w14:paraId="58261D19" w14:textId="77777777" w:rsidR="006A783B" w:rsidRPr="00A5579B" w:rsidRDefault="006A783B" w:rsidP="00E06B4E">
      <w:pPr>
        <w:autoSpaceDE w:val="0"/>
        <w:autoSpaceDN w:val="0"/>
        <w:adjustRightInd w:val="0"/>
        <w:jc w:val="both"/>
        <w:rPr>
          <w:rFonts w:ascii="Arial" w:eastAsia="Times New Roman" w:hAnsi="Arial" w:cs="Arial"/>
          <w:b/>
          <w:bCs/>
          <w:color w:val="000000"/>
          <w:sz w:val="22"/>
        </w:rPr>
      </w:pPr>
    </w:p>
    <w:p w14:paraId="4937334E" w14:textId="77777777" w:rsidR="006A783B" w:rsidRPr="00E06B4E" w:rsidRDefault="006A783B" w:rsidP="00E06B4E">
      <w:pPr>
        <w:autoSpaceDE w:val="0"/>
        <w:autoSpaceDN w:val="0"/>
        <w:adjustRightInd w:val="0"/>
        <w:jc w:val="both"/>
        <w:rPr>
          <w:rFonts w:ascii="Arial" w:eastAsia="Times New Roman" w:hAnsi="Arial" w:cs="Arial"/>
          <w:color w:val="000000" w:themeColor="text1"/>
          <w:sz w:val="22"/>
        </w:rPr>
      </w:pPr>
      <w:r w:rsidRPr="00E06B4E">
        <w:rPr>
          <w:rFonts w:ascii="Arial" w:eastAsia="Times New Roman" w:hAnsi="Arial" w:cs="Arial"/>
          <w:color w:val="000000" w:themeColor="text1"/>
          <w:sz w:val="22"/>
        </w:rPr>
        <w:t xml:space="preserve">Mid and West Wales Fire and Rescue Authority is responsible for ensuring that its business is conducted in accordance with legislation and proper standards, and that public money is safeguarded and appropriately accounted for, and used economically, efficiently and effectively and to secure continuous improvement in this regard. </w:t>
      </w:r>
    </w:p>
    <w:p w14:paraId="65B80E67"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610D61CE"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 xml:space="preserve">In discharging this accountability, Members and Senior Officers are responsible for putting in place appropriate arrangements for the governance of the Fire and Rescue Authority’s affairs and the stewardship of the resources at its disposal. </w:t>
      </w:r>
    </w:p>
    <w:p w14:paraId="596DF440"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6A4021F9"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 xml:space="preserve">Operating within a framework laid down by UK National and Welsh Government legislation, the Fire Authority discharges its functions by means of partnership working between Members of the Fire Authority and Fire Officers, operating under the guidance of the Chief Fire Officer. </w:t>
      </w:r>
    </w:p>
    <w:p w14:paraId="39644EC9"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582F3C20"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Strategic leadership is given by and discharged through the Fire Authority and its various Committees, panels and working groups, which enable Members to decide on issues affecting the running of the Fire Authority, in accordance with the principles of openness and democratic accountability.</w:t>
      </w:r>
    </w:p>
    <w:p w14:paraId="27227FED"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 xml:space="preserve"> </w:t>
      </w:r>
    </w:p>
    <w:p w14:paraId="71927AF1"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The day to day management and delivery of the Fire Service’s functions is carried out by Fire Service Officers under the overall control and guidance of the Chief Fire Officer, who discharges these functions in accordance with the policy framework and the determinations of the Fire Authority and its Committees. In so doing, the Chief Fire Officer is assisted by the Executive Board of Directors and the Executive Leadership Team.</w:t>
      </w:r>
    </w:p>
    <w:p w14:paraId="1B835335"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181BE236"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This Statement demonstrates how the Authority has complied with the various elements of the Governance Framework.</w:t>
      </w:r>
    </w:p>
    <w:p w14:paraId="00C1EFD0" w14:textId="77777777" w:rsidR="006A783B" w:rsidRPr="004E4C24" w:rsidRDefault="006A783B" w:rsidP="00E06B4E">
      <w:pPr>
        <w:autoSpaceDE w:val="0"/>
        <w:autoSpaceDN w:val="0"/>
        <w:adjustRightInd w:val="0"/>
        <w:jc w:val="both"/>
        <w:rPr>
          <w:rFonts w:ascii="Arial" w:eastAsia="Times New Roman" w:hAnsi="Arial" w:cs="Arial"/>
          <w:color w:val="000000"/>
        </w:rPr>
      </w:pPr>
    </w:p>
    <w:p w14:paraId="2B19A8E6" w14:textId="77777777" w:rsidR="006A783B" w:rsidRPr="004E4C24" w:rsidRDefault="006A783B" w:rsidP="00E06B4E">
      <w:pPr>
        <w:autoSpaceDE w:val="0"/>
        <w:autoSpaceDN w:val="0"/>
        <w:adjustRightInd w:val="0"/>
        <w:jc w:val="both"/>
        <w:rPr>
          <w:rFonts w:ascii="Arial" w:eastAsia="Times New Roman" w:hAnsi="Arial" w:cs="Arial"/>
          <w:b/>
          <w:color w:val="000000"/>
        </w:rPr>
      </w:pPr>
      <w:r w:rsidRPr="004E4C24">
        <w:rPr>
          <w:rFonts w:ascii="Arial" w:eastAsia="Times New Roman" w:hAnsi="Arial" w:cs="Arial"/>
          <w:b/>
          <w:color w:val="000000"/>
        </w:rPr>
        <w:t>The Purpose of the Governance Framework</w:t>
      </w:r>
    </w:p>
    <w:p w14:paraId="12714B16" w14:textId="77777777" w:rsidR="006A783B" w:rsidRPr="004E4C24" w:rsidRDefault="006A783B" w:rsidP="00E06B4E">
      <w:pPr>
        <w:autoSpaceDE w:val="0"/>
        <w:autoSpaceDN w:val="0"/>
        <w:adjustRightInd w:val="0"/>
        <w:jc w:val="both"/>
        <w:rPr>
          <w:rFonts w:ascii="Arial" w:eastAsia="Times New Roman" w:hAnsi="Arial" w:cs="Arial"/>
          <w:color w:val="000000"/>
        </w:rPr>
      </w:pPr>
    </w:p>
    <w:p w14:paraId="1F5A4D91"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 xml:space="preserve">The governance framework comprises the systems, processes, culture and values by which the Authority is directed and controlled, and by which it accounts to and engages with its communities. It enables the Authority to monitor the achievement of its corporate objectives and to consider whether those objectives have led to the delivery of appropriate, cost effective services. </w:t>
      </w:r>
    </w:p>
    <w:p w14:paraId="665E8934"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53C28A0F"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 xml:space="preserve">The system of internal control is a significant part of the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risks related to the achievement of the Authority’s policies, aims and objectives, evaluate the likelihood and impact should risks be realised, and efficiently, effectively and economically manage such risks. </w:t>
      </w:r>
    </w:p>
    <w:p w14:paraId="693754D6" w14:textId="77777777" w:rsidR="006A783B" w:rsidRPr="00E06B4E" w:rsidRDefault="006A783B" w:rsidP="00E06B4E">
      <w:pPr>
        <w:autoSpaceDE w:val="0"/>
        <w:autoSpaceDN w:val="0"/>
        <w:adjustRightInd w:val="0"/>
        <w:jc w:val="both"/>
        <w:rPr>
          <w:rFonts w:ascii="Arial" w:eastAsia="Times New Roman" w:hAnsi="Arial" w:cs="Arial"/>
          <w:color w:val="000000"/>
          <w:sz w:val="22"/>
        </w:rPr>
      </w:pPr>
    </w:p>
    <w:p w14:paraId="0ABE8B75" w14:textId="77777777" w:rsidR="006A783B" w:rsidRPr="00E06B4E" w:rsidRDefault="006A783B" w:rsidP="00E06B4E">
      <w:pPr>
        <w:autoSpaceDE w:val="0"/>
        <w:autoSpaceDN w:val="0"/>
        <w:adjustRightInd w:val="0"/>
        <w:jc w:val="both"/>
        <w:rPr>
          <w:rFonts w:ascii="Arial" w:eastAsia="Times New Roman" w:hAnsi="Arial" w:cs="Arial"/>
          <w:color w:val="000000"/>
          <w:sz w:val="22"/>
        </w:rPr>
      </w:pPr>
      <w:r w:rsidRPr="00E06B4E">
        <w:rPr>
          <w:rFonts w:ascii="Arial" w:eastAsia="Times New Roman" w:hAnsi="Arial" w:cs="Arial"/>
          <w:color w:val="000000"/>
          <w:sz w:val="22"/>
        </w:rPr>
        <w:t>This Statement gives assurances on compliance with Mid and West Wales Fire Authority’s governance framework for the year ending 31 March 2019 and up to the date of approval of the Statement of Accounts.</w:t>
      </w:r>
    </w:p>
    <w:p w14:paraId="4AF8C8B1" w14:textId="77777777" w:rsidR="006A783B" w:rsidRPr="004E4C24" w:rsidRDefault="006A783B" w:rsidP="00E06B4E">
      <w:pPr>
        <w:autoSpaceDE w:val="0"/>
        <w:autoSpaceDN w:val="0"/>
        <w:adjustRightInd w:val="0"/>
        <w:jc w:val="both"/>
        <w:rPr>
          <w:rFonts w:ascii="Arial" w:eastAsia="Times New Roman" w:hAnsi="Arial" w:cs="Arial"/>
          <w:color w:val="000000"/>
        </w:rPr>
      </w:pPr>
    </w:p>
    <w:p w14:paraId="45380930" w14:textId="77777777" w:rsidR="006A783B" w:rsidRPr="004E4C24" w:rsidRDefault="006A783B" w:rsidP="00E06B4E">
      <w:pPr>
        <w:autoSpaceDE w:val="0"/>
        <w:autoSpaceDN w:val="0"/>
        <w:adjustRightInd w:val="0"/>
        <w:jc w:val="both"/>
        <w:rPr>
          <w:rFonts w:ascii="Arial" w:eastAsia="Times New Roman" w:hAnsi="Arial" w:cs="Arial"/>
          <w:b/>
        </w:rPr>
      </w:pPr>
      <w:r w:rsidRPr="004E4C24">
        <w:rPr>
          <w:rFonts w:ascii="Arial" w:eastAsia="Times New Roman" w:hAnsi="Arial" w:cs="Arial"/>
          <w:b/>
        </w:rPr>
        <w:t>Key Elements of Mid and West Wales Fire and Rescue Authority’s Governance Framework</w:t>
      </w:r>
    </w:p>
    <w:p w14:paraId="11C55CF1" w14:textId="77777777" w:rsidR="006A783B" w:rsidRPr="00E06B4E" w:rsidRDefault="006A783B" w:rsidP="00E06B4E">
      <w:pPr>
        <w:jc w:val="both"/>
        <w:rPr>
          <w:rFonts w:ascii="Arial" w:eastAsia="Times New Roman" w:hAnsi="Arial" w:cs="Arial"/>
          <w:b/>
          <w:sz w:val="22"/>
        </w:rPr>
      </w:pPr>
    </w:p>
    <w:p w14:paraId="5B8B4F9B" w14:textId="77777777" w:rsidR="006A783B" w:rsidRPr="00E06B4E" w:rsidRDefault="006A783B" w:rsidP="00E06B4E">
      <w:pPr>
        <w:jc w:val="both"/>
        <w:rPr>
          <w:rFonts w:ascii="Arial" w:eastAsia="Times New Roman" w:hAnsi="Arial" w:cs="Arial"/>
          <w:bCs/>
          <w:sz w:val="22"/>
        </w:rPr>
      </w:pPr>
      <w:r w:rsidRPr="00E06B4E">
        <w:rPr>
          <w:rFonts w:ascii="Arial" w:eastAsia="Times New Roman" w:hAnsi="Arial" w:cs="Arial"/>
          <w:bCs/>
          <w:sz w:val="22"/>
        </w:rPr>
        <w:t>The Constitution and the key roles of those responsible for developing and maintaining the Governance Framework.</w:t>
      </w:r>
    </w:p>
    <w:p w14:paraId="0A79E725" w14:textId="77777777" w:rsidR="006A783B" w:rsidRPr="004E4C24" w:rsidRDefault="006A783B" w:rsidP="00E06B4E">
      <w:pPr>
        <w:jc w:val="both"/>
        <w:rPr>
          <w:rFonts w:ascii="Arial" w:eastAsia="Times New Roman" w:hAnsi="Arial" w:cs="Arial"/>
          <w:bCs/>
        </w:rPr>
      </w:pPr>
    </w:p>
    <w:tbl>
      <w:tblPr>
        <w:tblStyle w:val="TableGrid"/>
        <w:tblW w:w="0" w:type="auto"/>
        <w:tblLook w:val="04A0" w:firstRow="1" w:lastRow="0" w:firstColumn="1" w:lastColumn="0" w:noHBand="0" w:noVBand="1"/>
      </w:tblPr>
      <w:tblGrid>
        <w:gridCol w:w="2187"/>
        <w:gridCol w:w="6823"/>
      </w:tblGrid>
      <w:tr w:rsidR="006A783B" w:rsidRPr="004E4C24" w14:paraId="42E774BF" w14:textId="77777777" w:rsidTr="00E06B4E">
        <w:trPr>
          <w:trHeight w:val="840"/>
        </w:trPr>
        <w:tc>
          <w:tcPr>
            <w:tcW w:w="2187" w:type="dxa"/>
            <w:shd w:val="clear" w:color="auto" w:fill="DBDBDB" w:themeFill="accent3" w:themeFillTint="66"/>
            <w:vAlign w:val="center"/>
          </w:tcPr>
          <w:p w14:paraId="01A53742"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Constitution</w:t>
            </w:r>
          </w:p>
        </w:tc>
        <w:tc>
          <w:tcPr>
            <w:tcW w:w="6823" w:type="dxa"/>
            <w:vAlign w:val="center"/>
          </w:tcPr>
          <w:p w14:paraId="1ABF95ED" w14:textId="027C6AAF" w:rsidR="006A783B" w:rsidRPr="004E4C24" w:rsidRDefault="006A783B" w:rsidP="00E06B4E">
            <w:pPr>
              <w:jc w:val="both"/>
              <w:rPr>
                <w:rFonts w:ascii="Arial" w:eastAsia="Times New Roman" w:hAnsi="Arial" w:cs="Arial"/>
                <w:bCs/>
              </w:rPr>
            </w:pPr>
            <w:r w:rsidRPr="004E4C24">
              <w:rPr>
                <w:rFonts w:ascii="Arial" w:eastAsia="Times New Roman" w:hAnsi="Arial" w:cs="Arial"/>
                <w:bCs/>
              </w:rPr>
              <w:t xml:space="preserve">The purpose of the Constitution is to set out in clear language how the Fire Authority works and how it makes decisions. </w:t>
            </w:r>
          </w:p>
        </w:tc>
      </w:tr>
      <w:tr w:rsidR="006A783B" w:rsidRPr="004E4C24" w14:paraId="14D204DC" w14:textId="77777777" w:rsidTr="00E06B4E">
        <w:trPr>
          <w:trHeight w:val="1878"/>
        </w:trPr>
        <w:tc>
          <w:tcPr>
            <w:tcW w:w="2187" w:type="dxa"/>
            <w:shd w:val="clear" w:color="auto" w:fill="DBDBDB" w:themeFill="accent3" w:themeFillTint="66"/>
            <w:vAlign w:val="center"/>
          </w:tcPr>
          <w:p w14:paraId="4476A073"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Fire Authority</w:t>
            </w:r>
          </w:p>
        </w:tc>
        <w:tc>
          <w:tcPr>
            <w:tcW w:w="6823" w:type="dxa"/>
            <w:vAlign w:val="center"/>
          </w:tcPr>
          <w:p w14:paraId="15F6262F"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Approves the Corporate Plan.</w:t>
            </w:r>
          </w:p>
          <w:p w14:paraId="1F239AB7"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Approves the Constitution (including Standing Orders and Financial Regulations).</w:t>
            </w:r>
          </w:p>
          <w:p w14:paraId="33F31674"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Approves key policies and budgetary framework.</w:t>
            </w:r>
          </w:p>
          <w:p w14:paraId="0FB12DEB"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Is the main decision-making body of the Authority.</w:t>
            </w:r>
          </w:p>
          <w:p w14:paraId="4EC5C98D" w14:textId="08AE458D" w:rsidR="00E06B4E" w:rsidRPr="004E4C24" w:rsidRDefault="006A783B" w:rsidP="00E06B4E">
            <w:pPr>
              <w:jc w:val="both"/>
              <w:rPr>
                <w:rFonts w:ascii="Arial" w:eastAsia="Times New Roman" w:hAnsi="Arial" w:cs="Arial"/>
                <w:bCs/>
              </w:rPr>
            </w:pPr>
            <w:r w:rsidRPr="004E4C24">
              <w:rPr>
                <w:rFonts w:ascii="Arial" w:eastAsia="Times New Roman" w:hAnsi="Arial" w:cs="Arial"/>
                <w:bCs/>
              </w:rPr>
              <w:t>Comprises twenty-five Members (including the Chair).</w:t>
            </w:r>
          </w:p>
        </w:tc>
      </w:tr>
      <w:tr w:rsidR="006A783B" w:rsidRPr="004E4C24" w14:paraId="22F5D249" w14:textId="77777777" w:rsidTr="00E06B4E">
        <w:trPr>
          <w:trHeight w:val="2170"/>
        </w:trPr>
        <w:tc>
          <w:tcPr>
            <w:tcW w:w="2187" w:type="dxa"/>
            <w:shd w:val="clear" w:color="auto" w:fill="DBDBDB" w:themeFill="accent3" w:themeFillTint="66"/>
            <w:vAlign w:val="center"/>
          </w:tcPr>
          <w:p w14:paraId="58112F35" w14:textId="77777777" w:rsidR="006A783B" w:rsidRPr="004E4C24" w:rsidRDefault="006A783B" w:rsidP="00E06B4E">
            <w:pPr>
              <w:rPr>
                <w:rFonts w:ascii="Arial" w:eastAsia="Times New Roman" w:hAnsi="Arial" w:cs="Arial"/>
                <w:b/>
                <w:bCs/>
              </w:rPr>
            </w:pPr>
            <w:r w:rsidRPr="004E4C24">
              <w:rPr>
                <w:rFonts w:ascii="Arial" w:eastAsia="Times New Roman" w:hAnsi="Arial" w:cs="Arial"/>
                <w:b/>
                <w:bCs/>
              </w:rPr>
              <w:t>Performance Audit and Scrutiny Committee</w:t>
            </w:r>
          </w:p>
          <w:p w14:paraId="264CE271" w14:textId="77777777" w:rsidR="006A783B" w:rsidRPr="004E4C24" w:rsidRDefault="006A783B" w:rsidP="00E06B4E">
            <w:pPr>
              <w:rPr>
                <w:rFonts w:ascii="Arial" w:eastAsia="Times New Roman" w:hAnsi="Arial" w:cs="Arial"/>
                <w:b/>
                <w:bCs/>
              </w:rPr>
            </w:pPr>
          </w:p>
          <w:p w14:paraId="6E97C8E3" w14:textId="77777777" w:rsidR="006A783B" w:rsidRPr="004E4C24" w:rsidRDefault="006A783B" w:rsidP="00E06B4E">
            <w:pPr>
              <w:rPr>
                <w:rFonts w:ascii="Arial" w:eastAsia="Times New Roman" w:hAnsi="Arial" w:cs="Arial"/>
                <w:b/>
                <w:bCs/>
              </w:rPr>
            </w:pPr>
            <w:r w:rsidRPr="004E4C24">
              <w:rPr>
                <w:rFonts w:ascii="Arial" w:eastAsia="Times New Roman" w:hAnsi="Arial" w:cs="Arial"/>
                <w:b/>
                <w:bCs/>
              </w:rPr>
              <w:t>Resource Management Committee</w:t>
            </w:r>
          </w:p>
        </w:tc>
        <w:tc>
          <w:tcPr>
            <w:tcW w:w="6823" w:type="dxa"/>
            <w:vAlign w:val="center"/>
          </w:tcPr>
          <w:p w14:paraId="5002A360"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Provides independent assurance to the Fire Authority on the adequacy and effectiveness of the governance arrangements, risk management framework and internal control environment.</w:t>
            </w:r>
          </w:p>
          <w:p w14:paraId="10427DE8" w14:textId="49FA6EA3" w:rsidR="006A783B" w:rsidRDefault="006A783B" w:rsidP="00E06B4E">
            <w:pPr>
              <w:jc w:val="both"/>
              <w:rPr>
                <w:rFonts w:ascii="Arial" w:eastAsia="Times New Roman" w:hAnsi="Arial" w:cs="Arial"/>
                <w:bCs/>
              </w:rPr>
            </w:pPr>
            <w:r w:rsidRPr="004E4C24">
              <w:rPr>
                <w:rFonts w:ascii="Arial" w:eastAsia="Times New Roman" w:hAnsi="Arial" w:cs="Arial"/>
                <w:bCs/>
              </w:rPr>
              <w:t>Promotes high standards of Member conduct.</w:t>
            </w:r>
          </w:p>
          <w:p w14:paraId="61E4F390"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Makes recommendations to the Fire Authority on the approval of the Annual Statement of Accounts and Annual Governance Statement.</w:t>
            </w:r>
          </w:p>
          <w:p w14:paraId="464011C0" w14:textId="0CA0A0C0" w:rsidR="006A783B" w:rsidRPr="004E4C24" w:rsidRDefault="006A783B" w:rsidP="00E06B4E">
            <w:pPr>
              <w:jc w:val="both"/>
              <w:rPr>
                <w:rFonts w:ascii="Arial" w:eastAsia="Times New Roman" w:hAnsi="Arial" w:cs="Arial"/>
                <w:bCs/>
              </w:rPr>
            </w:pPr>
            <w:r w:rsidRPr="004E4C24">
              <w:rPr>
                <w:rFonts w:ascii="Arial" w:eastAsia="Times New Roman" w:hAnsi="Arial" w:cs="Arial"/>
                <w:bCs/>
              </w:rPr>
              <w:t>Scrutinises performance.</w:t>
            </w:r>
          </w:p>
        </w:tc>
      </w:tr>
      <w:tr w:rsidR="006A783B" w:rsidRPr="004E4C24" w14:paraId="0E710706" w14:textId="77777777" w:rsidTr="00E06B4E">
        <w:trPr>
          <w:trHeight w:val="1367"/>
        </w:trPr>
        <w:tc>
          <w:tcPr>
            <w:tcW w:w="2187" w:type="dxa"/>
            <w:shd w:val="clear" w:color="auto" w:fill="DBDBDB" w:themeFill="accent3" w:themeFillTint="66"/>
            <w:vAlign w:val="center"/>
          </w:tcPr>
          <w:p w14:paraId="4B9104B3"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Executive Board</w:t>
            </w:r>
          </w:p>
        </w:tc>
        <w:tc>
          <w:tcPr>
            <w:tcW w:w="6823" w:type="dxa"/>
            <w:vAlign w:val="center"/>
          </w:tcPr>
          <w:p w14:paraId="156E1A20"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Implements the policy and budgetary framework set by the Fire Authority and provides advice to the Fire Authority on the development of future policy and budgetary issues.</w:t>
            </w:r>
          </w:p>
          <w:p w14:paraId="3BED01F6"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Oversees the implementation of policy and service delivery.</w:t>
            </w:r>
          </w:p>
        </w:tc>
      </w:tr>
      <w:tr w:rsidR="006A783B" w:rsidRPr="004E4C24" w14:paraId="128DF664" w14:textId="77777777" w:rsidTr="00E06B4E">
        <w:trPr>
          <w:trHeight w:val="1827"/>
        </w:trPr>
        <w:tc>
          <w:tcPr>
            <w:tcW w:w="2187" w:type="dxa"/>
            <w:shd w:val="clear" w:color="auto" w:fill="DBDBDB" w:themeFill="accent3" w:themeFillTint="66"/>
            <w:vAlign w:val="center"/>
          </w:tcPr>
          <w:p w14:paraId="21271DB0"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Section 151 Officer</w:t>
            </w:r>
          </w:p>
        </w:tc>
        <w:tc>
          <w:tcPr>
            <w:tcW w:w="6823" w:type="dxa"/>
            <w:vAlign w:val="center"/>
          </w:tcPr>
          <w:p w14:paraId="74AABEBA"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Ensures lawful and financially prudent decision making.</w:t>
            </w:r>
          </w:p>
          <w:p w14:paraId="5563E4F3"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Administration of financial affairs.</w:t>
            </w:r>
          </w:p>
          <w:p w14:paraId="74531005"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Accountability for developing and maintaining the Fire Authority’s governance, risk and control framework.</w:t>
            </w:r>
          </w:p>
          <w:p w14:paraId="319A968A"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Contributes to the effective corporate management and governance of the Fire Authority.</w:t>
            </w:r>
          </w:p>
        </w:tc>
      </w:tr>
    </w:tbl>
    <w:p w14:paraId="0D0B9E01" w14:textId="77777777" w:rsidR="00E06B4E" w:rsidRDefault="00E06B4E">
      <w:r>
        <w:br w:type="page"/>
      </w:r>
    </w:p>
    <w:tbl>
      <w:tblPr>
        <w:tblStyle w:val="TableGrid"/>
        <w:tblW w:w="0" w:type="auto"/>
        <w:tblLook w:val="04A0" w:firstRow="1" w:lastRow="0" w:firstColumn="1" w:lastColumn="0" w:noHBand="0" w:noVBand="1"/>
      </w:tblPr>
      <w:tblGrid>
        <w:gridCol w:w="2187"/>
        <w:gridCol w:w="6823"/>
      </w:tblGrid>
      <w:tr w:rsidR="006A783B" w:rsidRPr="004E4C24" w14:paraId="1E1F2966" w14:textId="77777777" w:rsidTr="00E06B4E">
        <w:trPr>
          <w:trHeight w:val="2835"/>
        </w:trPr>
        <w:tc>
          <w:tcPr>
            <w:tcW w:w="2187" w:type="dxa"/>
            <w:shd w:val="clear" w:color="auto" w:fill="DBDBDB" w:themeFill="accent3" w:themeFillTint="66"/>
            <w:vAlign w:val="center"/>
          </w:tcPr>
          <w:p w14:paraId="6B320E07" w14:textId="587B4B7B"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Monitoring Officer</w:t>
            </w:r>
          </w:p>
        </w:tc>
        <w:tc>
          <w:tcPr>
            <w:tcW w:w="6823" w:type="dxa"/>
            <w:vAlign w:val="center"/>
          </w:tcPr>
          <w:p w14:paraId="7A51091E"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 xml:space="preserve">Reports on contraventions or likely contraventions of any enactment or rule of law. </w:t>
            </w:r>
          </w:p>
          <w:p w14:paraId="11D7B75E"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 xml:space="preserve">Reports on any maladministration or injustice where the Local Government Ombudsman has carried out an investigation. </w:t>
            </w:r>
          </w:p>
          <w:p w14:paraId="1BA2412E"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 xml:space="preserve">Establishes and maintain registers of member interests and gifts and hospitality. </w:t>
            </w:r>
          </w:p>
          <w:p w14:paraId="3AAB45BF"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Advises Members on the interpretation of the Code of Conduct for Members and Co-opted Members.</w:t>
            </w:r>
          </w:p>
          <w:p w14:paraId="579F8787"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Contributes to the effective corporate management and governance of the Fire Authority.</w:t>
            </w:r>
          </w:p>
        </w:tc>
      </w:tr>
      <w:tr w:rsidR="006A783B" w:rsidRPr="004E4C24" w14:paraId="1E7A18EF" w14:textId="77777777" w:rsidTr="00E06B4E">
        <w:trPr>
          <w:trHeight w:val="2110"/>
        </w:trPr>
        <w:tc>
          <w:tcPr>
            <w:tcW w:w="2187" w:type="dxa"/>
            <w:shd w:val="clear" w:color="auto" w:fill="DBDBDB" w:themeFill="accent3" w:themeFillTint="66"/>
            <w:vAlign w:val="center"/>
          </w:tcPr>
          <w:p w14:paraId="2C84025A"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Internal Audit</w:t>
            </w:r>
          </w:p>
        </w:tc>
        <w:tc>
          <w:tcPr>
            <w:tcW w:w="6823" w:type="dxa"/>
            <w:vAlign w:val="center"/>
          </w:tcPr>
          <w:p w14:paraId="5F5AF76F"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Provides independent assurance and annual opinion on the adequacy and effectiveness of the Fire Authority’s governance, risk management and control framework.</w:t>
            </w:r>
          </w:p>
          <w:p w14:paraId="3FD334C4"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Delivers an annual programme of risk-based audit activity, including counter fraud and investigation activity.</w:t>
            </w:r>
          </w:p>
          <w:p w14:paraId="13EDA25A" w14:textId="070AEB1F" w:rsidR="006A783B" w:rsidRPr="004E4C24" w:rsidRDefault="006A783B" w:rsidP="00E06B4E">
            <w:pPr>
              <w:jc w:val="both"/>
              <w:rPr>
                <w:rFonts w:ascii="Arial" w:eastAsia="Times New Roman" w:hAnsi="Arial" w:cs="Arial"/>
                <w:bCs/>
              </w:rPr>
            </w:pPr>
            <w:r w:rsidRPr="004E4C24">
              <w:rPr>
                <w:rFonts w:ascii="Arial" w:eastAsia="Times New Roman" w:hAnsi="Arial" w:cs="Arial"/>
                <w:bCs/>
              </w:rPr>
              <w:t>Makes recommendations for improvements in the management of risk.</w:t>
            </w:r>
          </w:p>
        </w:tc>
      </w:tr>
      <w:tr w:rsidR="006A783B" w:rsidRPr="004E4C24" w14:paraId="00692C50" w14:textId="77777777" w:rsidTr="00E06B4E">
        <w:trPr>
          <w:trHeight w:val="1687"/>
        </w:trPr>
        <w:tc>
          <w:tcPr>
            <w:tcW w:w="2187" w:type="dxa"/>
            <w:shd w:val="clear" w:color="auto" w:fill="DBDBDB" w:themeFill="accent3" w:themeFillTint="66"/>
            <w:vAlign w:val="center"/>
          </w:tcPr>
          <w:p w14:paraId="4D1B522E" w14:textId="77777777" w:rsidR="006A783B" w:rsidRPr="004E4C24" w:rsidRDefault="006A783B" w:rsidP="00E06B4E">
            <w:pPr>
              <w:jc w:val="both"/>
              <w:rPr>
                <w:rFonts w:ascii="Arial" w:eastAsia="Times New Roman" w:hAnsi="Arial" w:cs="Arial"/>
                <w:b/>
                <w:bCs/>
              </w:rPr>
            </w:pPr>
            <w:r w:rsidRPr="004E4C24">
              <w:rPr>
                <w:rFonts w:ascii="Arial" w:eastAsia="Times New Roman" w:hAnsi="Arial" w:cs="Arial"/>
                <w:b/>
                <w:bCs/>
              </w:rPr>
              <w:t>Managers</w:t>
            </w:r>
          </w:p>
        </w:tc>
        <w:tc>
          <w:tcPr>
            <w:tcW w:w="6823" w:type="dxa"/>
            <w:vAlign w:val="center"/>
          </w:tcPr>
          <w:p w14:paraId="2C2C81E2" w14:textId="77777777" w:rsidR="006A783B" w:rsidRPr="004E4C24" w:rsidRDefault="006A783B" w:rsidP="00E06B4E">
            <w:pPr>
              <w:jc w:val="both"/>
              <w:rPr>
                <w:rFonts w:ascii="Arial" w:eastAsia="Times New Roman" w:hAnsi="Arial" w:cs="Arial"/>
                <w:bCs/>
              </w:rPr>
            </w:pPr>
            <w:r w:rsidRPr="004E4C24">
              <w:rPr>
                <w:rFonts w:ascii="Arial" w:eastAsia="Times New Roman" w:hAnsi="Arial" w:cs="Arial"/>
                <w:bCs/>
              </w:rPr>
              <w:t>Responsible for developing, maintaining and implementing the Fire Authority’s governance, risk and control framework.</w:t>
            </w:r>
          </w:p>
          <w:p w14:paraId="31540C50" w14:textId="1C80C1BE" w:rsidR="006A783B" w:rsidRPr="004E4C24" w:rsidRDefault="006A783B" w:rsidP="00E06B4E">
            <w:pPr>
              <w:jc w:val="both"/>
              <w:rPr>
                <w:rFonts w:ascii="Arial" w:eastAsia="Times New Roman" w:hAnsi="Arial" w:cs="Arial"/>
                <w:bCs/>
              </w:rPr>
            </w:pPr>
            <w:r w:rsidRPr="004E4C24">
              <w:rPr>
                <w:rFonts w:ascii="Arial" w:eastAsia="Times New Roman" w:hAnsi="Arial" w:cs="Arial"/>
                <w:bCs/>
              </w:rPr>
              <w:t>Contribute to the effective corporate management and governance of the Fire Authority, through monthly Senior Leadership Team meetings and Operational Response Forums.</w:t>
            </w:r>
          </w:p>
        </w:tc>
      </w:tr>
    </w:tbl>
    <w:p w14:paraId="5DD5A4F8" w14:textId="77777777" w:rsidR="006A783B" w:rsidRPr="004E4C24" w:rsidRDefault="006A783B" w:rsidP="00E06B4E">
      <w:pPr>
        <w:jc w:val="both"/>
        <w:rPr>
          <w:rFonts w:ascii="Arial" w:eastAsia="Times New Roman" w:hAnsi="Arial" w:cs="Arial"/>
        </w:rPr>
      </w:pPr>
    </w:p>
    <w:p w14:paraId="6826A8DE" w14:textId="63793C11" w:rsidR="006A783B" w:rsidRDefault="006A783B" w:rsidP="00E06B4E">
      <w:pPr>
        <w:jc w:val="both"/>
        <w:rPr>
          <w:rFonts w:ascii="Arial" w:eastAsia="Times New Roman" w:hAnsi="Arial" w:cs="Arial"/>
          <w:b/>
        </w:rPr>
      </w:pPr>
      <w:r w:rsidRPr="004E4C24">
        <w:rPr>
          <w:rFonts w:ascii="Arial" w:eastAsia="Times New Roman" w:hAnsi="Arial" w:cs="Arial"/>
          <w:b/>
        </w:rPr>
        <w:t xml:space="preserve">The CIPFA / SOLACE Governance Framework sets out seven fundamental principles of Corporate Governance: </w:t>
      </w:r>
    </w:p>
    <w:p w14:paraId="3D02329D" w14:textId="77777777" w:rsidR="00E06B4E" w:rsidRPr="004E4C24" w:rsidRDefault="00E06B4E" w:rsidP="00E06B4E">
      <w:pPr>
        <w:jc w:val="both"/>
        <w:rPr>
          <w:rFonts w:ascii="Arial" w:eastAsia="Times New Roman" w:hAnsi="Arial" w:cs="Arial"/>
          <w:b/>
        </w:rPr>
      </w:pPr>
    </w:p>
    <w:p w14:paraId="2E292EA8" w14:textId="4CC72BA7" w:rsidR="006A783B" w:rsidRDefault="006A783B" w:rsidP="00E06B4E">
      <w:pPr>
        <w:jc w:val="both"/>
        <w:rPr>
          <w:rFonts w:ascii="Arial" w:eastAsia="Times New Roman" w:hAnsi="Arial" w:cs="Arial"/>
        </w:rPr>
      </w:pPr>
      <w:r w:rsidRPr="004E4C24">
        <w:rPr>
          <w:rFonts w:ascii="Arial" w:eastAsia="Times New Roman" w:hAnsi="Arial" w:cs="Arial"/>
          <w:b/>
        </w:rPr>
        <w:t xml:space="preserve">Principle A: </w:t>
      </w:r>
      <w:r w:rsidRPr="007B63BB">
        <w:rPr>
          <w:rFonts w:ascii="Arial" w:eastAsia="Times New Roman" w:hAnsi="Arial" w:cs="Arial"/>
          <w:sz w:val="22"/>
        </w:rPr>
        <w:t>Behaving with integrity, demonstrating strong commitment to ethical values, and respecting the rule of law.</w:t>
      </w:r>
    </w:p>
    <w:p w14:paraId="0FE2831B" w14:textId="77777777" w:rsidR="00E06B4E" w:rsidRPr="004E4C24" w:rsidRDefault="00E06B4E" w:rsidP="00E06B4E">
      <w:pPr>
        <w:jc w:val="both"/>
        <w:rPr>
          <w:rFonts w:ascii="Arial" w:eastAsia="Times New Roman" w:hAnsi="Arial" w:cs="Arial"/>
        </w:rPr>
      </w:pPr>
    </w:p>
    <w:p w14:paraId="7CEFACFB" w14:textId="67AC52F2" w:rsidR="006A783B" w:rsidRDefault="006A783B" w:rsidP="00E06B4E">
      <w:pPr>
        <w:jc w:val="both"/>
        <w:rPr>
          <w:rFonts w:ascii="Arial" w:eastAsia="Times New Roman" w:hAnsi="Arial" w:cs="Arial"/>
        </w:rPr>
      </w:pPr>
      <w:r w:rsidRPr="004E4C24">
        <w:rPr>
          <w:rFonts w:ascii="Arial" w:eastAsia="Times New Roman" w:hAnsi="Arial" w:cs="Arial"/>
          <w:b/>
        </w:rPr>
        <w:t xml:space="preserve">Principle B: </w:t>
      </w:r>
      <w:r w:rsidRPr="007B63BB">
        <w:rPr>
          <w:rFonts w:ascii="Arial" w:eastAsia="Times New Roman" w:hAnsi="Arial" w:cs="Arial"/>
          <w:sz w:val="22"/>
        </w:rPr>
        <w:t>Ensuring openness and comprehensive stakeholder engagement.</w:t>
      </w:r>
    </w:p>
    <w:p w14:paraId="58F6F769" w14:textId="77777777" w:rsidR="00E06B4E" w:rsidRPr="004E4C24" w:rsidRDefault="00E06B4E" w:rsidP="00E06B4E">
      <w:pPr>
        <w:jc w:val="both"/>
        <w:rPr>
          <w:rFonts w:ascii="Arial" w:eastAsia="Times New Roman" w:hAnsi="Arial" w:cs="Arial"/>
        </w:rPr>
      </w:pPr>
    </w:p>
    <w:p w14:paraId="11CC241B" w14:textId="7FCC69B0" w:rsidR="006A783B" w:rsidRDefault="006A783B" w:rsidP="00E06B4E">
      <w:pPr>
        <w:jc w:val="both"/>
        <w:rPr>
          <w:rFonts w:ascii="Arial" w:eastAsia="Times New Roman" w:hAnsi="Arial" w:cs="Arial"/>
        </w:rPr>
      </w:pPr>
      <w:r w:rsidRPr="004E4C24">
        <w:rPr>
          <w:rFonts w:ascii="Arial" w:eastAsia="Times New Roman" w:hAnsi="Arial" w:cs="Arial"/>
          <w:b/>
        </w:rPr>
        <w:t xml:space="preserve">Principle C: </w:t>
      </w:r>
      <w:r w:rsidRPr="007B63BB">
        <w:rPr>
          <w:rFonts w:ascii="Arial" w:eastAsia="Times New Roman" w:hAnsi="Arial" w:cs="Arial"/>
          <w:sz w:val="22"/>
        </w:rPr>
        <w:t xml:space="preserve">Defining outcomes in terms of sustainable economic, social, and environmental benefits. </w:t>
      </w:r>
    </w:p>
    <w:p w14:paraId="5FFF7EB2" w14:textId="77777777" w:rsidR="00E06B4E" w:rsidRPr="004E4C24" w:rsidRDefault="00E06B4E" w:rsidP="00E06B4E">
      <w:pPr>
        <w:jc w:val="both"/>
        <w:rPr>
          <w:rFonts w:ascii="Arial" w:eastAsia="Times New Roman" w:hAnsi="Arial" w:cs="Arial"/>
        </w:rPr>
      </w:pPr>
    </w:p>
    <w:p w14:paraId="5F91CA4B" w14:textId="157E6DC2" w:rsidR="006A783B" w:rsidRDefault="006A783B" w:rsidP="00E06B4E">
      <w:pPr>
        <w:jc w:val="both"/>
        <w:rPr>
          <w:rFonts w:ascii="Arial" w:eastAsia="Times New Roman" w:hAnsi="Arial" w:cs="Arial"/>
        </w:rPr>
      </w:pPr>
      <w:r w:rsidRPr="004E4C24">
        <w:rPr>
          <w:rFonts w:ascii="Arial" w:eastAsia="Times New Roman" w:hAnsi="Arial" w:cs="Arial"/>
          <w:b/>
        </w:rPr>
        <w:t xml:space="preserve">Principle D: </w:t>
      </w:r>
      <w:r w:rsidRPr="007B63BB">
        <w:rPr>
          <w:rFonts w:ascii="Arial" w:eastAsia="Times New Roman" w:hAnsi="Arial" w:cs="Arial"/>
          <w:sz w:val="22"/>
        </w:rPr>
        <w:t>Determining the interventions necessary to optimise the achievement of the intended outcomes.</w:t>
      </w:r>
    </w:p>
    <w:p w14:paraId="2E45738F" w14:textId="77777777" w:rsidR="00E06B4E" w:rsidRPr="004E4C24" w:rsidRDefault="00E06B4E" w:rsidP="00E06B4E">
      <w:pPr>
        <w:jc w:val="both"/>
        <w:rPr>
          <w:rFonts w:ascii="Arial" w:eastAsia="Times New Roman" w:hAnsi="Arial" w:cs="Arial"/>
        </w:rPr>
      </w:pPr>
    </w:p>
    <w:p w14:paraId="770A78B5" w14:textId="396F04C0" w:rsidR="006A783B" w:rsidRDefault="006A783B" w:rsidP="00E06B4E">
      <w:pPr>
        <w:jc w:val="both"/>
        <w:rPr>
          <w:rFonts w:ascii="Arial" w:eastAsia="Times New Roman" w:hAnsi="Arial" w:cs="Arial"/>
        </w:rPr>
      </w:pPr>
      <w:r w:rsidRPr="004E4C24">
        <w:rPr>
          <w:rFonts w:ascii="Arial" w:eastAsia="Times New Roman" w:hAnsi="Arial" w:cs="Arial"/>
          <w:b/>
        </w:rPr>
        <w:t xml:space="preserve">Principle E: </w:t>
      </w:r>
      <w:r w:rsidRPr="007B63BB">
        <w:rPr>
          <w:rFonts w:ascii="Arial" w:eastAsia="Times New Roman" w:hAnsi="Arial" w:cs="Arial"/>
          <w:sz w:val="22"/>
        </w:rPr>
        <w:t>Developing the entity’s capacity, including the capability of its leadership and the individuals within it.</w:t>
      </w:r>
    </w:p>
    <w:p w14:paraId="7315FE62" w14:textId="77777777" w:rsidR="00E06B4E" w:rsidRPr="004E4C24" w:rsidRDefault="00E06B4E" w:rsidP="00E06B4E">
      <w:pPr>
        <w:jc w:val="both"/>
        <w:rPr>
          <w:rFonts w:ascii="Arial" w:eastAsia="Times New Roman" w:hAnsi="Arial" w:cs="Arial"/>
        </w:rPr>
      </w:pPr>
    </w:p>
    <w:p w14:paraId="67C5B34F" w14:textId="2DCCDE21" w:rsidR="006A783B" w:rsidRPr="007B63BB" w:rsidRDefault="006A783B" w:rsidP="00E06B4E">
      <w:pPr>
        <w:jc w:val="both"/>
        <w:rPr>
          <w:rFonts w:ascii="Arial" w:eastAsia="Times New Roman" w:hAnsi="Arial" w:cs="Arial"/>
          <w:sz w:val="22"/>
        </w:rPr>
      </w:pPr>
      <w:r w:rsidRPr="004E4C24">
        <w:rPr>
          <w:rFonts w:ascii="Arial" w:eastAsia="Times New Roman" w:hAnsi="Arial" w:cs="Arial"/>
          <w:b/>
        </w:rPr>
        <w:t xml:space="preserve">Principle F: </w:t>
      </w:r>
      <w:r w:rsidRPr="007B63BB">
        <w:rPr>
          <w:rFonts w:ascii="Arial" w:eastAsia="Times New Roman" w:hAnsi="Arial" w:cs="Arial"/>
          <w:sz w:val="22"/>
        </w:rPr>
        <w:t>Managing risks and performance through robust internal control and strong public financial management.</w:t>
      </w:r>
    </w:p>
    <w:p w14:paraId="27725A74" w14:textId="77777777" w:rsidR="00E06B4E" w:rsidRPr="004E4C24" w:rsidRDefault="00E06B4E" w:rsidP="00E06B4E">
      <w:pPr>
        <w:jc w:val="both"/>
        <w:rPr>
          <w:rFonts w:ascii="Arial" w:eastAsia="Times New Roman" w:hAnsi="Arial" w:cs="Arial"/>
        </w:rPr>
      </w:pPr>
    </w:p>
    <w:p w14:paraId="267CCBC5" w14:textId="77777777" w:rsidR="006A783B" w:rsidRPr="004E4C24" w:rsidRDefault="006A783B" w:rsidP="00E06B4E">
      <w:pPr>
        <w:jc w:val="both"/>
        <w:rPr>
          <w:rFonts w:ascii="Arial" w:eastAsia="Times New Roman" w:hAnsi="Arial" w:cs="Arial"/>
        </w:rPr>
      </w:pPr>
      <w:r w:rsidRPr="004E4C24">
        <w:rPr>
          <w:rFonts w:ascii="Arial" w:eastAsia="Times New Roman" w:hAnsi="Arial" w:cs="Arial"/>
          <w:b/>
        </w:rPr>
        <w:t xml:space="preserve">Principle G: </w:t>
      </w:r>
      <w:r w:rsidRPr="007B63BB">
        <w:rPr>
          <w:rFonts w:ascii="Arial" w:eastAsia="Times New Roman" w:hAnsi="Arial" w:cs="Arial"/>
          <w:sz w:val="22"/>
        </w:rPr>
        <w:t>Implementing good practices in transparency, reporting, and audit to deliver effective accountability.</w:t>
      </w:r>
    </w:p>
    <w:p w14:paraId="1CA217E4" w14:textId="77777777" w:rsidR="006A783B" w:rsidRPr="004E4C24" w:rsidRDefault="006A783B" w:rsidP="00E06B4E">
      <w:pPr>
        <w:pStyle w:val="ListParagraph"/>
        <w:ind w:left="0"/>
        <w:jc w:val="both"/>
        <w:rPr>
          <w:rFonts w:ascii="Arial" w:eastAsia="Times New Roman" w:hAnsi="Arial" w:cs="Arial"/>
        </w:rPr>
      </w:pPr>
    </w:p>
    <w:p w14:paraId="78146270" w14:textId="77777777" w:rsidR="00E06B4E" w:rsidRDefault="00E06B4E">
      <w:pPr>
        <w:rPr>
          <w:rFonts w:ascii="Arial" w:eastAsia="Times New Roman" w:hAnsi="Arial" w:cs="Arial"/>
        </w:rPr>
      </w:pPr>
      <w:r>
        <w:rPr>
          <w:rFonts w:ascii="Arial" w:eastAsia="Times New Roman" w:hAnsi="Arial" w:cs="Arial"/>
        </w:rPr>
        <w:br w:type="page"/>
      </w:r>
    </w:p>
    <w:p w14:paraId="117B38B5" w14:textId="6904CC09"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 is committed to upholding these principles and has identified the actions necessary to meet such principles and the processes / documentation that are required to demonstrate compliance. This means the Authority can review the effectiveness of its governance arrangements. </w:t>
      </w:r>
    </w:p>
    <w:p w14:paraId="3F3B380B" w14:textId="77777777" w:rsidR="006A783B" w:rsidRPr="007B63BB" w:rsidRDefault="006A783B" w:rsidP="00E06B4E">
      <w:pPr>
        <w:jc w:val="both"/>
        <w:rPr>
          <w:rFonts w:ascii="Arial" w:eastAsia="Times New Roman" w:hAnsi="Arial" w:cs="Arial"/>
          <w:sz w:val="22"/>
        </w:rPr>
      </w:pPr>
    </w:p>
    <w:p w14:paraId="5DE1D1FD"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 addresses the seven Fundamental Principles through the following means:</w:t>
      </w:r>
    </w:p>
    <w:p w14:paraId="3B41C881" w14:textId="77777777" w:rsidR="006A783B" w:rsidRPr="004E4C24" w:rsidRDefault="006A783B" w:rsidP="00E06B4E">
      <w:pPr>
        <w:jc w:val="both"/>
        <w:rPr>
          <w:rFonts w:ascii="Arial" w:eastAsia="Times New Roman" w:hAnsi="Arial" w:cs="Arial"/>
        </w:rPr>
      </w:pPr>
    </w:p>
    <w:p w14:paraId="65B5BE6C" w14:textId="77777777" w:rsidR="006A783B" w:rsidRPr="004E4C24" w:rsidRDefault="006A783B" w:rsidP="00E06B4E">
      <w:pPr>
        <w:jc w:val="both"/>
        <w:rPr>
          <w:rFonts w:ascii="Arial" w:eastAsia="Times New Roman" w:hAnsi="Arial" w:cs="Arial"/>
        </w:rPr>
      </w:pPr>
      <w:r w:rsidRPr="004E4C24">
        <w:rPr>
          <w:rFonts w:ascii="Arial" w:eastAsia="Times New Roman" w:hAnsi="Arial" w:cs="Arial"/>
          <w:b/>
        </w:rPr>
        <w:t xml:space="preserve">Principle A: </w:t>
      </w:r>
      <w:r w:rsidRPr="004E4C24">
        <w:rPr>
          <w:rFonts w:ascii="Arial" w:eastAsia="Times New Roman" w:hAnsi="Arial" w:cs="Arial"/>
          <w:b/>
          <w:i/>
        </w:rPr>
        <w:t>Behaving with integrity, demonstrating strong commitment to ethical values, and respecting the rule of law.</w:t>
      </w:r>
    </w:p>
    <w:p w14:paraId="085732F8" w14:textId="77777777" w:rsidR="006A783B" w:rsidRPr="004E4C24" w:rsidRDefault="006A783B" w:rsidP="00E06B4E">
      <w:pPr>
        <w:jc w:val="both"/>
        <w:rPr>
          <w:rFonts w:ascii="Arial" w:eastAsia="Times New Roman" w:hAnsi="Arial" w:cs="Arial"/>
        </w:rPr>
      </w:pPr>
    </w:p>
    <w:p w14:paraId="144AFFA1" w14:textId="4111557A" w:rsidR="006A783B" w:rsidRDefault="006A783B" w:rsidP="00E06B4E">
      <w:pPr>
        <w:jc w:val="both"/>
        <w:rPr>
          <w:rFonts w:ascii="Arial" w:eastAsia="Times New Roman" w:hAnsi="Arial" w:cs="Arial"/>
          <w:b/>
        </w:rPr>
      </w:pPr>
      <w:r w:rsidRPr="004E4C24">
        <w:rPr>
          <w:rFonts w:ascii="Arial" w:eastAsia="Times New Roman" w:hAnsi="Arial" w:cs="Arial"/>
          <w:b/>
        </w:rPr>
        <w:t xml:space="preserve">Core Values </w:t>
      </w:r>
    </w:p>
    <w:p w14:paraId="51090DA6" w14:textId="77777777" w:rsidR="00E06B4E" w:rsidRPr="00E06B4E" w:rsidRDefault="00E06B4E" w:rsidP="00E06B4E">
      <w:pPr>
        <w:jc w:val="both"/>
        <w:rPr>
          <w:rFonts w:ascii="Arial" w:eastAsia="Times New Roman" w:hAnsi="Arial" w:cs="Arial"/>
          <w:b/>
          <w:sz w:val="22"/>
        </w:rPr>
      </w:pPr>
    </w:p>
    <w:p w14:paraId="1C3D8B6C"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Authority’s Core Values were revised in 2016/17 in conjunction with staff, senior management and the trade unions. Our values underpin and guide the way we work, the way we improve and the way we make decisions affecting our community. We revise our vision, mission and values on an annual basis as part of our annual Corporate Budget Planning Process.</w:t>
      </w:r>
    </w:p>
    <w:p w14:paraId="001A701A" w14:textId="77777777" w:rsidR="006A783B" w:rsidRPr="007B63BB" w:rsidRDefault="006A783B" w:rsidP="00E06B4E">
      <w:pPr>
        <w:jc w:val="both"/>
        <w:rPr>
          <w:rFonts w:ascii="Arial" w:eastAsia="Times New Roman" w:hAnsi="Arial" w:cs="Arial"/>
          <w:sz w:val="22"/>
        </w:rPr>
      </w:pPr>
    </w:p>
    <w:p w14:paraId="114B3BF6"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Authority’s Corporate Plan 2018-23 which clearly sets out the Authority’s vision, Mission and Values; and outlines the Authority’s Annual Improvement Objectives for 2018/19, was approved by the Fire Authority in February 2018, following a 12-week public consultation (between October – December 2017). The plan was published on the Authority’s website on 1 April 2018.</w:t>
      </w:r>
    </w:p>
    <w:p w14:paraId="0E480DC9" w14:textId="77777777" w:rsidR="006A783B" w:rsidRPr="00A5579B" w:rsidRDefault="006A783B" w:rsidP="00E06B4E">
      <w:pPr>
        <w:jc w:val="both"/>
        <w:rPr>
          <w:rFonts w:ascii="Arial" w:eastAsia="Times New Roman" w:hAnsi="Arial" w:cs="Arial"/>
        </w:rPr>
      </w:pPr>
    </w:p>
    <w:p w14:paraId="7D458973" w14:textId="1B852AC8" w:rsidR="006A783B" w:rsidRDefault="006A783B" w:rsidP="00E06B4E">
      <w:pPr>
        <w:jc w:val="both"/>
        <w:rPr>
          <w:rFonts w:ascii="Arial" w:eastAsia="Times New Roman" w:hAnsi="Arial" w:cs="Arial"/>
          <w:b/>
        </w:rPr>
      </w:pPr>
      <w:r w:rsidRPr="004E4C24">
        <w:rPr>
          <w:rFonts w:ascii="Arial" w:eastAsia="Times New Roman" w:hAnsi="Arial" w:cs="Arial"/>
          <w:b/>
        </w:rPr>
        <w:t xml:space="preserve">The Constitution </w:t>
      </w:r>
    </w:p>
    <w:p w14:paraId="5EC6F88C" w14:textId="77777777" w:rsidR="007B63BB" w:rsidRPr="00A5579B" w:rsidRDefault="007B63BB" w:rsidP="00E06B4E">
      <w:pPr>
        <w:jc w:val="both"/>
        <w:rPr>
          <w:rFonts w:ascii="Arial" w:eastAsia="Times New Roman" w:hAnsi="Arial" w:cs="Arial"/>
          <w:sz w:val="22"/>
        </w:rPr>
      </w:pPr>
    </w:p>
    <w:p w14:paraId="6FB70455"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 adopted a new form of Constitution in the form promoted by the Welsh Assembly Government upon the modernisation of local government following the Local Government Act 2000 and this has been under constant review since then to ensure that it meets the needs of the Authority and its regulators in terms of transparency of governance, accountability and decision making.</w:t>
      </w:r>
    </w:p>
    <w:p w14:paraId="5B2E1129" w14:textId="77777777" w:rsidR="006A783B" w:rsidRPr="007B63BB" w:rsidRDefault="006A783B" w:rsidP="00E06B4E">
      <w:pPr>
        <w:jc w:val="both"/>
        <w:rPr>
          <w:rFonts w:ascii="Arial" w:eastAsia="Times New Roman" w:hAnsi="Arial" w:cs="Arial"/>
          <w:sz w:val="22"/>
        </w:rPr>
      </w:pPr>
    </w:p>
    <w:p w14:paraId="11553B79"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Constitution is published on the Authority’s website and explains how the Authority operates and how it makes decisions. The Constitution is a living document and amendments are reported to the Authority for decision as and when required, following consideration of the Democratic Services Forum.</w:t>
      </w:r>
    </w:p>
    <w:p w14:paraId="0DD741D0" w14:textId="77777777" w:rsidR="006A783B" w:rsidRPr="007B63BB" w:rsidRDefault="006A783B" w:rsidP="00E06B4E">
      <w:pPr>
        <w:jc w:val="both"/>
        <w:rPr>
          <w:rFonts w:ascii="Arial" w:eastAsia="Times New Roman" w:hAnsi="Arial" w:cs="Arial"/>
          <w:sz w:val="22"/>
        </w:rPr>
      </w:pPr>
    </w:p>
    <w:p w14:paraId="16048C86"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Constitution sets out a clear statement on the respective roles and responsibilities of both Members and Officers; and clearly sets out the delegation to Officers. It also sets out the Code of Conduct for both Officers and Members and establishes a clear protocol to ensure effective communication between Members and Officers. </w:t>
      </w:r>
    </w:p>
    <w:p w14:paraId="4EFE6467" w14:textId="77777777" w:rsidR="006A783B" w:rsidRPr="007B63BB" w:rsidRDefault="006A783B" w:rsidP="00E06B4E">
      <w:pPr>
        <w:jc w:val="both"/>
        <w:rPr>
          <w:rFonts w:ascii="Arial" w:eastAsia="Times New Roman" w:hAnsi="Arial" w:cs="Arial"/>
        </w:rPr>
      </w:pPr>
    </w:p>
    <w:p w14:paraId="105EAE0B" w14:textId="1239EE0D" w:rsidR="006A783B" w:rsidRDefault="006A783B" w:rsidP="00E06B4E">
      <w:pPr>
        <w:jc w:val="both"/>
        <w:rPr>
          <w:rFonts w:ascii="Arial" w:eastAsia="Times New Roman" w:hAnsi="Arial" w:cs="Arial"/>
          <w:b/>
        </w:rPr>
      </w:pPr>
      <w:r w:rsidRPr="004E4C24">
        <w:rPr>
          <w:rFonts w:ascii="Arial" w:eastAsia="Times New Roman" w:hAnsi="Arial" w:cs="Arial"/>
          <w:b/>
        </w:rPr>
        <w:t xml:space="preserve">The Monitoring Officer </w:t>
      </w:r>
    </w:p>
    <w:p w14:paraId="536E1E5F" w14:textId="77777777" w:rsidR="007B63BB" w:rsidRPr="00A5579B" w:rsidRDefault="007B63BB" w:rsidP="00E06B4E">
      <w:pPr>
        <w:jc w:val="both"/>
        <w:rPr>
          <w:rFonts w:ascii="Arial" w:eastAsia="Times New Roman" w:hAnsi="Arial" w:cs="Arial"/>
          <w:sz w:val="22"/>
        </w:rPr>
      </w:pPr>
    </w:p>
    <w:p w14:paraId="1B47A1AF"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Authority’s Monitoring Officer is responsible for maintaining the Constitution to ensure that it reflects up to date legislative requirements and the Authority’s governance arrangements. The Monitoring Officer plays a proactive role in supporting Members and Officers in both formal and informal settings to ensure compliance with legislative and procedural requirements. </w:t>
      </w:r>
    </w:p>
    <w:p w14:paraId="26126734" w14:textId="77777777" w:rsidR="006A783B" w:rsidRPr="007B63BB" w:rsidRDefault="006A783B" w:rsidP="00E06B4E">
      <w:pPr>
        <w:jc w:val="both"/>
        <w:rPr>
          <w:rFonts w:ascii="Arial" w:eastAsia="Times New Roman" w:hAnsi="Arial" w:cs="Arial"/>
          <w:sz w:val="22"/>
        </w:rPr>
      </w:pPr>
    </w:p>
    <w:p w14:paraId="2B0E0B4F"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Monitoring Officer works closely with the Chief Fire Officer as the Head of Paid Service and the Section 151 Officer in accordance with the provision of the Local Government and Housing Act 1989 and will report to the Authority any proposal which he considers will give rise to unlawfulness. </w:t>
      </w:r>
    </w:p>
    <w:p w14:paraId="54D4B23C" w14:textId="77777777" w:rsidR="006A783B" w:rsidRPr="007B63BB" w:rsidRDefault="006A783B" w:rsidP="00E06B4E">
      <w:pPr>
        <w:jc w:val="both"/>
        <w:rPr>
          <w:rFonts w:ascii="Arial" w:eastAsia="Times New Roman" w:hAnsi="Arial" w:cs="Arial"/>
          <w:sz w:val="22"/>
        </w:rPr>
      </w:pPr>
    </w:p>
    <w:p w14:paraId="7EC68E25"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Monitoring Officer is responsible for the formal recording and publication of the democratic decision-making process and ensuring that all Authority meetings are open to the public and reports, minutes and audio recordings are made available online. The Monitoring Officer ensures that Members and Officers complete declarations of interest forms and related party transactions annually and maintains an up to date register of interests for both Members and Senior Officers.</w:t>
      </w:r>
    </w:p>
    <w:p w14:paraId="2248264B" w14:textId="77777777" w:rsidR="006A783B" w:rsidRPr="007B63BB" w:rsidRDefault="006A783B" w:rsidP="00E06B4E">
      <w:pPr>
        <w:jc w:val="both"/>
        <w:rPr>
          <w:rFonts w:ascii="Arial" w:eastAsia="Times New Roman" w:hAnsi="Arial" w:cs="Arial"/>
          <w:sz w:val="22"/>
        </w:rPr>
      </w:pPr>
    </w:p>
    <w:p w14:paraId="44F1C0AC"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Monitoring Officer provides an effective induction programme for new Members and is also responsible for delivering the Authority’s Training and Development Programme, which includes providing individual development reviews, and is revised annually to meet the needs of Members.  </w:t>
      </w:r>
    </w:p>
    <w:p w14:paraId="09794D85" w14:textId="77777777" w:rsidR="006A783B" w:rsidRPr="007B63BB" w:rsidRDefault="006A783B" w:rsidP="00E06B4E">
      <w:pPr>
        <w:jc w:val="both"/>
        <w:rPr>
          <w:rFonts w:ascii="Arial" w:eastAsia="Times New Roman" w:hAnsi="Arial" w:cs="Arial"/>
          <w:sz w:val="22"/>
        </w:rPr>
      </w:pPr>
    </w:p>
    <w:p w14:paraId="0D9FA24A"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An All Wales Network of Monitoring Officers exists, which meets on a quarterly basis to discuss topical issues and share best practice, which the Authority’s Monitoring Officer attends.</w:t>
      </w:r>
    </w:p>
    <w:p w14:paraId="4021A27C" w14:textId="77777777" w:rsidR="006A783B" w:rsidRPr="00A5579B" w:rsidRDefault="006A783B" w:rsidP="00E06B4E">
      <w:pPr>
        <w:jc w:val="both"/>
        <w:rPr>
          <w:rFonts w:ascii="Arial" w:eastAsia="Times New Roman" w:hAnsi="Arial" w:cs="Arial"/>
        </w:rPr>
      </w:pPr>
    </w:p>
    <w:p w14:paraId="65635253" w14:textId="428FFE73" w:rsidR="006A783B" w:rsidRDefault="006A783B" w:rsidP="00E06B4E">
      <w:pPr>
        <w:jc w:val="both"/>
        <w:rPr>
          <w:rFonts w:ascii="Arial" w:eastAsia="Times New Roman" w:hAnsi="Arial" w:cs="Arial"/>
          <w:b/>
        </w:rPr>
      </w:pPr>
      <w:r w:rsidRPr="004E4C24">
        <w:rPr>
          <w:rFonts w:ascii="Arial" w:eastAsia="Times New Roman" w:hAnsi="Arial" w:cs="Arial"/>
          <w:b/>
        </w:rPr>
        <w:t>Standards Committee</w:t>
      </w:r>
    </w:p>
    <w:p w14:paraId="292156BF" w14:textId="77777777" w:rsidR="007B63BB" w:rsidRPr="00A5579B" w:rsidRDefault="007B63BB" w:rsidP="00E06B4E">
      <w:pPr>
        <w:jc w:val="both"/>
        <w:rPr>
          <w:rFonts w:ascii="Arial" w:eastAsia="Times New Roman" w:hAnsi="Arial" w:cs="Arial"/>
          <w:b/>
          <w:sz w:val="22"/>
        </w:rPr>
      </w:pPr>
    </w:p>
    <w:p w14:paraId="2E5A2DD8"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Authority’s Standards Committee oversee Members standards and maintain a disciplinary process to deal with any breaches of the Code of Conduct by Members. </w:t>
      </w:r>
    </w:p>
    <w:p w14:paraId="549D7C54" w14:textId="77777777" w:rsidR="006A783B" w:rsidRPr="007B63BB" w:rsidRDefault="006A783B" w:rsidP="00E06B4E">
      <w:pPr>
        <w:jc w:val="both"/>
        <w:rPr>
          <w:rFonts w:ascii="Arial" w:eastAsia="Times New Roman" w:hAnsi="Arial" w:cs="Arial"/>
          <w:sz w:val="22"/>
        </w:rPr>
      </w:pPr>
    </w:p>
    <w:p w14:paraId="38B77995" w14:textId="7F09B679" w:rsidR="006A783B" w:rsidRDefault="006A783B" w:rsidP="00E06B4E">
      <w:pPr>
        <w:jc w:val="both"/>
        <w:rPr>
          <w:rFonts w:ascii="Arial" w:eastAsia="Times New Roman" w:hAnsi="Arial" w:cs="Arial"/>
          <w:sz w:val="22"/>
        </w:rPr>
      </w:pPr>
      <w:r w:rsidRPr="007B63BB">
        <w:rPr>
          <w:rFonts w:ascii="Arial" w:eastAsia="Times New Roman" w:hAnsi="Arial" w:cs="Arial"/>
          <w:sz w:val="22"/>
        </w:rPr>
        <w:t xml:space="preserve">Published within the Authority’s Constitution are the Service’s Whistleblowing Policy and Anti-Fraud and Corruption Policy, which are reviewed annually by the Authority’s Standards Committee. </w:t>
      </w:r>
    </w:p>
    <w:p w14:paraId="32AA3F09" w14:textId="77777777" w:rsidR="007B63BB" w:rsidRPr="007B63BB" w:rsidRDefault="007B63BB" w:rsidP="00E06B4E">
      <w:pPr>
        <w:jc w:val="both"/>
        <w:rPr>
          <w:rFonts w:ascii="Arial" w:eastAsia="Times New Roman" w:hAnsi="Arial" w:cs="Arial"/>
          <w:sz w:val="22"/>
        </w:rPr>
      </w:pPr>
    </w:p>
    <w:p w14:paraId="71C02583" w14:textId="77777777" w:rsidR="006A783B" w:rsidRPr="007B63BB" w:rsidRDefault="006A783B" w:rsidP="00E06B4E">
      <w:pPr>
        <w:jc w:val="both"/>
        <w:rPr>
          <w:rFonts w:ascii="Arial" w:eastAsia="Times New Roman" w:hAnsi="Arial" w:cs="Arial"/>
          <w:b/>
          <w:sz w:val="22"/>
        </w:rPr>
      </w:pPr>
      <w:r w:rsidRPr="007B63BB">
        <w:rPr>
          <w:rFonts w:ascii="Arial" w:eastAsia="Times New Roman" w:hAnsi="Arial" w:cs="Arial"/>
          <w:sz w:val="22"/>
        </w:rPr>
        <w:t xml:space="preserve">The Standards Committee also oversee the Authority’s Compliments, Complaints and Comments procedure which is reviewed by the Committee on an annual basis. A report on the number of complaints, compliments and comments received and their outcomes are also reported to the Committee on an annual basis.  </w:t>
      </w:r>
    </w:p>
    <w:p w14:paraId="736C115E" w14:textId="77777777" w:rsidR="006A783B" w:rsidRPr="007B63BB" w:rsidRDefault="006A783B" w:rsidP="00E06B4E">
      <w:pPr>
        <w:jc w:val="both"/>
        <w:rPr>
          <w:rFonts w:ascii="Arial" w:eastAsia="Times New Roman" w:hAnsi="Arial" w:cs="Arial"/>
          <w:b/>
          <w:sz w:val="22"/>
        </w:rPr>
      </w:pPr>
    </w:p>
    <w:p w14:paraId="13E329E1" w14:textId="77777777" w:rsidR="006A783B" w:rsidRPr="004E4C24" w:rsidRDefault="006A783B" w:rsidP="00E06B4E">
      <w:pPr>
        <w:jc w:val="both"/>
        <w:rPr>
          <w:rFonts w:ascii="Arial" w:eastAsia="Times New Roman" w:hAnsi="Arial" w:cs="Arial"/>
          <w:b/>
          <w:i/>
        </w:rPr>
      </w:pPr>
      <w:r w:rsidRPr="004E4C24">
        <w:rPr>
          <w:rFonts w:ascii="Arial" w:eastAsia="Times New Roman" w:hAnsi="Arial" w:cs="Arial"/>
          <w:b/>
        </w:rPr>
        <w:t xml:space="preserve">Principle B: </w:t>
      </w:r>
      <w:r w:rsidRPr="004E4C24">
        <w:rPr>
          <w:rFonts w:ascii="Arial" w:eastAsia="Times New Roman" w:hAnsi="Arial" w:cs="Arial"/>
          <w:b/>
          <w:i/>
        </w:rPr>
        <w:t>Ensuring openness and comprehensive stakeholder engagement.</w:t>
      </w:r>
    </w:p>
    <w:p w14:paraId="0CCA516B" w14:textId="77777777" w:rsidR="006A783B" w:rsidRPr="004E4C24" w:rsidRDefault="006A783B" w:rsidP="00E06B4E">
      <w:pPr>
        <w:jc w:val="both"/>
        <w:rPr>
          <w:rFonts w:ascii="Arial" w:eastAsia="Times New Roman" w:hAnsi="Arial" w:cs="Arial"/>
        </w:rPr>
      </w:pPr>
    </w:p>
    <w:p w14:paraId="48A21D95" w14:textId="48411882" w:rsidR="006A783B" w:rsidRDefault="006A783B" w:rsidP="00E06B4E">
      <w:pPr>
        <w:jc w:val="both"/>
        <w:rPr>
          <w:rFonts w:ascii="Arial" w:eastAsia="Times New Roman" w:hAnsi="Arial" w:cs="Arial"/>
          <w:b/>
        </w:rPr>
      </w:pPr>
      <w:r w:rsidRPr="004E4C24">
        <w:rPr>
          <w:rFonts w:ascii="Arial" w:eastAsia="Times New Roman" w:hAnsi="Arial" w:cs="Arial"/>
          <w:b/>
        </w:rPr>
        <w:t xml:space="preserve">Effective Communication, Consultation and Engagement </w:t>
      </w:r>
    </w:p>
    <w:p w14:paraId="0455FDB6" w14:textId="77777777" w:rsidR="007B63BB" w:rsidRPr="00A5579B" w:rsidRDefault="007B63BB" w:rsidP="00E06B4E">
      <w:pPr>
        <w:jc w:val="both"/>
        <w:rPr>
          <w:rFonts w:ascii="Arial" w:eastAsia="Times New Roman" w:hAnsi="Arial" w:cs="Arial"/>
          <w:b/>
          <w:sz w:val="22"/>
        </w:rPr>
      </w:pPr>
    </w:p>
    <w:p w14:paraId="0E55C150"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 has a well-established corporate planning cycle which is revised annually to ensure its effectiveness. </w:t>
      </w:r>
    </w:p>
    <w:p w14:paraId="0AE5C7EC" w14:textId="77777777" w:rsidR="006A783B" w:rsidRPr="007B63BB" w:rsidRDefault="006A783B" w:rsidP="00E06B4E">
      <w:pPr>
        <w:jc w:val="both"/>
        <w:rPr>
          <w:rFonts w:ascii="Arial" w:eastAsia="Times New Roman" w:hAnsi="Arial" w:cs="Arial"/>
          <w:sz w:val="22"/>
        </w:rPr>
      </w:pPr>
    </w:p>
    <w:p w14:paraId="2C336281"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Authority’s Corporate Plan 2018-23 which clearly sets out the Authority’s vision, Mission and Values; and outlines the Authority’s Annual Improvement Objectives for 2018/19, was approved by the Fire Authority in February 2018, following a 12-week public consultation (between October – December 2017). The plan was published on the Authority’s website on 1 April 2018.</w:t>
      </w:r>
    </w:p>
    <w:p w14:paraId="4A56CA6D" w14:textId="77777777" w:rsidR="006A783B" w:rsidRPr="007B63BB" w:rsidRDefault="006A783B" w:rsidP="00E06B4E">
      <w:pPr>
        <w:jc w:val="both"/>
        <w:rPr>
          <w:rFonts w:ascii="Arial" w:eastAsia="Times New Roman" w:hAnsi="Arial" w:cs="Arial"/>
          <w:sz w:val="22"/>
        </w:rPr>
      </w:pPr>
    </w:p>
    <w:p w14:paraId="7EA09016"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Consultation process was supported by a Communication, Consultation and Engagement Plan which was approved by the Authority in September 2017. A full report, detailing the findings and recommendations from the consultation process, was reported to the Fire Authority in February 2018, outlining how any changes as a result of the consultation process had been incorporated within the final version of the Corporate Plan 2018-23, which was subsequently published on 1 April 2018. </w:t>
      </w:r>
    </w:p>
    <w:p w14:paraId="70C489AF" w14:textId="77777777" w:rsidR="006A783B" w:rsidRPr="007B63BB" w:rsidRDefault="006A783B" w:rsidP="00E06B4E">
      <w:pPr>
        <w:jc w:val="both"/>
        <w:rPr>
          <w:rFonts w:ascii="Arial" w:eastAsia="Times New Roman" w:hAnsi="Arial" w:cs="Arial"/>
          <w:sz w:val="22"/>
        </w:rPr>
      </w:pPr>
    </w:p>
    <w:p w14:paraId="3EE2FBC8"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Service actively participates in each of its six Public Service Boards and chairs </w:t>
      </w:r>
      <w:proofErr w:type="gramStart"/>
      <w:r w:rsidRPr="007B63BB">
        <w:rPr>
          <w:rFonts w:ascii="Arial" w:eastAsia="Times New Roman" w:hAnsi="Arial" w:cs="Arial"/>
          <w:sz w:val="22"/>
        </w:rPr>
        <w:t>a number of</w:t>
      </w:r>
      <w:proofErr w:type="gramEnd"/>
      <w:r w:rsidRPr="007B63BB">
        <w:rPr>
          <w:rFonts w:ascii="Arial" w:eastAsia="Times New Roman" w:hAnsi="Arial" w:cs="Arial"/>
          <w:sz w:val="22"/>
        </w:rPr>
        <w:t xml:space="preserve"> sub-group meetings. Each of the Service’s 12 Annual Improvement Objectives have also been aligned to the Wellbeing Goals, with narrative to support their contribution to the goals, included within the Service’s quarterly Performance and Improvement and Progress Report, which outlines the Authority’s progress against each of the Authority’s Improvement Objectives. This report was reported to the Authority’s Performance, Audit and Scrutiny Committee (PASC) quarterly throughout 2018-19 (July 2018, October 2018, January 2019 </w:t>
      </w:r>
    </w:p>
    <w:p w14:paraId="24E1EF37"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and April 2019). The Annual Performance Assessment, which summaries the year’s performance and progress (April 2018 – March 2019), will be presented to the Authority in September 2019, prior to the legislative deadline for publication of October 31</w:t>
      </w:r>
      <w:r w:rsidRPr="007B63BB">
        <w:rPr>
          <w:rFonts w:ascii="Arial" w:eastAsia="Times New Roman" w:hAnsi="Arial" w:cs="Arial"/>
          <w:sz w:val="22"/>
          <w:vertAlign w:val="superscript"/>
        </w:rPr>
        <w:t>st</w:t>
      </w:r>
      <w:proofErr w:type="gramStart"/>
      <w:r w:rsidRPr="007B63BB">
        <w:rPr>
          <w:rFonts w:ascii="Arial" w:eastAsia="Times New Roman" w:hAnsi="Arial" w:cs="Arial"/>
          <w:sz w:val="22"/>
        </w:rPr>
        <w:t xml:space="preserve"> 2019</w:t>
      </w:r>
      <w:proofErr w:type="gramEnd"/>
      <w:r w:rsidRPr="007B63BB">
        <w:rPr>
          <w:rFonts w:ascii="Arial" w:eastAsia="Times New Roman" w:hAnsi="Arial" w:cs="Arial"/>
          <w:sz w:val="22"/>
        </w:rPr>
        <w:t>.</w:t>
      </w:r>
    </w:p>
    <w:p w14:paraId="0AA2D65E" w14:textId="77777777" w:rsidR="006A783B" w:rsidRPr="007B63BB" w:rsidRDefault="006A783B" w:rsidP="00E06B4E">
      <w:pPr>
        <w:jc w:val="both"/>
        <w:rPr>
          <w:rFonts w:ascii="Arial" w:eastAsia="Times New Roman" w:hAnsi="Arial" w:cs="Arial"/>
          <w:sz w:val="22"/>
        </w:rPr>
      </w:pPr>
    </w:p>
    <w:p w14:paraId="24068F45"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Service maintains a publication scheme and compliance with Freedom of Information requests within stipulated timeframes. The Service’s Freedom of Information requests are managed by the Corporate Communications and Business Development department. </w:t>
      </w:r>
    </w:p>
    <w:p w14:paraId="2AB3099B" w14:textId="77777777" w:rsidR="006A783B" w:rsidRPr="007B63BB" w:rsidRDefault="006A783B" w:rsidP="00E06B4E">
      <w:pPr>
        <w:jc w:val="both"/>
        <w:rPr>
          <w:rFonts w:ascii="Arial" w:eastAsia="Times New Roman" w:hAnsi="Arial" w:cs="Arial"/>
          <w:sz w:val="22"/>
        </w:rPr>
      </w:pPr>
    </w:p>
    <w:p w14:paraId="31845A59"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As detailed within the summary to Principle A, the Authority, through the appointment of the Monitoring Officer, ensures that the necessary arrangements are in place to facilitate effective communication between Officers and Members; and formal recording and publication of the democratic decision-making process.</w:t>
      </w:r>
    </w:p>
    <w:p w14:paraId="3D8AD668" w14:textId="77777777" w:rsidR="006A783B" w:rsidRPr="004E4C24" w:rsidRDefault="006A783B" w:rsidP="00E06B4E">
      <w:pPr>
        <w:jc w:val="both"/>
        <w:rPr>
          <w:rFonts w:ascii="Arial" w:eastAsia="Times New Roman" w:hAnsi="Arial" w:cs="Arial"/>
        </w:rPr>
      </w:pPr>
    </w:p>
    <w:p w14:paraId="125037F7" w14:textId="77777777" w:rsidR="006A783B" w:rsidRPr="004E4C24" w:rsidRDefault="006A783B" w:rsidP="00E06B4E">
      <w:pPr>
        <w:jc w:val="both"/>
        <w:rPr>
          <w:rFonts w:ascii="Arial" w:eastAsia="Times New Roman" w:hAnsi="Arial" w:cs="Arial"/>
        </w:rPr>
      </w:pPr>
      <w:r w:rsidRPr="004E4C24">
        <w:rPr>
          <w:rFonts w:ascii="Arial" w:eastAsia="Times New Roman" w:hAnsi="Arial" w:cs="Arial"/>
          <w:b/>
        </w:rPr>
        <w:t xml:space="preserve">Principle C: </w:t>
      </w:r>
      <w:r w:rsidRPr="004E4C24">
        <w:rPr>
          <w:rFonts w:ascii="Arial" w:eastAsia="Times New Roman" w:hAnsi="Arial" w:cs="Arial"/>
          <w:b/>
          <w:i/>
        </w:rPr>
        <w:t>Defining outcomes in terms of sustainable economic, social, and environmental benefits.</w:t>
      </w:r>
      <w:r w:rsidRPr="004E4C24">
        <w:rPr>
          <w:rFonts w:ascii="Arial" w:eastAsia="Times New Roman" w:hAnsi="Arial" w:cs="Arial"/>
        </w:rPr>
        <w:t xml:space="preserve"> </w:t>
      </w:r>
    </w:p>
    <w:p w14:paraId="2A7FAC97" w14:textId="77777777" w:rsidR="006A783B" w:rsidRPr="004E4C24" w:rsidRDefault="006A783B" w:rsidP="00E06B4E">
      <w:pPr>
        <w:jc w:val="both"/>
        <w:rPr>
          <w:rFonts w:ascii="Arial" w:eastAsia="Times New Roman" w:hAnsi="Arial" w:cs="Arial"/>
        </w:rPr>
      </w:pPr>
    </w:p>
    <w:p w14:paraId="7F0CD69F" w14:textId="71F2D15B" w:rsidR="006A783B" w:rsidRDefault="006A783B" w:rsidP="00E06B4E">
      <w:pPr>
        <w:jc w:val="both"/>
        <w:rPr>
          <w:rFonts w:ascii="Arial" w:eastAsia="Times New Roman" w:hAnsi="Arial" w:cs="Arial"/>
          <w:b/>
        </w:rPr>
      </w:pPr>
      <w:r w:rsidRPr="004E4C24">
        <w:rPr>
          <w:rFonts w:ascii="Arial" w:eastAsia="Times New Roman" w:hAnsi="Arial" w:cs="Arial"/>
          <w:b/>
        </w:rPr>
        <w:t>Our commitment to the Wellbeing of Future Generation’s Act (Wales) 2015</w:t>
      </w:r>
    </w:p>
    <w:p w14:paraId="0B5690A4" w14:textId="77777777" w:rsidR="007B63BB" w:rsidRPr="00A5579B" w:rsidRDefault="007B63BB" w:rsidP="00E06B4E">
      <w:pPr>
        <w:jc w:val="both"/>
        <w:rPr>
          <w:rFonts w:ascii="Arial" w:eastAsia="Times New Roman" w:hAnsi="Arial" w:cs="Arial"/>
          <w:b/>
          <w:sz w:val="22"/>
        </w:rPr>
      </w:pPr>
    </w:p>
    <w:p w14:paraId="2A9293B0"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We are committed to the Wellbeing of Future Generations (Wales) Act 2015 and embrace our duties and role as a statutory partner on our six Public Service Boards.</w:t>
      </w:r>
    </w:p>
    <w:p w14:paraId="54389F94"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1B4EC609"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Our Corporate Plan 2018-2023 outlines our five-year Strategic Aims and our Improvement and Well-being Objectives for 2018/2019. The plan has been developed in accordance with the requirements of the Act and ensures we consider the long-term impact of our decisions on our communities. Throughout the plan, we highlight how our Improvement and Wellbeing Objectives contribute to the Act’s seven Well-being Goals. In delivering our Improvement Objectives, we will also ensure that we consider and incorporate, where appropriate, the sustainable development principle and its five ways of working.</w:t>
      </w:r>
    </w:p>
    <w:p w14:paraId="381015DF"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5C23D43E"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As a statutory partner on each of our six Public Service Boards, we have played a key role in the formation of the Well-being Plans, which represent the communities of mid and west Wales. Representatives from the Service also chair </w:t>
      </w:r>
      <w:proofErr w:type="gramStart"/>
      <w:r w:rsidRPr="007B63BB">
        <w:rPr>
          <w:rFonts w:ascii="Arial" w:eastAsia="Times New Roman" w:hAnsi="Arial" w:cs="Arial"/>
          <w:color w:val="000000"/>
          <w:sz w:val="22"/>
        </w:rPr>
        <w:t>a number of</w:t>
      </w:r>
      <w:proofErr w:type="gramEnd"/>
      <w:r w:rsidRPr="007B63BB">
        <w:rPr>
          <w:rFonts w:ascii="Arial" w:eastAsia="Times New Roman" w:hAnsi="Arial" w:cs="Arial"/>
          <w:color w:val="000000"/>
          <w:sz w:val="22"/>
        </w:rPr>
        <w:t xml:space="preserve"> delivery and implementation groups across each of the six Public Service Boards, ensuring that the objectives we have all identified as priority partnership areas are successfully delivered.</w:t>
      </w:r>
    </w:p>
    <w:p w14:paraId="65922C42"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33B8C2BC" w14:textId="5AB44F8F"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significance of the Objectives contained within each of the six Public Service Board’s Wellbeing Plans, is reflected in our own Service Improvement and Wellbeing Objectives, which ensure that working with our partners to deliver better outcomes for our communities remains a priority. Not only have we considered the Well-being of Future Generations (Wales) Act 2015 in the formation of this plan, we have also embedded </w:t>
      </w:r>
      <w:proofErr w:type="gramStart"/>
      <w:r w:rsidRPr="007B63BB">
        <w:rPr>
          <w:rFonts w:ascii="Arial" w:eastAsia="Times New Roman" w:hAnsi="Arial" w:cs="Arial"/>
          <w:color w:val="000000"/>
          <w:sz w:val="22"/>
        </w:rPr>
        <w:t>a number of</w:t>
      </w:r>
      <w:proofErr w:type="gramEnd"/>
      <w:r w:rsidRPr="007B63BB">
        <w:rPr>
          <w:rFonts w:ascii="Arial" w:eastAsia="Times New Roman" w:hAnsi="Arial" w:cs="Arial"/>
          <w:color w:val="000000"/>
          <w:sz w:val="22"/>
        </w:rPr>
        <w:t xml:space="preserve"> new ways of working within the day to day running of the </w:t>
      </w:r>
      <w:r w:rsidR="007B63BB">
        <w:rPr>
          <w:rFonts w:ascii="Arial" w:eastAsia="Times New Roman" w:hAnsi="Arial" w:cs="Arial"/>
          <w:color w:val="000000"/>
          <w:sz w:val="22"/>
        </w:rPr>
        <w:t>organisation.</w:t>
      </w:r>
      <w:r w:rsidRPr="007B63BB">
        <w:rPr>
          <w:rFonts w:ascii="Arial" w:eastAsia="Times New Roman" w:hAnsi="Arial" w:cs="Arial"/>
          <w:color w:val="000000"/>
          <w:sz w:val="22"/>
        </w:rPr>
        <w:t xml:space="preserve"> </w:t>
      </w:r>
      <w:r w:rsidR="007B63BB">
        <w:rPr>
          <w:rFonts w:ascii="Arial" w:eastAsia="Times New Roman" w:hAnsi="Arial" w:cs="Arial"/>
          <w:color w:val="000000"/>
          <w:sz w:val="22"/>
        </w:rPr>
        <w:t xml:space="preserve"> </w:t>
      </w:r>
      <w:r w:rsidRPr="007B63BB">
        <w:rPr>
          <w:rFonts w:ascii="Arial" w:eastAsia="Times New Roman" w:hAnsi="Arial" w:cs="Arial"/>
          <w:color w:val="000000"/>
          <w:sz w:val="22"/>
        </w:rPr>
        <w:t>The ‘golden thread’ of the Service is greatly influenced by the Well-being of Future Generations (Wales) Act 2015. From our individual development plans, departmental strategies, through to our Corporate Plan 2018-2023, the ethos of the Well-being of Future Generations (Wales) Act 2015 is at the forefront of our planning, whether in forming new partnerships; adopting a horizon scanning approach as part of our future planning processes; or embedding the Wellbeing of Future Generations (Wales) Act 2015 project framework within the delivery of our own corporate projects, which assures that the needs of the present will be met, without compromising our future generations.</w:t>
      </w:r>
    </w:p>
    <w:p w14:paraId="52136935" w14:textId="77777777" w:rsidR="006A783B" w:rsidRPr="004E4C24" w:rsidRDefault="006A783B" w:rsidP="00E06B4E">
      <w:pPr>
        <w:autoSpaceDE w:val="0"/>
        <w:autoSpaceDN w:val="0"/>
        <w:adjustRightInd w:val="0"/>
        <w:jc w:val="both"/>
        <w:rPr>
          <w:rFonts w:ascii="Arial" w:eastAsia="Times New Roman" w:hAnsi="Arial" w:cs="Arial"/>
          <w:b/>
          <w:color w:val="000000"/>
        </w:rPr>
      </w:pPr>
    </w:p>
    <w:p w14:paraId="574F838D" w14:textId="77777777" w:rsidR="007B63BB" w:rsidRDefault="007B63BB">
      <w:pPr>
        <w:rPr>
          <w:rFonts w:ascii="Arial" w:eastAsia="Times New Roman" w:hAnsi="Arial" w:cs="Arial"/>
          <w:b/>
        </w:rPr>
      </w:pPr>
      <w:r>
        <w:rPr>
          <w:rFonts w:ascii="Arial" w:eastAsia="Times New Roman" w:hAnsi="Arial" w:cs="Arial"/>
          <w:b/>
        </w:rPr>
        <w:br w:type="page"/>
      </w:r>
    </w:p>
    <w:p w14:paraId="4DB7F7F6" w14:textId="20768BC5" w:rsidR="006A783B" w:rsidRDefault="006A783B" w:rsidP="00E06B4E">
      <w:pPr>
        <w:jc w:val="both"/>
        <w:rPr>
          <w:rFonts w:ascii="Arial" w:eastAsia="Times New Roman" w:hAnsi="Arial" w:cs="Arial"/>
          <w:b/>
        </w:rPr>
      </w:pPr>
      <w:r w:rsidRPr="004E4C24">
        <w:rPr>
          <w:rFonts w:ascii="Arial" w:eastAsia="Times New Roman" w:hAnsi="Arial" w:cs="Arial"/>
          <w:b/>
        </w:rPr>
        <w:t>Partnership working</w:t>
      </w:r>
    </w:p>
    <w:p w14:paraId="7EDCCC58" w14:textId="77777777" w:rsidR="007B63BB" w:rsidRPr="004E4C24" w:rsidRDefault="007B63BB" w:rsidP="00E06B4E">
      <w:pPr>
        <w:jc w:val="both"/>
        <w:rPr>
          <w:rFonts w:ascii="Arial" w:eastAsia="Times New Roman" w:hAnsi="Arial" w:cs="Arial"/>
          <w:b/>
        </w:rPr>
      </w:pPr>
    </w:p>
    <w:p w14:paraId="25B06CD0" w14:textId="77777777" w:rsidR="006A783B" w:rsidRPr="007B63BB" w:rsidRDefault="006A783B" w:rsidP="00E06B4E">
      <w:pPr>
        <w:autoSpaceDE w:val="0"/>
        <w:autoSpaceDN w:val="0"/>
        <w:adjustRightInd w:val="0"/>
        <w:jc w:val="both"/>
        <w:rPr>
          <w:rFonts w:ascii="Arial" w:hAnsi="Arial" w:cs="Arial"/>
          <w:color w:val="000000"/>
          <w:sz w:val="22"/>
        </w:rPr>
      </w:pPr>
      <w:r w:rsidRPr="007B63BB">
        <w:rPr>
          <w:rFonts w:ascii="Arial" w:eastAsia="Times New Roman" w:hAnsi="Arial" w:cs="Arial"/>
          <w:sz w:val="22"/>
        </w:rPr>
        <w:t xml:space="preserve">The Service has a firm mechanism for collaborating with key partners and maintains a partnership </w:t>
      </w:r>
      <w:r w:rsidRPr="007B63BB">
        <w:rPr>
          <w:rFonts w:ascii="Arial" w:hAnsi="Arial" w:cs="Arial"/>
          <w:color w:val="000000"/>
          <w:sz w:val="22"/>
        </w:rPr>
        <w:t xml:space="preserve">strategy, along with Service Level Agreements and Memorandums of Understanding which both parties sign up to.  Both contracts set out terms and conditions and the protocols of partnership working.  The Partnership Register is regularly </w:t>
      </w:r>
      <w:proofErr w:type="gramStart"/>
      <w:r w:rsidRPr="007B63BB">
        <w:rPr>
          <w:rFonts w:ascii="Arial" w:hAnsi="Arial" w:cs="Arial"/>
          <w:color w:val="000000"/>
          <w:sz w:val="22"/>
        </w:rPr>
        <w:t>reviewed</w:t>
      </w:r>
      <w:proofErr w:type="gramEnd"/>
      <w:r w:rsidRPr="007B63BB">
        <w:rPr>
          <w:rFonts w:ascii="Arial" w:hAnsi="Arial" w:cs="Arial"/>
          <w:color w:val="000000"/>
          <w:sz w:val="22"/>
        </w:rPr>
        <w:t xml:space="preserve"> and an evaluation process is in place to monitor performance of each partner, which is conducted through regular meetings, customer evaluations, training, shadowing and mentoring.</w:t>
      </w:r>
    </w:p>
    <w:p w14:paraId="7C4B363C" w14:textId="77777777" w:rsidR="006A783B" w:rsidRPr="007B63BB" w:rsidRDefault="006A783B" w:rsidP="00E06B4E">
      <w:pPr>
        <w:jc w:val="both"/>
        <w:rPr>
          <w:rFonts w:ascii="Arial" w:eastAsia="Times New Roman" w:hAnsi="Arial" w:cs="Arial"/>
          <w:b/>
          <w:sz w:val="22"/>
        </w:rPr>
      </w:pPr>
    </w:p>
    <w:p w14:paraId="6C6C915B" w14:textId="77984C9E" w:rsidR="006A783B" w:rsidRDefault="006A783B" w:rsidP="00E06B4E">
      <w:pPr>
        <w:jc w:val="both"/>
        <w:rPr>
          <w:rFonts w:ascii="Arial" w:eastAsia="Times New Roman" w:hAnsi="Arial" w:cs="Arial"/>
          <w:b/>
        </w:rPr>
      </w:pPr>
      <w:r w:rsidRPr="004E4C24">
        <w:rPr>
          <w:rFonts w:ascii="Arial" w:eastAsia="Times New Roman" w:hAnsi="Arial" w:cs="Arial"/>
          <w:b/>
        </w:rPr>
        <w:t>Medium Term Financial Planning</w:t>
      </w:r>
    </w:p>
    <w:p w14:paraId="28C044F5" w14:textId="77777777" w:rsidR="007B63BB" w:rsidRPr="007B63BB" w:rsidRDefault="007B63BB" w:rsidP="00E06B4E">
      <w:pPr>
        <w:jc w:val="both"/>
        <w:rPr>
          <w:rFonts w:ascii="Arial" w:eastAsia="Times New Roman" w:hAnsi="Arial" w:cs="Arial"/>
          <w:b/>
          <w:sz w:val="22"/>
        </w:rPr>
      </w:pPr>
    </w:p>
    <w:p w14:paraId="1C11501D" w14:textId="732232B5"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 xml:space="preserve">A robust budget setting process was followed in 2018/19 which included both Officer and Member involvement. The Medium-Term Financial Plan was considered by the Fire Authority in September 2018, Resource Management Committee in November 2018, Fire Authority in December 2018, culminating in approval by the Fire Authority in February 2019. </w:t>
      </w:r>
    </w:p>
    <w:p w14:paraId="02004371" w14:textId="77777777" w:rsidR="007B63BB" w:rsidRPr="007B63BB" w:rsidRDefault="007B63BB" w:rsidP="00E06B4E">
      <w:pPr>
        <w:autoSpaceDE w:val="0"/>
        <w:autoSpaceDN w:val="0"/>
        <w:adjustRightInd w:val="0"/>
        <w:jc w:val="both"/>
        <w:rPr>
          <w:rFonts w:ascii="Arial" w:hAnsi="Arial" w:cs="Arial"/>
          <w:color w:val="000000"/>
          <w:sz w:val="22"/>
        </w:rPr>
      </w:pPr>
    </w:p>
    <w:p w14:paraId="5F3B2C58" w14:textId="5F27F8ED"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Budget Monitoring reports, summarising the actual expenditure to date and forecast outturn were presented to the Resource Management Committee and full Fire Authority meetings throughout the year.</w:t>
      </w:r>
    </w:p>
    <w:p w14:paraId="1B8582C1" w14:textId="77777777" w:rsidR="007B63BB" w:rsidRPr="007B63BB" w:rsidRDefault="007B63BB" w:rsidP="00E06B4E">
      <w:pPr>
        <w:autoSpaceDE w:val="0"/>
        <w:autoSpaceDN w:val="0"/>
        <w:adjustRightInd w:val="0"/>
        <w:jc w:val="both"/>
        <w:rPr>
          <w:rFonts w:ascii="Arial" w:hAnsi="Arial" w:cs="Arial"/>
          <w:color w:val="000000"/>
          <w:sz w:val="22"/>
        </w:rPr>
      </w:pPr>
    </w:p>
    <w:p w14:paraId="7C211491" w14:textId="6BF5EABF"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5-year Capital programme followed the same Member approval process as outlined above. A comprehensive internal exercise was undertaken by Officers to consider capital bids and funding options.</w:t>
      </w:r>
    </w:p>
    <w:p w14:paraId="543B89E9" w14:textId="77777777" w:rsidR="007B63BB" w:rsidRPr="007B63BB" w:rsidRDefault="007B63BB" w:rsidP="00E06B4E">
      <w:pPr>
        <w:autoSpaceDE w:val="0"/>
        <w:autoSpaceDN w:val="0"/>
        <w:adjustRightInd w:val="0"/>
        <w:jc w:val="both"/>
        <w:rPr>
          <w:rFonts w:ascii="Arial" w:hAnsi="Arial" w:cs="Arial"/>
          <w:color w:val="000000"/>
          <w:sz w:val="22"/>
        </w:rPr>
      </w:pPr>
    </w:p>
    <w:p w14:paraId="1C1EEE65" w14:textId="0B269879"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Strategic Asset Capital Management Group meets on a quarterly basis to consider progress and expenditure to date on projects and initiatives. Monitoring reports including expenditure to date and commitments were also presented to Resource Management Committee and full Fire Authority meetings throughout the year.</w:t>
      </w:r>
    </w:p>
    <w:p w14:paraId="62B411DA" w14:textId="77777777" w:rsidR="007B63BB" w:rsidRPr="007B63BB" w:rsidRDefault="007B63BB" w:rsidP="00E06B4E">
      <w:pPr>
        <w:autoSpaceDE w:val="0"/>
        <w:autoSpaceDN w:val="0"/>
        <w:adjustRightInd w:val="0"/>
        <w:jc w:val="both"/>
        <w:rPr>
          <w:rFonts w:ascii="Arial" w:hAnsi="Arial" w:cs="Arial"/>
          <w:color w:val="000000"/>
          <w:sz w:val="22"/>
        </w:rPr>
      </w:pPr>
    </w:p>
    <w:p w14:paraId="69AC6BEF" w14:textId="77777777" w:rsidR="006A783B" w:rsidRPr="007B63BB" w:rsidRDefault="006A783B" w:rsidP="00E06B4E">
      <w:pPr>
        <w:autoSpaceDE w:val="0"/>
        <w:autoSpaceDN w:val="0"/>
        <w:adjustRightInd w:val="0"/>
        <w:jc w:val="both"/>
        <w:rPr>
          <w:rFonts w:ascii="Arial" w:eastAsia="Times New Roman" w:hAnsi="Arial" w:cs="Arial"/>
          <w:sz w:val="22"/>
        </w:rPr>
      </w:pPr>
      <w:r w:rsidRPr="007B63BB">
        <w:rPr>
          <w:rFonts w:ascii="Arial" w:eastAsia="Times New Roman" w:hAnsi="Arial" w:cs="Arial"/>
          <w:sz w:val="22"/>
        </w:rPr>
        <w:t>The CIPFA Prudential Code 2018 introduced the requirement for Local Authorities to produce a Capital Strategy to demonstrate how Authorities take capital and investment decisions in line with service objectives and properly takes account of stewardship, value for money, prudence, sustainability, and affordability. The Capital Strategy 2019/20 was approved by Fire Authority in March 2019.</w:t>
      </w:r>
    </w:p>
    <w:p w14:paraId="16B5A876" w14:textId="77777777" w:rsidR="006A783B" w:rsidRPr="004E4C24" w:rsidRDefault="006A783B" w:rsidP="00E06B4E">
      <w:pPr>
        <w:jc w:val="both"/>
        <w:rPr>
          <w:rFonts w:ascii="Arial" w:eastAsia="Times New Roman" w:hAnsi="Arial" w:cs="Arial"/>
        </w:rPr>
      </w:pPr>
    </w:p>
    <w:p w14:paraId="55E87F42" w14:textId="77777777" w:rsidR="006A783B" w:rsidRPr="004E4C24" w:rsidRDefault="006A783B" w:rsidP="00E06B4E">
      <w:pPr>
        <w:jc w:val="both"/>
        <w:rPr>
          <w:rFonts w:ascii="Arial" w:eastAsia="Times New Roman" w:hAnsi="Arial" w:cs="Arial"/>
          <w:b/>
          <w:i/>
        </w:rPr>
      </w:pPr>
      <w:r w:rsidRPr="004E4C24">
        <w:rPr>
          <w:rFonts w:ascii="Arial" w:eastAsia="Times New Roman" w:hAnsi="Arial" w:cs="Arial"/>
          <w:b/>
        </w:rPr>
        <w:t xml:space="preserve">Principle D: </w:t>
      </w:r>
      <w:r w:rsidRPr="004E4C24">
        <w:rPr>
          <w:rFonts w:ascii="Arial" w:eastAsia="Times New Roman" w:hAnsi="Arial" w:cs="Arial"/>
          <w:b/>
          <w:i/>
        </w:rPr>
        <w:t>Determining the interventions necessary to optimise the achievement of the intended outcomes.</w:t>
      </w:r>
    </w:p>
    <w:p w14:paraId="5366DD25" w14:textId="77777777" w:rsidR="006A783B" w:rsidRPr="004E4C24" w:rsidRDefault="006A783B" w:rsidP="00E06B4E">
      <w:pPr>
        <w:jc w:val="both"/>
        <w:rPr>
          <w:rFonts w:ascii="Arial" w:eastAsia="Times New Roman" w:hAnsi="Arial" w:cs="Arial"/>
          <w:b/>
          <w:i/>
        </w:rPr>
      </w:pPr>
    </w:p>
    <w:p w14:paraId="2C3EA9F0"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Authority’s Elected Members are closely involved in managing performance data, which is reported at both Committee and full Authority meetings. </w:t>
      </w:r>
    </w:p>
    <w:p w14:paraId="7B0A1953" w14:textId="77777777" w:rsidR="006A783B" w:rsidRPr="007B63BB" w:rsidRDefault="006A783B" w:rsidP="00E06B4E">
      <w:pPr>
        <w:jc w:val="both"/>
        <w:rPr>
          <w:rFonts w:ascii="Arial" w:eastAsia="Times New Roman" w:hAnsi="Arial" w:cs="Arial"/>
          <w:sz w:val="22"/>
        </w:rPr>
      </w:pPr>
    </w:p>
    <w:p w14:paraId="4D7A8DBF"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The Authority’s Corporate Plan 2018-23 which clearly sets out the Authority’s vision, Mission and Values; and outlines the Authority’s Annual Improvement Objectives for 2018/19, was approved by the Fire Authority in February 2018, following a 12-week public consultation (between October – December 2017). The plan was published on the Authority’s website on 1 April 2018.</w:t>
      </w:r>
    </w:p>
    <w:p w14:paraId="719CB751" w14:textId="77777777" w:rsidR="006A783B" w:rsidRPr="007B63BB" w:rsidRDefault="006A783B" w:rsidP="00E06B4E">
      <w:pPr>
        <w:jc w:val="both"/>
        <w:rPr>
          <w:rFonts w:ascii="Arial" w:eastAsia="Times New Roman" w:hAnsi="Arial" w:cs="Arial"/>
          <w:sz w:val="22"/>
        </w:rPr>
      </w:pPr>
    </w:p>
    <w:p w14:paraId="2431A3F3"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Consultation process was supported by a Communication, Consultation and Engagement Plan which was approved by the Authority in September 2017. A full report, detailing the findings and recommendations from the consultation process, was reported to the Fire Authority in February 2018, outlining how any changes as a result of the consultation process had been incorporated within the final version of the Corporate Plan 2018-23, which was subsequently published on 1 April 2018. </w:t>
      </w:r>
    </w:p>
    <w:p w14:paraId="1F6B6F21" w14:textId="77777777" w:rsidR="006A783B" w:rsidRPr="007B63BB" w:rsidRDefault="006A783B" w:rsidP="00E06B4E">
      <w:pPr>
        <w:jc w:val="both"/>
        <w:rPr>
          <w:rFonts w:ascii="Arial" w:eastAsia="Times New Roman" w:hAnsi="Arial" w:cs="Arial"/>
          <w:sz w:val="22"/>
        </w:rPr>
      </w:pPr>
    </w:p>
    <w:p w14:paraId="77931442"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Quarterly monitoring reports, identifying progress and performance against the Improvement and Wellbeing Objectives, as we as the Service’s strategic and key performance indicators are presented to the Performance, Audit and Scrutiny Committee. An Annual Performance Assessment, providing an overview of performance to year end, is also presented to the Fire Authority and published for annual audit by WAO.  </w:t>
      </w:r>
    </w:p>
    <w:p w14:paraId="607D2EEC" w14:textId="77777777" w:rsidR="006A783B" w:rsidRPr="007B63BB" w:rsidRDefault="006A783B" w:rsidP="00E06B4E">
      <w:pPr>
        <w:jc w:val="both"/>
        <w:rPr>
          <w:rFonts w:ascii="Arial" w:eastAsia="Times New Roman" w:hAnsi="Arial" w:cs="Arial"/>
          <w:sz w:val="22"/>
        </w:rPr>
      </w:pPr>
    </w:p>
    <w:p w14:paraId="3D7DF2D2"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Compliance certificates were received from WAO in respect of the publication of the Authority’s Annual Performance Assessment 2017/18 (in October 2018) and the Authority’s Wellbeing and Improvement Objectives for 2018/19 (on 1 April 2018).</w:t>
      </w:r>
    </w:p>
    <w:p w14:paraId="23D92906" w14:textId="77777777" w:rsidR="006A783B" w:rsidRPr="004E4C24" w:rsidRDefault="006A783B" w:rsidP="00E06B4E">
      <w:pPr>
        <w:jc w:val="both"/>
        <w:rPr>
          <w:rFonts w:ascii="Arial" w:eastAsia="Times New Roman" w:hAnsi="Arial" w:cs="Arial"/>
        </w:rPr>
      </w:pPr>
    </w:p>
    <w:p w14:paraId="5D0790A3" w14:textId="77777777" w:rsidR="006A783B" w:rsidRPr="004E4C24" w:rsidRDefault="006A783B" w:rsidP="00E06B4E">
      <w:pPr>
        <w:jc w:val="both"/>
        <w:rPr>
          <w:rFonts w:ascii="Arial" w:eastAsia="Times New Roman" w:hAnsi="Arial" w:cs="Arial"/>
          <w:b/>
          <w:i/>
        </w:rPr>
      </w:pPr>
      <w:r w:rsidRPr="004E4C24">
        <w:rPr>
          <w:rFonts w:ascii="Arial" w:eastAsia="Times New Roman" w:hAnsi="Arial" w:cs="Arial"/>
          <w:b/>
        </w:rPr>
        <w:t xml:space="preserve">Principle E: </w:t>
      </w:r>
      <w:r w:rsidRPr="004E4C24">
        <w:rPr>
          <w:rFonts w:ascii="Arial" w:eastAsia="Times New Roman" w:hAnsi="Arial" w:cs="Arial"/>
          <w:b/>
          <w:i/>
        </w:rPr>
        <w:t>Developing the entity’s capacity, including the capability of its leadership and the individuals within it.</w:t>
      </w:r>
    </w:p>
    <w:p w14:paraId="0644A5AB" w14:textId="77777777" w:rsidR="006A783B" w:rsidRPr="004E4C24" w:rsidRDefault="006A783B" w:rsidP="00E06B4E">
      <w:pPr>
        <w:jc w:val="both"/>
        <w:rPr>
          <w:rFonts w:ascii="Arial" w:eastAsia="Times New Roman" w:hAnsi="Arial" w:cs="Arial"/>
        </w:rPr>
      </w:pPr>
    </w:p>
    <w:p w14:paraId="12944C8B" w14:textId="7B2C9216" w:rsidR="006A783B" w:rsidRDefault="006A783B" w:rsidP="00E06B4E">
      <w:pPr>
        <w:jc w:val="both"/>
        <w:rPr>
          <w:rFonts w:ascii="Arial" w:eastAsia="Times New Roman" w:hAnsi="Arial" w:cs="Arial"/>
          <w:b/>
        </w:rPr>
      </w:pPr>
      <w:r w:rsidRPr="004E4C24">
        <w:rPr>
          <w:rFonts w:ascii="Arial" w:eastAsia="Times New Roman" w:hAnsi="Arial" w:cs="Arial"/>
          <w:b/>
        </w:rPr>
        <w:t xml:space="preserve">An Investors </w:t>
      </w:r>
      <w:r w:rsidR="007B63BB">
        <w:rPr>
          <w:rFonts w:ascii="Arial" w:eastAsia="Times New Roman" w:hAnsi="Arial" w:cs="Arial"/>
          <w:b/>
        </w:rPr>
        <w:t>i</w:t>
      </w:r>
      <w:r w:rsidRPr="004E4C24">
        <w:rPr>
          <w:rFonts w:ascii="Arial" w:eastAsia="Times New Roman" w:hAnsi="Arial" w:cs="Arial"/>
          <w:b/>
        </w:rPr>
        <w:t>n People Platinum Accredited Organisation</w:t>
      </w:r>
    </w:p>
    <w:p w14:paraId="5E297393" w14:textId="77777777" w:rsidR="007B63BB" w:rsidRPr="007B63BB" w:rsidRDefault="007B63BB" w:rsidP="00E06B4E">
      <w:pPr>
        <w:jc w:val="both"/>
        <w:rPr>
          <w:rFonts w:ascii="Arial" w:eastAsia="Times New Roman" w:hAnsi="Arial" w:cs="Arial"/>
          <w:b/>
          <w:sz w:val="22"/>
        </w:rPr>
      </w:pPr>
    </w:p>
    <w:p w14:paraId="5E49258B" w14:textId="5B1A6B7F"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In 2018, the Service was awarded the highest accolade from the Investors </w:t>
      </w:r>
      <w:r w:rsidR="00A5579B">
        <w:rPr>
          <w:rFonts w:ascii="Arial" w:eastAsia="Times New Roman" w:hAnsi="Arial" w:cs="Arial"/>
          <w:sz w:val="22"/>
        </w:rPr>
        <w:t>i</w:t>
      </w:r>
      <w:r w:rsidRPr="007B63BB">
        <w:rPr>
          <w:rFonts w:ascii="Arial" w:eastAsia="Times New Roman" w:hAnsi="Arial" w:cs="Arial"/>
          <w:sz w:val="22"/>
        </w:rPr>
        <w:t xml:space="preserve">n People accreditors, in the form of the Platinum Award. </w:t>
      </w:r>
    </w:p>
    <w:p w14:paraId="3732366A" w14:textId="77777777" w:rsidR="006A783B" w:rsidRPr="007B63BB" w:rsidRDefault="006A783B" w:rsidP="00E06B4E">
      <w:pPr>
        <w:jc w:val="both"/>
        <w:rPr>
          <w:rFonts w:ascii="Arial" w:eastAsia="Times New Roman" w:hAnsi="Arial" w:cs="Arial"/>
          <w:sz w:val="22"/>
        </w:rPr>
      </w:pPr>
    </w:p>
    <w:p w14:paraId="1C5E5016" w14:textId="77777777" w:rsidR="006A783B" w:rsidRPr="007B63BB" w:rsidRDefault="006A783B" w:rsidP="00E06B4E">
      <w:pPr>
        <w:jc w:val="both"/>
        <w:rPr>
          <w:rStyle w:val="eop"/>
          <w:rFonts w:ascii="Arial" w:hAnsi="Arial" w:cs="Arial"/>
          <w:color w:val="000000"/>
          <w:sz w:val="22"/>
          <w:shd w:val="clear" w:color="auto" w:fill="FFFFFF"/>
        </w:rPr>
      </w:pPr>
      <w:r w:rsidRPr="007B63BB">
        <w:rPr>
          <w:rFonts w:ascii="Arial" w:eastAsia="Times New Roman" w:hAnsi="Arial" w:cs="Arial"/>
          <w:sz w:val="22"/>
        </w:rPr>
        <w:t>Mid and West Wales Fire and Rescue Service is t</w:t>
      </w:r>
      <w:r w:rsidRPr="007B63BB">
        <w:rPr>
          <w:rStyle w:val="normaltextrun"/>
          <w:rFonts w:ascii="Arial" w:hAnsi="Arial" w:cs="Arial"/>
          <w:sz w:val="22"/>
          <w:shd w:val="clear" w:color="auto" w:fill="FFFFFF"/>
        </w:rPr>
        <w:t>he only Fire and Rescue Service globally to hold the Platinum Accreditation. Of the 15,000 organisations affiliated to IIP, based in 75 different countries across the world, the Service is now part of an elite group of organisations who hold this accolade.  Of all the IIP accredited organisations worldwide, only 1% have achieved the Platinum standard.  </w:t>
      </w:r>
      <w:r w:rsidRPr="007B63BB">
        <w:rPr>
          <w:rStyle w:val="eop"/>
          <w:rFonts w:ascii="Arial" w:hAnsi="Arial" w:cs="Arial"/>
          <w:color w:val="000000"/>
          <w:sz w:val="22"/>
          <w:shd w:val="clear" w:color="auto" w:fill="FFFFFF"/>
        </w:rPr>
        <w:t> </w:t>
      </w:r>
    </w:p>
    <w:p w14:paraId="69330BB8" w14:textId="77777777" w:rsidR="006A783B" w:rsidRPr="007B63BB" w:rsidRDefault="006A783B" w:rsidP="00E06B4E">
      <w:pPr>
        <w:jc w:val="both"/>
        <w:rPr>
          <w:rStyle w:val="eop"/>
          <w:rFonts w:ascii="Arial" w:hAnsi="Arial" w:cs="Arial"/>
          <w:color w:val="000000"/>
          <w:sz w:val="22"/>
          <w:shd w:val="clear" w:color="auto" w:fill="FFFFFF"/>
        </w:rPr>
      </w:pPr>
    </w:p>
    <w:p w14:paraId="665586BB" w14:textId="77777777" w:rsidR="006A783B" w:rsidRPr="007B63B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accreditation recognises the positive endorsement of people management and development practices within Mid and West Wales Fire and Rescue Service and celebrates a culture of openness, transparency and successful leadership.   </w:t>
      </w:r>
    </w:p>
    <w:p w14:paraId="7A1E9B8E" w14:textId="77777777" w:rsidR="006A783B" w:rsidRPr="004E4C24" w:rsidRDefault="006A783B" w:rsidP="00E06B4E">
      <w:pPr>
        <w:jc w:val="both"/>
        <w:rPr>
          <w:rFonts w:ascii="Arial" w:eastAsia="Times New Roman" w:hAnsi="Arial" w:cs="Arial"/>
        </w:rPr>
      </w:pPr>
    </w:p>
    <w:p w14:paraId="03429ECF" w14:textId="77ED5465" w:rsidR="006A783B" w:rsidRDefault="006A783B" w:rsidP="00E06B4E">
      <w:pPr>
        <w:jc w:val="both"/>
        <w:rPr>
          <w:rFonts w:ascii="Arial" w:eastAsia="Times New Roman" w:hAnsi="Arial" w:cs="Arial"/>
          <w:b/>
        </w:rPr>
      </w:pPr>
      <w:r w:rsidRPr="004E4C24">
        <w:rPr>
          <w:rFonts w:ascii="Arial" w:eastAsia="Times New Roman" w:hAnsi="Arial" w:cs="Arial"/>
          <w:b/>
        </w:rPr>
        <w:t xml:space="preserve">Our People </w:t>
      </w:r>
    </w:p>
    <w:p w14:paraId="66CB9103" w14:textId="77777777" w:rsidR="007B63BB" w:rsidRPr="007B63BB" w:rsidRDefault="007B63BB" w:rsidP="00E06B4E">
      <w:pPr>
        <w:jc w:val="both"/>
        <w:rPr>
          <w:rFonts w:ascii="Arial" w:eastAsia="Times New Roman" w:hAnsi="Arial" w:cs="Arial"/>
          <w:b/>
          <w:sz w:val="22"/>
        </w:rPr>
      </w:pPr>
    </w:p>
    <w:p w14:paraId="2DD3275E" w14:textId="77777777" w:rsidR="006A783B" w:rsidRPr="007B63BB" w:rsidRDefault="006A783B" w:rsidP="00E06B4E">
      <w:pPr>
        <w:jc w:val="both"/>
        <w:rPr>
          <w:rFonts w:ascii="Arial" w:hAnsi="Arial" w:cs="Arial"/>
          <w:color w:val="000000"/>
          <w:sz w:val="22"/>
        </w:rPr>
      </w:pPr>
      <w:r w:rsidRPr="007B63BB">
        <w:rPr>
          <w:rFonts w:ascii="Arial" w:eastAsia="Times New Roman" w:hAnsi="Arial" w:cs="Arial"/>
          <w:sz w:val="22"/>
        </w:rPr>
        <w:t xml:space="preserve">The Service maintains robust </w:t>
      </w:r>
      <w:r w:rsidRPr="007B63BB">
        <w:rPr>
          <w:rFonts w:ascii="Arial" w:hAnsi="Arial" w:cs="Arial"/>
          <w:color w:val="000000"/>
          <w:sz w:val="22"/>
        </w:rPr>
        <w:t xml:space="preserve">strategic workforce planning processes to ensure the Service employs the correct number of people with the necessary skill sets to meet the objectives set out in its corporate plans. Strategic workforce planning is embedded in the organisation and analysis of workforce data enables proactive identification of future staffing requirements.  </w:t>
      </w:r>
    </w:p>
    <w:p w14:paraId="189A1586" w14:textId="77777777" w:rsidR="006A783B" w:rsidRPr="007B63BB" w:rsidRDefault="006A783B" w:rsidP="00E06B4E">
      <w:pPr>
        <w:autoSpaceDE w:val="0"/>
        <w:autoSpaceDN w:val="0"/>
        <w:adjustRightInd w:val="0"/>
        <w:contextualSpacing/>
        <w:jc w:val="both"/>
        <w:rPr>
          <w:rFonts w:ascii="Arial" w:hAnsi="Arial" w:cs="Arial"/>
          <w:color w:val="000000"/>
          <w:sz w:val="22"/>
        </w:rPr>
      </w:pPr>
    </w:p>
    <w:p w14:paraId="6A386E06" w14:textId="77777777" w:rsidR="006A783B" w:rsidRPr="007B63BB" w:rsidRDefault="006A783B" w:rsidP="00E06B4E">
      <w:pPr>
        <w:autoSpaceDE w:val="0"/>
        <w:autoSpaceDN w:val="0"/>
        <w:adjustRightInd w:val="0"/>
        <w:contextualSpacing/>
        <w:jc w:val="both"/>
        <w:rPr>
          <w:rFonts w:ascii="Arial" w:hAnsi="Arial" w:cs="Arial"/>
          <w:color w:val="000000"/>
          <w:sz w:val="22"/>
        </w:rPr>
      </w:pPr>
      <w:r w:rsidRPr="007B63BB">
        <w:rPr>
          <w:rFonts w:ascii="Arial" w:hAnsi="Arial" w:cs="Arial"/>
          <w:color w:val="000000"/>
          <w:sz w:val="22"/>
        </w:rPr>
        <w:t xml:space="preserve">The Service also maintains the Corporate Health Award requirements and biennial fitness tests are undertaken for all Operational Staff as part of the all Wales approach to operational fitness. A fitness assessment programme for operational staff is fully embedded in the Service and fitness equipment provided at all Fire Stations. Risk Critical training plans, along with Individual Development Reviews ensure people have the appropriate training and development to undertake their roles competently and safely. </w:t>
      </w:r>
    </w:p>
    <w:p w14:paraId="11E1CCCD" w14:textId="77777777" w:rsidR="006A783B" w:rsidRPr="007B63BB" w:rsidRDefault="006A783B" w:rsidP="00E06B4E">
      <w:pPr>
        <w:autoSpaceDE w:val="0"/>
        <w:autoSpaceDN w:val="0"/>
        <w:adjustRightInd w:val="0"/>
        <w:contextualSpacing/>
        <w:jc w:val="both"/>
        <w:rPr>
          <w:rFonts w:ascii="Arial" w:hAnsi="Arial" w:cs="Arial"/>
          <w:b/>
          <w:bCs/>
          <w:color w:val="000000"/>
          <w:sz w:val="22"/>
        </w:rPr>
      </w:pPr>
    </w:p>
    <w:p w14:paraId="1E7A882D" w14:textId="77777777" w:rsidR="006A783B" w:rsidRPr="007B63BB" w:rsidRDefault="006A783B" w:rsidP="00E06B4E">
      <w:pPr>
        <w:autoSpaceDE w:val="0"/>
        <w:autoSpaceDN w:val="0"/>
        <w:adjustRightInd w:val="0"/>
        <w:contextualSpacing/>
        <w:jc w:val="both"/>
        <w:rPr>
          <w:rFonts w:ascii="Arial" w:hAnsi="Arial" w:cs="Arial"/>
          <w:bCs/>
          <w:color w:val="000000"/>
          <w:sz w:val="22"/>
        </w:rPr>
      </w:pPr>
      <w:r w:rsidRPr="007B63BB">
        <w:rPr>
          <w:rFonts w:ascii="Arial" w:hAnsi="Arial" w:cs="Arial"/>
          <w:bCs/>
          <w:color w:val="000000"/>
          <w:sz w:val="22"/>
        </w:rPr>
        <w:t>The Service remains a signed-up partner to the All Wales Organisational Development Strategy with career pathways mapped out for all sectors within the organisation.</w:t>
      </w:r>
    </w:p>
    <w:p w14:paraId="5DC6E68F" w14:textId="77777777" w:rsidR="006A783B" w:rsidRPr="007B63BB" w:rsidRDefault="006A783B" w:rsidP="00E06B4E">
      <w:pPr>
        <w:jc w:val="both"/>
        <w:rPr>
          <w:rFonts w:ascii="Arial" w:eastAsia="Times New Roman" w:hAnsi="Arial" w:cs="Arial"/>
          <w:b/>
          <w:sz w:val="22"/>
        </w:rPr>
      </w:pPr>
    </w:p>
    <w:p w14:paraId="3287EF57" w14:textId="77777777" w:rsidR="006A783B" w:rsidRPr="004E4C24" w:rsidRDefault="006A783B" w:rsidP="00E06B4E">
      <w:pPr>
        <w:jc w:val="both"/>
        <w:rPr>
          <w:rFonts w:ascii="Arial" w:eastAsia="Times New Roman" w:hAnsi="Arial" w:cs="Arial"/>
          <w:b/>
          <w:i/>
        </w:rPr>
      </w:pPr>
      <w:r w:rsidRPr="004E4C24">
        <w:rPr>
          <w:rFonts w:ascii="Arial" w:eastAsia="Times New Roman" w:hAnsi="Arial" w:cs="Arial"/>
          <w:b/>
        </w:rPr>
        <w:t xml:space="preserve">Principle F: </w:t>
      </w:r>
      <w:r w:rsidRPr="004E4C24">
        <w:rPr>
          <w:rFonts w:ascii="Arial" w:eastAsia="Times New Roman" w:hAnsi="Arial" w:cs="Arial"/>
          <w:b/>
          <w:i/>
        </w:rPr>
        <w:t>Managing risks and performance through robust internal control and strong public financial management.</w:t>
      </w:r>
    </w:p>
    <w:p w14:paraId="23F5ABF5" w14:textId="77777777" w:rsidR="006A783B" w:rsidRPr="004E4C24" w:rsidRDefault="006A783B" w:rsidP="00E06B4E">
      <w:pPr>
        <w:autoSpaceDE w:val="0"/>
        <w:autoSpaceDN w:val="0"/>
        <w:adjustRightInd w:val="0"/>
        <w:jc w:val="both"/>
        <w:rPr>
          <w:rFonts w:ascii="Arial" w:hAnsi="Arial" w:cs="Arial"/>
          <w:i/>
          <w:color w:val="000000"/>
        </w:rPr>
      </w:pPr>
    </w:p>
    <w:p w14:paraId="22D29732" w14:textId="2A8716B4" w:rsidR="006A783B" w:rsidRDefault="006A783B" w:rsidP="00E06B4E">
      <w:pPr>
        <w:autoSpaceDE w:val="0"/>
        <w:autoSpaceDN w:val="0"/>
        <w:adjustRightInd w:val="0"/>
        <w:jc w:val="both"/>
        <w:rPr>
          <w:rFonts w:ascii="Arial" w:hAnsi="Arial" w:cs="Arial"/>
          <w:b/>
          <w:color w:val="000000"/>
        </w:rPr>
      </w:pPr>
      <w:r w:rsidRPr="004E4C24">
        <w:rPr>
          <w:rFonts w:ascii="Arial" w:hAnsi="Arial" w:cs="Arial"/>
          <w:b/>
          <w:color w:val="000000"/>
        </w:rPr>
        <w:t>Risk Management</w:t>
      </w:r>
    </w:p>
    <w:p w14:paraId="1B7EBF79" w14:textId="77777777" w:rsidR="007B63BB" w:rsidRPr="00A5579B" w:rsidRDefault="007B63BB" w:rsidP="00E06B4E">
      <w:pPr>
        <w:autoSpaceDE w:val="0"/>
        <w:autoSpaceDN w:val="0"/>
        <w:adjustRightInd w:val="0"/>
        <w:jc w:val="both"/>
        <w:rPr>
          <w:rFonts w:ascii="Arial" w:hAnsi="Arial" w:cs="Arial"/>
          <w:b/>
          <w:color w:val="000000"/>
          <w:sz w:val="22"/>
        </w:rPr>
      </w:pPr>
    </w:p>
    <w:p w14:paraId="03FF0DB1" w14:textId="77777777"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Corporate Risk Department</w:t>
      </w:r>
      <w:r w:rsidRPr="007B63BB">
        <w:rPr>
          <w:rFonts w:ascii="Arial" w:hAnsi="Arial" w:cs="Arial"/>
          <w:iCs/>
          <w:color w:val="000000"/>
          <w:sz w:val="22"/>
        </w:rPr>
        <w:t xml:space="preserve"> maintains the Service’s </w:t>
      </w:r>
      <w:r w:rsidRPr="007B63BB">
        <w:rPr>
          <w:rFonts w:ascii="Arial" w:hAnsi="Arial" w:cs="Arial"/>
          <w:color w:val="000000"/>
          <w:sz w:val="22"/>
        </w:rPr>
        <w:t xml:space="preserve">Risk Management Policy and associated methodologies. The Risk Management Policy outlines roles and responsibilities for both Service Staff and Elected Members. </w:t>
      </w:r>
    </w:p>
    <w:p w14:paraId="6ABCFF70" w14:textId="1D1829B3"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 xml:space="preserve">In order to coordinate its arrangements for matters of risk management, the Service has established a dedicated Business Risk Management Group. Chaired by the Director of Operational Support and Improvement, this group meets on a quarterly basis </w:t>
      </w:r>
      <w:proofErr w:type="gramStart"/>
      <w:r w:rsidRPr="007B63BB">
        <w:rPr>
          <w:rFonts w:ascii="Arial" w:hAnsi="Arial" w:cs="Arial"/>
          <w:color w:val="000000"/>
          <w:sz w:val="22"/>
        </w:rPr>
        <w:t>and also</w:t>
      </w:r>
      <w:proofErr w:type="gramEnd"/>
      <w:r w:rsidRPr="007B63BB">
        <w:rPr>
          <w:rFonts w:ascii="Arial" w:hAnsi="Arial" w:cs="Arial"/>
          <w:color w:val="000000"/>
          <w:sz w:val="22"/>
        </w:rPr>
        <w:t xml:space="preserve"> includes representation from Fire Authority Members. </w:t>
      </w:r>
    </w:p>
    <w:p w14:paraId="43047A6A" w14:textId="77777777" w:rsidR="007B63BB" w:rsidRPr="007B63BB" w:rsidRDefault="007B63BB" w:rsidP="00E06B4E">
      <w:pPr>
        <w:autoSpaceDE w:val="0"/>
        <w:autoSpaceDN w:val="0"/>
        <w:adjustRightInd w:val="0"/>
        <w:jc w:val="both"/>
        <w:rPr>
          <w:rFonts w:ascii="Arial" w:hAnsi="Arial" w:cs="Arial"/>
          <w:color w:val="000000"/>
          <w:sz w:val="22"/>
        </w:rPr>
      </w:pPr>
    </w:p>
    <w:p w14:paraId="6FA0581B" w14:textId="1F9AD176"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Following these meetings an updated report on the Service’s Business Risk Register is provided to the Performance Audit and Scrutiny Committee on a quarterly basis.</w:t>
      </w:r>
    </w:p>
    <w:p w14:paraId="11626C0B" w14:textId="77777777" w:rsidR="00A5579B" w:rsidRPr="007B63BB" w:rsidRDefault="00A5579B" w:rsidP="00E06B4E">
      <w:pPr>
        <w:autoSpaceDE w:val="0"/>
        <w:autoSpaceDN w:val="0"/>
        <w:adjustRightInd w:val="0"/>
        <w:jc w:val="both"/>
        <w:rPr>
          <w:rFonts w:ascii="Arial" w:hAnsi="Arial" w:cs="Arial"/>
          <w:color w:val="000000"/>
          <w:sz w:val="22"/>
        </w:rPr>
      </w:pPr>
    </w:p>
    <w:p w14:paraId="7560FDA4" w14:textId="1DD90BCD"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 xml:space="preserve">The underpinning risk ranking methodology used by the group is derived from the 2004 publication by Her Majesty’s Treasury titled ‘The Orange Book – Management of Risk – Principles and Concepts’. </w:t>
      </w:r>
    </w:p>
    <w:p w14:paraId="2AA68267" w14:textId="77777777" w:rsidR="007B63BB" w:rsidRPr="007B63BB" w:rsidRDefault="007B63BB" w:rsidP="00E06B4E">
      <w:pPr>
        <w:autoSpaceDE w:val="0"/>
        <w:autoSpaceDN w:val="0"/>
        <w:adjustRightInd w:val="0"/>
        <w:jc w:val="both"/>
        <w:rPr>
          <w:rFonts w:ascii="Arial" w:hAnsi="Arial" w:cs="Arial"/>
          <w:color w:val="000000"/>
          <w:sz w:val="22"/>
        </w:rPr>
      </w:pPr>
    </w:p>
    <w:p w14:paraId="24EF63E8" w14:textId="50E57578"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 xml:space="preserve">For any risk identified on the Business Risk Register, there is a documented audit trail and rationale as to why the risk has been identified and what mitigation is in place by the Service as part of its risk control measure. </w:t>
      </w:r>
    </w:p>
    <w:p w14:paraId="0DD86473" w14:textId="77777777" w:rsidR="007B63BB" w:rsidRPr="007B63BB" w:rsidRDefault="007B63BB" w:rsidP="00E06B4E">
      <w:pPr>
        <w:autoSpaceDE w:val="0"/>
        <w:autoSpaceDN w:val="0"/>
        <w:adjustRightInd w:val="0"/>
        <w:jc w:val="both"/>
        <w:rPr>
          <w:rFonts w:ascii="Arial" w:hAnsi="Arial" w:cs="Arial"/>
          <w:color w:val="000000"/>
          <w:sz w:val="22"/>
        </w:rPr>
      </w:pPr>
    </w:p>
    <w:p w14:paraId="0ED88158" w14:textId="419239D0"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In-between Business Risk Management Group meetings, the Business Risk Register is monitored on a regular basis by the Corporate Risk Department. Should any activities be identified that are likely to influence a change in the Service’s risk profile, the issue is brought to the attention of the Executive Leadership Team outside of the periodic Business Risk Management Group meetings.</w:t>
      </w:r>
    </w:p>
    <w:p w14:paraId="21C0B695" w14:textId="77777777" w:rsidR="007B63BB" w:rsidRPr="007B63BB" w:rsidRDefault="007B63BB" w:rsidP="00E06B4E">
      <w:pPr>
        <w:autoSpaceDE w:val="0"/>
        <w:autoSpaceDN w:val="0"/>
        <w:adjustRightInd w:val="0"/>
        <w:jc w:val="both"/>
        <w:rPr>
          <w:rFonts w:ascii="Arial" w:hAnsi="Arial" w:cs="Arial"/>
          <w:color w:val="000000"/>
          <w:sz w:val="22"/>
        </w:rPr>
      </w:pPr>
    </w:p>
    <w:p w14:paraId="22E6BA14" w14:textId="77777777"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 xml:space="preserve">Business Risk Register updates and current ‘risks’ are communicated to Staff as and when required, with ongoing risk management training provided by the Corporate Risk Department. </w:t>
      </w:r>
    </w:p>
    <w:p w14:paraId="087D5215" w14:textId="77777777" w:rsidR="006A783B" w:rsidRPr="00A5579B" w:rsidRDefault="006A783B" w:rsidP="00E06B4E">
      <w:pPr>
        <w:autoSpaceDE w:val="0"/>
        <w:autoSpaceDN w:val="0"/>
        <w:adjustRightInd w:val="0"/>
        <w:jc w:val="both"/>
        <w:rPr>
          <w:rFonts w:ascii="Arial" w:hAnsi="Arial" w:cs="Arial"/>
          <w:b/>
          <w:color w:val="000000"/>
        </w:rPr>
      </w:pPr>
    </w:p>
    <w:p w14:paraId="4AC2A7AD" w14:textId="688454C1" w:rsidR="006A783B" w:rsidRDefault="006A783B" w:rsidP="00E06B4E">
      <w:pPr>
        <w:autoSpaceDE w:val="0"/>
        <w:autoSpaceDN w:val="0"/>
        <w:adjustRightInd w:val="0"/>
        <w:jc w:val="both"/>
        <w:rPr>
          <w:rFonts w:ascii="Arial" w:hAnsi="Arial" w:cs="Arial"/>
          <w:b/>
          <w:color w:val="000000"/>
        </w:rPr>
      </w:pPr>
      <w:r w:rsidRPr="004E4C24">
        <w:rPr>
          <w:rFonts w:ascii="Arial" w:hAnsi="Arial" w:cs="Arial"/>
          <w:b/>
          <w:color w:val="000000"/>
        </w:rPr>
        <w:t xml:space="preserve">Data Protection arrangements </w:t>
      </w:r>
    </w:p>
    <w:p w14:paraId="37B45B1D" w14:textId="77777777" w:rsidR="007B63BB" w:rsidRPr="007B63BB" w:rsidRDefault="007B63BB" w:rsidP="00E06B4E">
      <w:pPr>
        <w:autoSpaceDE w:val="0"/>
        <w:autoSpaceDN w:val="0"/>
        <w:adjustRightInd w:val="0"/>
        <w:jc w:val="both"/>
        <w:rPr>
          <w:rFonts w:ascii="Arial" w:hAnsi="Arial" w:cs="Arial"/>
          <w:b/>
          <w:color w:val="000000"/>
          <w:sz w:val="22"/>
        </w:rPr>
      </w:pPr>
    </w:p>
    <w:p w14:paraId="28A76C98" w14:textId="792939AF"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All Service policies and procedures are reviewed annually, and a revised Data Protection Procedure has been published to ensure compliance with the requirements of the General Data Protection Regulations.</w:t>
      </w:r>
    </w:p>
    <w:p w14:paraId="3D96DA52" w14:textId="77777777" w:rsidR="007B63BB" w:rsidRPr="007B63BB" w:rsidRDefault="007B63BB" w:rsidP="00E06B4E">
      <w:pPr>
        <w:autoSpaceDE w:val="0"/>
        <w:autoSpaceDN w:val="0"/>
        <w:adjustRightInd w:val="0"/>
        <w:jc w:val="both"/>
        <w:rPr>
          <w:rFonts w:ascii="Arial" w:hAnsi="Arial" w:cs="Arial"/>
          <w:color w:val="000000"/>
          <w:sz w:val="22"/>
        </w:rPr>
      </w:pPr>
    </w:p>
    <w:p w14:paraId="39FDC767" w14:textId="5F425D6B"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A Data Audit has been completed to assess the data held by the Service.  Data Sharing Agreements have also been reviewed to ensure compliance with General Data Protection Regulations and revised privacy notices detailing how information will be processed, stored and shared produced.</w:t>
      </w:r>
    </w:p>
    <w:p w14:paraId="1006C5B7" w14:textId="77777777" w:rsidR="007B63BB" w:rsidRPr="007B63BB" w:rsidRDefault="007B63BB" w:rsidP="00E06B4E">
      <w:pPr>
        <w:autoSpaceDE w:val="0"/>
        <w:autoSpaceDN w:val="0"/>
        <w:adjustRightInd w:val="0"/>
        <w:jc w:val="both"/>
        <w:rPr>
          <w:rFonts w:ascii="Arial" w:hAnsi="Arial" w:cs="Arial"/>
          <w:color w:val="000000"/>
          <w:sz w:val="22"/>
        </w:rPr>
      </w:pPr>
    </w:p>
    <w:p w14:paraId="57D79F7F" w14:textId="6EDBA9E9"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Senior Information Risk Owner (SIRO) position for the Service, who has overall responsibility for the management of information risk, is held by the ACO Director of Resources.</w:t>
      </w:r>
    </w:p>
    <w:p w14:paraId="7C1244D4" w14:textId="77777777" w:rsidR="007B63BB" w:rsidRPr="007B63BB" w:rsidRDefault="007B63BB" w:rsidP="00E06B4E">
      <w:pPr>
        <w:autoSpaceDE w:val="0"/>
        <w:autoSpaceDN w:val="0"/>
        <w:adjustRightInd w:val="0"/>
        <w:jc w:val="both"/>
        <w:rPr>
          <w:rFonts w:ascii="Arial" w:hAnsi="Arial" w:cs="Arial"/>
          <w:color w:val="000000"/>
          <w:sz w:val="22"/>
        </w:rPr>
      </w:pPr>
    </w:p>
    <w:p w14:paraId="060EA641" w14:textId="77777777" w:rsidR="006A783B" w:rsidRPr="007B63B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Service continues to provide an active role in Information Sharing in line with the Wales Accord on the Sharing of Personal Information (WASPI) framework.</w:t>
      </w:r>
    </w:p>
    <w:p w14:paraId="3253AF4E" w14:textId="77777777" w:rsidR="006A783B" w:rsidRPr="00A5579B" w:rsidRDefault="006A783B" w:rsidP="00E06B4E">
      <w:pPr>
        <w:autoSpaceDE w:val="0"/>
        <w:autoSpaceDN w:val="0"/>
        <w:adjustRightInd w:val="0"/>
        <w:jc w:val="both"/>
        <w:rPr>
          <w:rFonts w:ascii="Arial" w:hAnsi="Arial" w:cs="Arial"/>
          <w:color w:val="000000"/>
        </w:rPr>
      </w:pPr>
    </w:p>
    <w:p w14:paraId="4F791814" w14:textId="77777777" w:rsidR="006A783B" w:rsidRPr="004E4C24" w:rsidRDefault="006A783B" w:rsidP="00E06B4E">
      <w:pPr>
        <w:jc w:val="both"/>
        <w:rPr>
          <w:rFonts w:ascii="Arial" w:eastAsia="Times New Roman" w:hAnsi="Arial" w:cs="Arial"/>
          <w:b/>
          <w:i/>
        </w:rPr>
      </w:pPr>
      <w:r w:rsidRPr="004E4C24">
        <w:rPr>
          <w:rFonts w:ascii="Arial" w:eastAsia="Times New Roman" w:hAnsi="Arial" w:cs="Arial"/>
          <w:b/>
        </w:rPr>
        <w:t xml:space="preserve">Principle G: </w:t>
      </w:r>
      <w:r w:rsidRPr="004E4C24">
        <w:rPr>
          <w:rFonts w:ascii="Arial" w:eastAsia="Times New Roman" w:hAnsi="Arial" w:cs="Arial"/>
          <w:b/>
          <w:i/>
        </w:rPr>
        <w:t>Implementing good practices in transparency, reporting, and audit to deliver effective accountability.</w:t>
      </w:r>
    </w:p>
    <w:p w14:paraId="739DA1D0" w14:textId="77777777" w:rsidR="006A783B" w:rsidRPr="00A5579B" w:rsidRDefault="006A783B" w:rsidP="00E06B4E">
      <w:pPr>
        <w:jc w:val="both"/>
        <w:rPr>
          <w:rFonts w:ascii="Arial" w:hAnsi="Arial" w:cs="Arial"/>
          <w:iCs/>
          <w:color w:val="000000"/>
          <w:sz w:val="22"/>
        </w:rPr>
      </w:pPr>
    </w:p>
    <w:p w14:paraId="01558DA5" w14:textId="7C0521DA"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Authority’s Financial Procedure Rules are published within the Authority’s Constitution.</w:t>
      </w:r>
    </w:p>
    <w:p w14:paraId="6BF0A519" w14:textId="77777777" w:rsidR="007B63BB" w:rsidRPr="007B63BB" w:rsidRDefault="007B63BB" w:rsidP="00E06B4E">
      <w:pPr>
        <w:autoSpaceDE w:val="0"/>
        <w:autoSpaceDN w:val="0"/>
        <w:adjustRightInd w:val="0"/>
        <w:jc w:val="both"/>
        <w:rPr>
          <w:rFonts w:ascii="Arial" w:hAnsi="Arial" w:cs="Arial"/>
          <w:color w:val="000000"/>
          <w:sz w:val="22"/>
        </w:rPr>
      </w:pPr>
    </w:p>
    <w:p w14:paraId="4A27A7C4" w14:textId="27F624E7" w:rsidR="006A783B" w:rsidRDefault="006A783B" w:rsidP="00E06B4E">
      <w:pPr>
        <w:autoSpaceDE w:val="0"/>
        <w:autoSpaceDN w:val="0"/>
        <w:adjustRightInd w:val="0"/>
        <w:jc w:val="both"/>
        <w:rPr>
          <w:rFonts w:ascii="Arial" w:hAnsi="Arial" w:cs="Arial"/>
          <w:iCs/>
          <w:color w:val="000000"/>
          <w:sz w:val="22"/>
        </w:rPr>
      </w:pPr>
      <w:r w:rsidRPr="007B63BB">
        <w:rPr>
          <w:rFonts w:ascii="Arial" w:hAnsi="Arial" w:cs="Arial"/>
          <w:iCs/>
          <w:color w:val="000000"/>
          <w:sz w:val="22"/>
        </w:rPr>
        <w:t>The Head of Finance works closely with Internal Audit to agree work areas and the Terms of Reference for each audit. Meetings have been held to review progress and discuss report recommendations, with associated action plans being developed and reported against.</w:t>
      </w:r>
    </w:p>
    <w:p w14:paraId="28F28C82" w14:textId="77777777" w:rsidR="007B63BB" w:rsidRPr="007B63BB" w:rsidRDefault="007B63BB" w:rsidP="00E06B4E">
      <w:pPr>
        <w:autoSpaceDE w:val="0"/>
        <w:autoSpaceDN w:val="0"/>
        <w:adjustRightInd w:val="0"/>
        <w:jc w:val="both"/>
        <w:rPr>
          <w:rFonts w:ascii="Arial" w:hAnsi="Arial" w:cs="Arial"/>
          <w:iCs/>
          <w:color w:val="000000"/>
          <w:sz w:val="22"/>
        </w:rPr>
      </w:pPr>
    </w:p>
    <w:p w14:paraId="6E5BE637" w14:textId="63E77C83" w:rsidR="006A783B" w:rsidRDefault="006A783B" w:rsidP="00E06B4E">
      <w:pPr>
        <w:autoSpaceDE w:val="0"/>
        <w:autoSpaceDN w:val="0"/>
        <w:adjustRightInd w:val="0"/>
        <w:jc w:val="both"/>
        <w:rPr>
          <w:rFonts w:ascii="Arial" w:hAnsi="Arial" w:cs="Arial"/>
          <w:iCs/>
          <w:color w:val="000000"/>
          <w:sz w:val="22"/>
        </w:rPr>
      </w:pPr>
      <w:r w:rsidRPr="007B63BB">
        <w:rPr>
          <w:rFonts w:ascii="Arial" w:hAnsi="Arial" w:cs="Arial"/>
          <w:iCs/>
          <w:color w:val="000000"/>
          <w:sz w:val="22"/>
        </w:rPr>
        <w:t>Internal Audit reports are also reported annually to the PASC and FA meetings, with progress updates on internal audits reported quarterly at PASC meetings.</w:t>
      </w:r>
    </w:p>
    <w:p w14:paraId="42A0A566" w14:textId="77777777" w:rsidR="007B63BB" w:rsidRPr="007B63BB" w:rsidRDefault="007B63BB" w:rsidP="00E06B4E">
      <w:pPr>
        <w:autoSpaceDE w:val="0"/>
        <w:autoSpaceDN w:val="0"/>
        <w:adjustRightInd w:val="0"/>
        <w:jc w:val="both"/>
        <w:rPr>
          <w:rFonts w:ascii="Arial" w:hAnsi="Arial" w:cs="Arial"/>
          <w:color w:val="000000"/>
          <w:sz w:val="22"/>
        </w:rPr>
      </w:pPr>
    </w:p>
    <w:p w14:paraId="569BB361" w14:textId="09FAA87F" w:rsidR="006A783B" w:rsidRDefault="006A783B" w:rsidP="00E06B4E">
      <w:pPr>
        <w:autoSpaceDE w:val="0"/>
        <w:autoSpaceDN w:val="0"/>
        <w:adjustRightInd w:val="0"/>
        <w:jc w:val="both"/>
        <w:rPr>
          <w:rFonts w:ascii="Arial" w:hAnsi="Arial" w:cs="Arial"/>
          <w:iCs/>
          <w:color w:val="000000"/>
          <w:sz w:val="22"/>
        </w:rPr>
      </w:pPr>
      <w:r w:rsidRPr="007B63BB">
        <w:rPr>
          <w:rFonts w:ascii="Arial" w:hAnsi="Arial" w:cs="Arial"/>
          <w:iCs/>
          <w:color w:val="000000"/>
          <w:sz w:val="22"/>
        </w:rPr>
        <w:t>Finance Training was provided to Members and the Executive Leadership Team by EY. Heads of Service and Budget Managers have received training from the Finance Team.</w:t>
      </w:r>
    </w:p>
    <w:p w14:paraId="701EBFB7" w14:textId="77777777" w:rsidR="007B63BB" w:rsidRPr="007B63BB" w:rsidRDefault="007B63BB" w:rsidP="00E06B4E">
      <w:pPr>
        <w:autoSpaceDE w:val="0"/>
        <w:autoSpaceDN w:val="0"/>
        <w:adjustRightInd w:val="0"/>
        <w:jc w:val="both"/>
        <w:rPr>
          <w:rFonts w:ascii="Arial" w:hAnsi="Arial" w:cs="Arial"/>
          <w:iCs/>
          <w:color w:val="000000"/>
          <w:sz w:val="22"/>
        </w:rPr>
      </w:pPr>
    </w:p>
    <w:p w14:paraId="2E3D838E" w14:textId="66ADB66E" w:rsidR="006A783B" w:rsidRDefault="006A783B" w:rsidP="00E06B4E">
      <w:pPr>
        <w:autoSpaceDE w:val="0"/>
        <w:autoSpaceDN w:val="0"/>
        <w:adjustRightInd w:val="0"/>
        <w:jc w:val="both"/>
        <w:rPr>
          <w:rFonts w:ascii="Arial" w:hAnsi="Arial" w:cs="Arial"/>
          <w:iCs/>
          <w:color w:val="000000"/>
          <w:sz w:val="22"/>
        </w:rPr>
      </w:pPr>
      <w:r w:rsidRPr="007B63BB">
        <w:rPr>
          <w:rFonts w:ascii="Arial" w:hAnsi="Arial" w:cs="Arial"/>
          <w:iCs/>
          <w:color w:val="000000"/>
          <w:sz w:val="22"/>
        </w:rPr>
        <w:t>Finance is a standing item on the agendas for all Directorate meetings, Service Leadership Team and Executive Leadership Team meetings, which are all held monthly. Periodic reports are also considered at Fire Authority, Resource Management Committee and Performance, Audit and Scrutiny Committee.</w:t>
      </w:r>
    </w:p>
    <w:p w14:paraId="313C89FB" w14:textId="77777777" w:rsidR="007B63BB" w:rsidRPr="007B63BB" w:rsidRDefault="007B63BB" w:rsidP="00E06B4E">
      <w:pPr>
        <w:autoSpaceDE w:val="0"/>
        <w:autoSpaceDN w:val="0"/>
        <w:adjustRightInd w:val="0"/>
        <w:jc w:val="both"/>
        <w:rPr>
          <w:rFonts w:ascii="Arial" w:hAnsi="Arial" w:cs="Arial"/>
          <w:iCs/>
          <w:color w:val="000000"/>
          <w:sz w:val="22"/>
        </w:rPr>
      </w:pPr>
    </w:p>
    <w:p w14:paraId="08ECA6F8" w14:textId="77777777" w:rsidR="006A783B" w:rsidRPr="007B63BB" w:rsidRDefault="006A783B" w:rsidP="00E06B4E">
      <w:pPr>
        <w:jc w:val="both"/>
        <w:rPr>
          <w:rFonts w:ascii="Arial" w:hAnsi="Arial" w:cs="Arial"/>
          <w:iCs/>
          <w:color w:val="000000"/>
          <w:sz w:val="22"/>
        </w:rPr>
      </w:pPr>
      <w:r w:rsidRPr="007B63BB">
        <w:rPr>
          <w:rFonts w:ascii="Arial" w:hAnsi="Arial" w:cs="Arial"/>
          <w:iCs/>
          <w:color w:val="000000"/>
          <w:sz w:val="22"/>
        </w:rPr>
        <w:t>An annual review of the Authority’s Code of Corporate Governance is undertaken to ensure compliance.</w:t>
      </w:r>
    </w:p>
    <w:p w14:paraId="79CE3D66" w14:textId="77777777" w:rsidR="006A783B" w:rsidRPr="007B63BB" w:rsidRDefault="006A783B" w:rsidP="00E06B4E">
      <w:pPr>
        <w:jc w:val="both"/>
        <w:rPr>
          <w:rFonts w:ascii="Arial" w:eastAsia="Times New Roman" w:hAnsi="Arial" w:cs="Arial"/>
          <w:sz w:val="22"/>
        </w:rPr>
      </w:pPr>
    </w:p>
    <w:p w14:paraId="781672EE" w14:textId="77777777" w:rsidR="006A783B" w:rsidRPr="004E4C24" w:rsidRDefault="006A783B" w:rsidP="00E06B4E">
      <w:pPr>
        <w:jc w:val="both"/>
        <w:rPr>
          <w:rFonts w:ascii="Arial" w:eastAsia="Times New Roman" w:hAnsi="Arial" w:cs="Arial"/>
          <w:b/>
        </w:rPr>
      </w:pPr>
      <w:r w:rsidRPr="004E4C24">
        <w:rPr>
          <w:rFonts w:ascii="Arial" w:eastAsia="Times New Roman" w:hAnsi="Arial" w:cs="Arial"/>
          <w:b/>
        </w:rPr>
        <w:t>Review of Effectiveness</w:t>
      </w:r>
    </w:p>
    <w:p w14:paraId="1043FE7D" w14:textId="77777777" w:rsidR="006A783B" w:rsidRPr="007B63BB" w:rsidRDefault="006A783B" w:rsidP="00E06B4E">
      <w:pPr>
        <w:jc w:val="both"/>
        <w:rPr>
          <w:rFonts w:ascii="Arial" w:eastAsia="Times New Roman" w:hAnsi="Arial" w:cs="Arial"/>
          <w:sz w:val="22"/>
        </w:rPr>
      </w:pPr>
    </w:p>
    <w:p w14:paraId="1B86B5CA" w14:textId="497FD6FB" w:rsidR="006A783B" w:rsidRDefault="006A783B" w:rsidP="00E06B4E">
      <w:pPr>
        <w:jc w:val="both"/>
        <w:rPr>
          <w:rFonts w:ascii="Arial" w:eastAsia="Times New Roman" w:hAnsi="Arial" w:cs="Arial"/>
          <w:sz w:val="22"/>
        </w:rPr>
      </w:pPr>
      <w:r w:rsidRPr="007B63BB">
        <w:rPr>
          <w:rFonts w:ascii="Arial" w:eastAsia="Times New Roman" w:hAnsi="Arial" w:cs="Arial"/>
          <w:sz w:val="22"/>
        </w:rPr>
        <w:t xml:space="preserve">The Authority has responsibility for conducting, at least annually, a review of the effectiveness of its governance framework including the system of internal control. The review of effectiveness is informed by the work of the Executive Board, and other Senior Officers within the Authority who have responsibility for the development and maintenance of the governance environment. </w:t>
      </w:r>
    </w:p>
    <w:p w14:paraId="4867416C" w14:textId="77777777" w:rsidR="007B63BB" w:rsidRPr="007B63BB" w:rsidRDefault="007B63BB" w:rsidP="00E06B4E">
      <w:pPr>
        <w:jc w:val="both"/>
        <w:rPr>
          <w:rFonts w:ascii="Arial" w:eastAsia="Times New Roman" w:hAnsi="Arial" w:cs="Arial"/>
          <w:sz w:val="22"/>
        </w:rPr>
      </w:pPr>
    </w:p>
    <w:p w14:paraId="19F8B896" w14:textId="3C459E95" w:rsidR="006A783B" w:rsidRDefault="006A783B" w:rsidP="00E06B4E">
      <w:pPr>
        <w:jc w:val="both"/>
        <w:rPr>
          <w:rFonts w:ascii="Arial" w:eastAsia="Times New Roman" w:hAnsi="Arial" w:cs="Arial"/>
          <w:sz w:val="22"/>
        </w:rPr>
      </w:pPr>
      <w:r w:rsidRPr="007B63BB">
        <w:rPr>
          <w:rFonts w:ascii="Arial" w:eastAsia="Times New Roman" w:hAnsi="Arial" w:cs="Arial"/>
          <w:sz w:val="22"/>
        </w:rPr>
        <w:t>The effectiveness of the governance framework draws on evidence and assurances from:</w:t>
      </w:r>
    </w:p>
    <w:p w14:paraId="55E18581" w14:textId="77777777" w:rsidR="007B63BB" w:rsidRPr="007B63BB" w:rsidRDefault="007B63BB" w:rsidP="00E06B4E">
      <w:pPr>
        <w:jc w:val="both"/>
        <w:rPr>
          <w:rFonts w:ascii="Arial" w:eastAsia="Times New Roman" w:hAnsi="Arial" w:cs="Arial"/>
          <w:sz w:val="22"/>
        </w:rPr>
      </w:pPr>
    </w:p>
    <w:p w14:paraId="75CE20CA"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Fire Authority</w:t>
      </w:r>
    </w:p>
    <w:p w14:paraId="7FCCDE77"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Executive Board and Executive Leadership Team</w:t>
      </w:r>
    </w:p>
    <w:p w14:paraId="717F6973"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Scheme of Delegation to Officers</w:t>
      </w:r>
    </w:p>
    <w:p w14:paraId="3FFD421C"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Resource Management Committee (RMC)</w:t>
      </w:r>
    </w:p>
    <w:p w14:paraId="71DE0436"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Performance, Audit and Scrutiny Committee (PASC)</w:t>
      </w:r>
    </w:p>
    <w:p w14:paraId="6D5475DD"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 xml:space="preserve">Internal Audit </w:t>
      </w:r>
    </w:p>
    <w:p w14:paraId="5C3A8F00" w14:textId="77777777" w:rsidR="006A783B" w:rsidRPr="007B63BB" w:rsidRDefault="006A783B" w:rsidP="007B63BB">
      <w:pPr>
        <w:pStyle w:val="ListParagraph"/>
        <w:numPr>
          <w:ilvl w:val="0"/>
          <w:numId w:val="46"/>
        </w:numPr>
        <w:ind w:left="357" w:hanging="357"/>
        <w:jc w:val="both"/>
        <w:rPr>
          <w:rFonts w:ascii="Arial" w:eastAsia="Times New Roman" w:hAnsi="Arial" w:cs="Arial"/>
          <w:sz w:val="22"/>
        </w:rPr>
      </w:pPr>
      <w:r w:rsidRPr="007B63BB">
        <w:rPr>
          <w:rFonts w:ascii="Arial" w:eastAsia="Times New Roman" w:hAnsi="Arial" w:cs="Arial"/>
          <w:sz w:val="22"/>
        </w:rPr>
        <w:t>External Audit</w:t>
      </w:r>
    </w:p>
    <w:p w14:paraId="325DEEF2" w14:textId="77777777" w:rsidR="006A783B" w:rsidRPr="007B63BB" w:rsidRDefault="006A783B" w:rsidP="00E06B4E">
      <w:pPr>
        <w:jc w:val="both"/>
        <w:rPr>
          <w:rFonts w:ascii="Arial" w:eastAsia="Times New Roman" w:hAnsi="Arial" w:cs="Arial"/>
        </w:rPr>
      </w:pPr>
    </w:p>
    <w:p w14:paraId="58A47E53" w14:textId="7A862ADC" w:rsidR="006A783B" w:rsidRDefault="006A783B" w:rsidP="00E06B4E">
      <w:pPr>
        <w:autoSpaceDE w:val="0"/>
        <w:autoSpaceDN w:val="0"/>
        <w:adjustRightInd w:val="0"/>
        <w:jc w:val="both"/>
        <w:rPr>
          <w:rFonts w:ascii="Arial" w:hAnsi="Arial" w:cs="Arial"/>
          <w:b/>
          <w:color w:val="000000"/>
        </w:rPr>
      </w:pPr>
      <w:r w:rsidRPr="004E4C24">
        <w:rPr>
          <w:rFonts w:ascii="Arial" w:hAnsi="Arial" w:cs="Arial"/>
          <w:b/>
          <w:color w:val="000000"/>
        </w:rPr>
        <w:t xml:space="preserve">Internal Audit </w:t>
      </w:r>
    </w:p>
    <w:p w14:paraId="08274179" w14:textId="77777777" w:rsidR="007B63BB" w:rsidRPr="00A5579B" w:rsidRDefault="007B63BB" w:rsidP="00E06B4E">
      <w:pPr>
        <w:autoSpaceDE w:val="0"/>
        <w:autoSpaceDN w:val="0"/>
        <w:adjustRightInd w:val="0"/>
        <w:jc w:val="both"/>
        <w:rPr>
          <w:rFonts w:ascii="Arial" w:hAnsi="Arial" w:cs="Arial"/>
          <w:b/>
          <w:color w:val="000000"/>
          <w:sz w:val="22"/>
        </w:rPr>
      </w:pPr>
    </w:p>
    <w:p w14:paraId="398F09C6"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Carmarthenshire County Council Internal Audit Section have provided the Internal Audit function for Mid and West Wales Fire and Rescue since Local Government reorganisation in 1996. In 2017/18 a revised 3-year audit programme was agreed that allowed for enhanced robustness going forward. </w:t>
      </w:r>
    </w:p>
    <w:p w14:paraId="3F76BFAE"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49A44C61"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In accordance with the Accounts and Audit Regulations 2015 and the Public Sector Internal Auditing Standards, the Audit Manager is required to provide an opinion on the overall adequacy and effectiveness of the Authority’s risk management, control, counter fraud and governance processes.</w:t>
      </w:r>
    </w:p>
    <w:p w14:paraId="1A0899EC"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5705AB3B"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Detailed internal audits have been undertaken, examining some of the areas of higher risk, as prioritised by the Director of Resources. Internal Audits for the following areas have been completed: Main Accounting, Budget Monitoring and Budget Manual Compliance, and Payroll System. These audits have been positive, showing no fundamental control issues, and have been reported to the Authority’s PASC.</w:t>
      </w:r>
    </w:p>
    <w:p w14:paraId="0F86CEA1"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41B1A1F2"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It is anticipated that the Internal audit programme for 2018/19 will be completed in July 2019. </w:t>
      </w:r>
    </w:p>
    <w:p w14:paraId="569EA83D"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1FA91882"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For 2018/19 the Head of Internal Audit has provided an opinion “that the Authority has an ’acceptable’ control environment in operation in respect of fundamental financial systems reviewed. There are clear Governance arrangements with defined Management responsibilities and Committee Structures in place and the control framework is generally sound and operated reasonably consistently. The Authority has an established Constitution, has developed Policies and approved Financial Procedure Rules that provide advice and guidance to all staff and members.” </w:t>
      </w:r>
    </w:p>
    <w:p w14:paraId="351DFFBB"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5AE86DDE"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The Authority’s risk management, control, counter fraud and governance processes, in operation during the year to 31 March 2018, were found to be generally in accord with proper practice and are fundamentally sound, although there are opportunities to improve the arrangements to enhance the Authority’s governance framework. These recommendations from Internal Audit are being addressed via internal departmental action plans as applicable. Full details of the assurance provided by the Audit Manager along with plans to address the recommendations is detailed within the Internal Audit Annual Report for 2017/18.</w:t>
      </w:r>
    </w:p>
    <w:p w14:paraId="21CBBBB0"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3BE910E5"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The Authority is fully compliant with the seven principles that define the core activities and behaviours that belong to the role of the Head of Internal Audit in local government.</w:t>
      </w:r>
    </w:p>
    <w:p w14:paraId="773A0465" w14:textId="77777777" w:rsidR="006A783B" w:rsidRPr="00A5579B" w:rsidRDefault="006A783B" w:rsidP="00E06B4E">
      <w:pPr>
        <w:autoSpaceDE w:val="0"/>
        <w:autoSpaceDN w:val="0"/>
        <w:adjustRightInd w:val="0"/>
        <w:jc w:val="both"/>
        <w:rPr>
          <w:rFonts w:ascii="Arial" w:eastAsia="Times New Roman" w:hAnsi="Arial" w:cs="Arial"/>
          <w:color w:val="000000"/>
        </w:rPr>
      </w:pPr>
    </w:p>
    <w:p w14:paraId="07C7836B" w14:textId="47CB9BBA" w:rsidR="006A783B" w:rsidRDefault="006A783B" w:rsidP="00E06B4E">
      <w:pPr>
        <w:autoSpaceDE w:val="0"/>
        <w:autoSpaceDN w:val="0"/>
        <w:adjustRightInd w:val="0"/>
        <w:jc w:val="both"/>
        <w:rPr>
          <w:rFonts w:ascii="Arial" w:hAnsi="Arial" w:cs="Arial"/>
          <w:b/>
          <w:color w:val="000000"/>
        </w:rPr>
      </w:pPr>
      <w:r w:rsidRPr="004E4C24">
        <w:rPr>
          <w:rFonts w:ascii="Arial" w:hAnsi="Arial" w:cs="Arial"/>
          <w:b/>
          <w:color w:val="000000"/>
        </w:rPr>
        <w:t xml:space="preserve">External Audit </w:t>
      </w:r>
    </w:p>
    <w:p w14:paraId="6921FDB1" w14:textId="77777777" w:rsidR="007B63BB" w:rsidRPr="007B63BB" w:rsidRDefault="007B63BB" w:rsidP="00E06B4E">
      <w:pPr>
        <w:autoSpaceDE w:val="0"/>
        <w:autoSpaceDN w:val="0"/>
        <w:adjustRightInd w:val="0"/>
        <w:jc w:val="both"/>
        <w:rPr>
          <w:rFonts w:ascii="Arial" w:hAnsi="Arial" w:cs="Arial"/>
          <w:b/>
          <w:color w:val="000000"/>
          <w:sz w:val="22"/>
        </w:rPr>
      </w:pPr>
    </w:p>
    <w:p w14:paraId="0C094291" w14:textId="07D7A31D" w:rsidR="006A783B" w:rsidRDefault="006A783B" w:rsidP="00E06B4E">
      <w:pPr>
        <w:autoSpaceDE w:val="0"/>
        <w:autoSpaceDN w:val="0"/>
        <w:adjustRightInd w:val="0"/>
        <w:jc w:val="both"/>
        <w:rPr>
          <w:rFonts w:ascii="Arial" w:hAnsi="Arial" w:cs="Arial"/>
          <w:color w:val="000000"/>
          <w:sz w:val="22"/>
        </w:rPr>
      </w:pPr>
      <w:r w:rsidRPr="007B63BB">
        <w:rPr>
          <w:rFonts w:ascii="Arial" w:hAnsi="Arial" w:cs="Arial"/>
          <w:color w:val="000000"/>
          <w:sz w:val="22"/>
        </w:rPr>
        <w:t>The WAO as external auditor to the Authority reviews and comments on the financial aspects of Corporate Governance which includes the legality of financial transactions, systems of Internal Financial Control and standards of financial conduct, and fraud and corruption.</w:t>
      </w:r>
    </w:p>
    <w:p w14:paraId="76993D17" w14:textId="77777777" w:rsidR="00A5579B" w:rsidRPr="007B63BB" w:rsidRDefault="00A5579B" w:rsidP="00E06B4E">
      <w:pPr>
        <w:autoSpaceDE w:val="0"/>
        <w:autoSpaceDN w:val="0"/>
        <w:adjustRightInd w:val="0"/>
        <w:jc w:val="both"/>
        <w:rPr>
          <w:rFonts w:ascii="Arial" w:hAnsi="Arial" w:cs="Arial"/>
          <w:color w:val="000000"/>
          <w:sz w:val="22"/>
        </w:rPr>
      </w:pPr>
    </w:p>
    <w:p w14:paraId="5A4B6BF9" w14:textId="77777777" w:rsidR="006A783B" w:rsidRPr="007B63BB" w:rsidRDefault="006A783B" w:rsidP="00E06B4E">
      <w:pPr>
        <w:autoSpaceDE w:val="0"/>
        <w:autoSpaceDN w:val="0"/>
        <w:adjustRightInd w:val="0"/>
        <w:jc w:val="both"/>
        <w:rPr>
          <w:rFonts w:ascii="Arial" w:eastAsia="Times New Roman" w:hAnsi="Arial" w:cs="Arial"/>
          <w:sz w:val="22"/>
        </w:rPr>
      </w:pPr>
      <w:r w:rsidRPr="007B63BB">
        <w:rPr>
          <w:rFonts w:ascii="Arial" w:eastAsia="Times New Roman" w:hAnsi="Arial" w:cs="Arial"/>
          <w:color w:val="000000"/>
          <w:sz w:val="22"/>
        </w:rPr>
        <w:t xml:space="preserve">During 2018/19 the Authority presented three sets of unaudited Statement of Accounts (2015/16, 2016/17 and 2017/18) to WAO for Audit. </w:t>
      </w:r>
      <w:r w:rsidRPr="007B63BB">
        <w:rPr>
          <w:rFonts w:ascii="Arial" w:eastAsia="Times New Roman" w:hAnsi="Arial" w:cs="Arial"/>
          <w:sz w:val="22"/>
        </w:rPr>
        <w:t xml:space="preserve">WAO’s audit of the 2015/16 accounts was a qualified opinion due to a lack of </w:t>
      </w:r>
      <w:proofErr w:type="gramStart"/>
      <w:r w:rsidRPr="007B63BB">
        <w:rPr>
          <w:rFonts w:ascii="Arial" w:eastAsia="Times New Roman" w:hAnsi="Arial" w:cs="Arial"/>
          <w:sz w:val="22"/>
        </w:rPr>
        <w:t>sufficient</w:t>
      </w:r>
      <w:proofErr w:type="gramEnd"/>
      <w:r w:rsidRPr="007B63BB">
        <w:rPr>
          <w:rFonts w:ascii="Arial" w:eastAsia="Times New Roman" w:hAnsi="Arial" w:cs="Arial"/>
          <w:sz w:val="22"/>
        </w:rPr>
        <w:t xml:space="preserve"> appropriate evidence to support some of the classifications in the financial statements. However, both 2016/17 and 2017/18 were unqualified. This represents a significant improvement in the financial management arrangements of the Authority.</w:t>
      </w:r>
    </w:p>
    <w:p w14:paraId="1A7A0B3F" w14:textId="77777777" w:rsidR="006A783B" w:rsidRPr="007B63BB" w:rsidRDefault="006A783B" w:rsidP="00E06B4E">
      <w:pPr>
        <w:autoSpaceDE w:val="0"/>
        <w:autoSpaceDN w:val="0"/>
        <w:adjustRightInd w:val="0"/>
        <w:jc w:val="both"/>
        <w:rPr>
          <w:rFonts w:ascii="Arial" w:eastAsia="Times New Roman" w:hAnsi="Arial" w:cs="Arial"/>
          <w:sz w:val="22"/>
        </w:rPr>
      </w:pPr>
    </w:p>
    <w:p w14:paraId="570E36EB" w14:textId="77777777" w:rsidR="006A783B" w:rsidRPr="007B63BB" w:rsidRDefault="006A783B" w:rsidP="00E06B4E">
      <w:pPr>
        <w:autoSpaceDE w:val="0"/>
        <w:autoSpaceDN w:val="0"/>
        <w:adjustRightInd w:val="0"/>
        <w:jc w:val="both"/>
        <w:rPr>
          <w:rFonts w:ascii="Arial" w:eastAsia="Times New Roman" w:hAnsi="Arial" w:cs="Arial"/>
          <w:sz w:val="22"/>
        </w:rPr>
      </w:pPr>
      <w:r w:rsidRPr="007B63BB">
        <w:rPr>
          <w:rFonts w:ascii="Arial" w:eastAsia="Times New Roman" w:hAnsi="Arial" w:cs="Arial"/>
          <w:sz w:val="22"/>
        </w:rPr>
        <w:t xml:space="preserve">Examination by external and internal audit of the management information, financial procedure rules and financial instructions, contract standing orders, administrative arrangements (including segregation of duties) and management supervision have in the main given general assurance regarding the control and proper administration of the Authority’s financial affairs. </w:t>
      </w:r>
    </w:p>
    <w:p w14:paraId="575DB6B4" w14:textId="77777777" w:rsidR="006A783B" w:rsidRPr="007B63BB" w:rsidRDefault="006A783B" w:rsidP="00E06B4E">
      <w:pPr>
        <w:autoSpaceDE w:val="0"/>
        <w:autoSpaceDN w:val="0"/>
        <w:adjustRightInd w:val="0"/>
        <w:jc w:val="both"/>
        <w:rPr>
          <w:rFonts w:ascii="Arial" w:eastAsia="Times New Roman" w:hAnsi="Arial" w:cs="Arial"/>
          <w:color w:val="000000"/>
          <w:sz w:val="22"/>
          <w:u w:val="single"/>
        </w:rPr>
      </w:pPr>
    </w:p>
    <w:p w14:paraId="4136EF5B" w14:textId="580E684F" w:rsidR="006A783B" w:rsidRDefault="006A783B" w:rsidP="00E06B4E">
      <w:pPr>
        <w:autoSpaceDE w:val="0"/>
        <w:autoSpaceDN w:val="0"/>
        <w:adjustRightInd w:val="0"/>
        <w:jc w:val="both"/>
        <w:rPr>
          <w:rFonts w:ascii="Arial" w:eastAsia="Times New Roman" w:hAnsi="Arial" w:cs="Arial"/>
          <w:color w:val="000000"/>
          <w:u w:val="single"/>
        </w:rPr>
      </w:pPr>
      <w:r w:rsidRPr="004E4C24">
        <w:rPr>
          <w:rFonts w:ascii="Arial" w:hAnsi="Arial" w:cs="Arial"/>
          <w:b/>
          <w:color w:val="000000"/>
        </w:rPr>
        <w:t>Strategic and Service Director Assurances</w:t>
      </w:r>
      <w:r w:rsidRPr="004E4C24">
        <w:rPr>
          <w:rFonts w:ascii="Arial" w:eastAsia="Times New Roman" w:hAnsi="Arial" w:cs="Arial"/>
          <w:color w:val="000000"/>
          <w:u w:val="single"/>
        </w:rPr>
        <w:t xml:space="preserve"> </w:t>
      </w:r>
    </w:p>
    <w:p w14:paraId="3BC485F3" w14:textId="77777777" w:rsidR="007B63BB" w:rsidRPr="007B63BB" w:rsidRDefault="007B63BB" w:rsidP="00E06B4E">
      <w:pPr>
        <w:autoSpaceDE w:val="0"/>
        <w:autoSpaceDN w:val="0"/>
        <w:adjustRightInd w:val="0"/>
        <w:jc w:val="both"/>
        <w:rPr>
          <w:rFonts w:ascii="Arial" w:eastAsia="Times New Roman" w:hAnsi="Arial" w:cs="Arial"/>
          <w:color w:val="000000"/>
          <w:sz w:val="22"/>
          <w:u w:val="single"/>
        </w:rPr>
      </w:pPr>
    </w:p>
    <w:p w14:paraId="73895956"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Authority has responsibility for conducting an annual review of the effectiveness of its governance framework. The review of effectiveness is informed by the work of the Senior Managers responsible for the development and maintenance of the governance environment, the Corporate Communications and Business Development department and by comments made by the External Auditors and other review agencies. </w:t>
      </w:r>
    </w:p>
    <w:p w14:paraId="77352BEE"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4DE334AF"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CIPFA Statement on the Role of the Chief Financial Officer (CFO) in Local Government (2016) demands that assurance is provided on several governance arrangements relating to the organisation including financial control, reporting, approach to decision making, compliance with relevant codes and the influence of the Chief Finance Officer within the organisation. These have been considered within the context of this Statement and it has been established that the Authority’s arrangements conform to the CIPFA requirements. </w:t>
      </w:r>
    </w:p>
    <w:p w14:paraId="2068F4B8"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7580F3D5"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Section 151 responsibilities are met via a Service Level Agreement that the Service has in place with Carmarthenshire County Council. In appointing a Section 151 Officer via the Service Level Agreement,</w:t>
      </w:r>
      <w:r w:rsidRPr="007B63BB">
        <w:rPr>
          <w:rFonts w:ascii="Arial" w:eastAsia="Times New Roman" w:hAnsi="Arial" w:cs="Arial"/>
          <w:color w:val="000000" w:themeColor="text1"/>
          <w:sz w:val="22"/>
          <w:lang w:eastAsia="en-GB"/>
        </w:rPr>
        <w:t xml:space="preserve"> </w:t>
      </w:r>
      <w:r w:rsidRPr="007B63BB">
        <w:rPr>
          <w:rFonts w:ascii="Arial" w:eastAsia="Times New Roman" w:hAnsi="Arial" w:cs="Arial"/>
          <w:color w:val="000000"/>
          <w:sz w:val="22"/>
        </w:rPr>
        <w:t xml:space="preserve">the Authority ensures a resilient approach to statutory responsibilities for MAWWFRA and allows for alignment with the existing practices within Carmarthenshire County Council as well as a continuation of services. </w:t>
      </w:r>
    </w:p>
    <w:p w14:paraId="6F172D09"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2125B3F2" w14:textId="77777777" w:rsidR="00A5579B" w:rsidRDefault="00A5579B">
      <w:pPr>
        <w:rPr>
          <w:rFonts w:ascii="Arial" w:eastAsia="Times New Roman" w:hAnsi="Arial" w:cs="Arial"/>
          <w:color w:val="000000"/>
          <w:sz w:val="22"/>
        </w:rPr>
      </w:pPr>
      <w:r>
        <w:rPr>
          <w:rFonts w:ascii="Arial" w:eastAsia="Times New Roman" w:hAnsi="Arial" w:cs="Arial"/>
          <w:color w:val="000000"/>
          <w:sz w:val="22"/>
        </w:rPr>
        <w:br w:type="page"/>
      </w:r>
    </w:p>
    <w:p w14:paraId="67279972" w14:textId="6FC985FA"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Authority has in place, via Internal Audit, a comprehensive assurance assessment process to ensure that the electronic data is secure and configured to current best practice to protect the organisation. The results of these assurances provide a positive opinion, but there are opportunities for improving the internal control environment to further mitigate risks. </w:t>
      </w:r>
    </w:p>
    <w:p w14:paraId="753688E5"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482EBB44" w14:textId="77777777" w:rsidR="006A783B" w:rsidRPr="007B63BB" w:rsidRDefault="006A783B" w:rsidP="00E06B4E">
      <w:pPr>
        <w:autoSpaceDE w:val="0"/>
        <w:autoSpaceDN w:val="0"/>
        <w:adjustRightInd w:val="0"/>
        <w:jc w:val="both"/>
        <w:rPr>
          <w:rFonts w:ascii="Arial" w:eastAsia="Times New Roman" w:hAnsi="Arial" w:cs="Arial"/>
          <w:b/>
          <w:color w:val="000000"/>
          <w:sz w:val="22"/>
        </w:rPr>
      </w:pPr>
      <w:r w:rsidRPr="007B63BB">
        <w:rPr>
          <w:rFonts w:ascii="Arial" w:eastAsia="Times New Roman" w:hAnsi="Arial" w:cs="Arial"/>
          <w:color w:val="000000"/>
          <w:sz w:val="22"/>
        </w:rPr>
        <w:t xml:space="preserve">The enhanced Internal Audit programme referred to in earlier paragraphs obtained assurances from the Executive Directors around the arrangements for managing their recognised core risk areas. This reflects the Executive Directors responsibilities for both the management of risk and the effectiveness of controls. These discussions were also informed by the regular assurance reports presented to PASC by the Section 151 Officer and Monitoring Officer. </w:t>
      </w:r>
    </w:p>
    <w:p w14:paraId="43D30621"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119F0572" w14:textId="7D53A0A7" w:rsidR="006A783B" w:rsidRDefault="006A783B" w:rsidP="00E06B4E">
      <w:pPr>
        <w:autoSpaceDE w:val="0"/>
        <w:autoSpaceDN w:val="0"/>
        <w:adjustRightInd w:val="0"/>
        <w:jc w:val="both"/>
        <w:rPr>
          <w:rFonts w:ascii="Arial" w:eastAsia="Times New Roman" w:hAnsi="Arial" w:cs="Arial"/>
          <w:b/>
          <w:color w:val="000000"/>
        </w:rPr>
      </w:pPr>
      <w:r w:rsidRPr="004E4C24">
        <w:rPr>
          <w:rFonts w:ascii="Arial" w:eastAsia="Times New Roman" w:hAnsi="Arial" w:cs="Arial"/>
          <w:b/>
          <w:color w:val="000000"/>
        </w:rPr>
        <w:t>Governance issues to be addressed</w:t>
      </w:r>
    </w:p>
    <w:p w14:paraId="0C471DA8" w14:textId="77777777" w:rsidR="007B63BB" w:rsidRPr="007B63BB" w:rsidRDefault="007B63BB" w:rsidP="00E06B4E">
      <w:pPr>
        <w:autoSpaceDE w:val="0"/>
        <w:autoSpaceDN w:val="0"/>
        <w:adjustRightInd w:val="0"/>
        <w:jc w:val="both"/>
        <w:rPr>
          <w:rFonts w:ascii="Arial" w:eastAsia="Times New Roman" w:hAnsi="Arial" w:cs="Arial"/>
          <w:b/>
          <w:color w:val="000000"/>
          <w:sz w:val="22"/>
        </w:rPr>
      </w:pPr>
    </w:p>
    <w:p w14:paraId="1CA097A5"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following additional Governance issues need to be considered and addressed during the next 12 months. </w:t>
      </w:r>
    </w:p>
    <w:p w14:paraId="57E65561"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3A664C2C" w14:textId="3E750296" w:rsidR="006A783B" w:rsidRDefault="006A783B" w:rsidP="007B63BB">
      <w:pPr>
        <w:pStyle w:val="ListParagraph"/>
        <w:numPr>
          <w:ilvl w:val="0"/>
          <w:numId w:val="45"/>
        </w:numPr>
        <w:autoSpaceDE w:val="0"/>
        <w:autoSpaceDN w:val="0"/>
        <w:adjustRightInd w:val="0"/>
        <w:ind w:left="357" w:hanging="357"/>
        <w:jc w:val="both"/>
        <w:rPr>
          <w:rFonts w:ascii="Arial" w:eastAsia="Times New Roman" w:hAnsi="Arial" w:cs="Arial"/>
          <w:color w:val="000000"/>
          <w:sz w:val="22"/>
        </w:rPr>
      </w:pPr>
      <w:r w:rsidRPr="007B63BB">
        <w:rPr>
          <w:rFonts w:ascii="Arial" w:eastAsia="Times New Roman" w:hAnsi="Arial" w:cs="Arial"/>
          <w:color w:val="000000"/>
          <w:sz w:val="22"/>
        </w:rPr>
        <w:t>Complete any remaining outstanding actions from the Governance Assurance recommendations outlined within the action plan from 2017/18. An update on the 2017/18 Action Plan is included at Appendix 1.</w:t>
      </w:r>
    </w:p>
    <w:p w14:paraId="0184F6F9" w14:textId="1F834745" w:rsidR="006A783B" w:rsidRDefault="006A783B" w:rsidP="007B63BB">
      <w:pPr>
        <w:pStyle w:val="ListParagraph"/>
        <w:numPr>
          <w:ilvl w:val="0"/>
          <w:numId w:val="45"/>
        </w:numPr>
        <w:autoSpaceDE w:val="0"/>
        <w:autoSpaceDN w:val="0"/>
        <w:adjustRightInd w:val="0"/>
        <w:ind w:left="357" w:hanging="357"/>
        <w:jc w:val="both"/>
        <w:rPr>
          <w:rFonts w:ascii="Arial" w:eastAsia="Times New Roman" w:hAnsi="Arial" w:cs="Arial"/>
          <w:color w:val="000000"/>
          <w:sz w:val="22"/>
        </w:rPr>
      </w:pPr>
      <w:r w:rsidRPr="007B63BB">
        <w:rPr>
          <w:rFonts w:ascii="Arial" w:eastAsia="Times New Roman" w:hAnsi="Arial" w:cs="Arial"/>
          <w:color w:val="000000"/>
          <w:sz w:val="22"/>
        </w:rPr>
        <w:t>To reflect on recommendations from internal audit and build into action plans where appropriate.</w:t>
      </w:r>
    </w:p>
    <w:p w14:paraId="650370C4" w14:textId="41E98896" w:rsidR="006A783B" w:rsidRDefault="006A783B" w:rsidP="007B63BB">
      <w:pPr>
        <w:pStyle w:val="ListParagraph"/>
        <w:numPr>
          <w:ilvl w:val="0"/>
          <w:numId w:val="45"/>
        </w:numPr>
        <w:autoSpaceDE w:val="0"/>
        <w:autoSpaceDN w:val="0"/>
        <w:adjustRightInd w:val="0"/>
        <w:ind w:left="357" w:hanging="357"/>
        <w:jc w:val="both"/>
        <w:rPr>
          <w:rFonts w:ascii="Arial" w:eastAsia="Times New Roman" w:hAnsi="Arial" w:cs="Arial"/>
          <w:color w:val="000000"/>
          <w:sz w:val="22"/>
        </w:rPr>
      </w:pPr>
      <w:r w:rsidRPr="007B63BB">
        <w:rPr>
          <w:rFonts w:ascii="Arial" w:eastAsia="Times New Roman" w:hAnsi="Arial" w:cs="Arial"/>
          <w:color w:val="000000"/>
          <w:sz w:val="22"/>
        </w:rPr>
        <w:t>To reflect on recommendations from external audit and build into action plans where appropriate.</w:t>
      </w:r>
    </w:p>
    <w:p w14:paraId="500A05E4" w14:textId="40539368" w:rsidR="006A783B" w:rsidRDefault="006A783B" w:rsidP="007B63BB">
      <w:pPr>
        <w:pStyle w:val="ListParagraph"/>
        <w:numPr>
          <w:ilvl w:val="0"/>
          <w:numId w:val="45"/>
        </w:numPr>
        <w:autoSpaceDE w:val="0"/>
        <w:autoSpaceDN w:val="0"/>
        <w:adjustRightInd w:val="0"/>
        <w:ind w:left="357" w:hanging="357"/>
        <w:jc w:val="both"/>
        <w:rPr>
          <w:rFonts w:ascii="Arial" w:eastAsia="Times New Roman" w:hAnsi="Arial" w:cs="Arial"/>
          <w:color w:val="000000"/>
          <w:sz w:val="22"/>
        </w:rPr>
      </w:pPr>
      <w:r w:rsidRPr="007B63BB">
        <w:rPr>
          <w:rFonts w:ascii="Arial" w:eastAsia="Times New Roman" w:hAnsi="Arial" w:cs="Arial"/>
          <w:color w:val="000000"/>
          <w:sz w:val="22"/>
        </w:rPr>
        <w:t xml:space="preserve">Establish the Code of Corporate Governance as a standing agenda item on the Business Risk Management Group Agenda to ensure progress and key issues associated with the Code of Corporate Governance is monitored by Senior Officers and Member representatives.  </w:t>
      </w:r>
    </w:p>
    <w:p w14:paraId="2B90D658" w14:textId="77777777" w:rsidR="006A783B" w:rsidRPr="007B63BB" w:rsidRDefault="006A783B" w:rsidP="007B63BB">
      <w:pPr>
        <w:pStyle w:val="ListParagraph"/>
        <w:numPr>
          <w:ilvl w:val="0"/>
          <w:numId w:val="45"/>
        </w:numPr>
        <w:autoSpaceDE w:val="0"/>
        <w:autoSpaceDN w:val="0"/>
        <w:adjustRightInd w:val="0"/>
        <w:ind w:left="357" w:hanging="357"/>
        <w:jc w:val="both"/>
        <w:rPr>
          <w:rFonts w:ascii="Arial" w:eastAsia="Times New Roman" w:hAnsi="Arial" w:cs="Arial"/>
          <w:color w:val="000000"/>
          <w:sz w:val="22"/>
        </w:rPr>
      </w:pPr>
      <w:r w:rsidRPr="007B63BB">
        <w:rPr>
          <w:rFonts w:ascii="Arial" w:eastAsia="Times New Roman" w:hAnsi="Arial" w:cs="Arial"/>
          <w:color w:val="000000"/>
          <w:sz w:val="22"/>
        </w:rPr>
        <w:t xml:space="preserve">Review and revise the Constitution. </w:t>
      </w:r>
    </w:p>
    <w:p w14:paraId="6E7BB1A0" w14:textId="77777777" w:rsidR="006A783B" w:rsidRPr="007B63BB" w:rsidRDefault="006A783B" w:rsidP="00E06B4E">
      <w:pPr>
        <w:pStyle w:val="ListParagraph"/>
        <w:autoSpaceDE w:val="0"/>
        <w:autoSpaceDN w:val="0"/>
        <w:adjustRightInd w:val="0"/>
        <w:ind w:left="0"/>
        <w:jc w:val="both"/>
        <w:rPr>
          <w:rFonts w:ascii="Arial" w:eastAsia="Times New Roman" w:hAnsi="Arial" w:cs="Arial"/>
          <w:color w:val="000000"/>
          <w:sz w:val="22"/>
        </w:rPr>
      </w:pPr>
    </w:p>
    <w:p w14:paraId="1A5A4827" w14:textId="77777777" w:rsidR="006A783B" w:rsidRPr="007B63BB" w:rsidRDefault="006A783B" w:rsidP="00E06B4E">
      <w:pPr>
        <w:autoSpaceDE w:val="0"/>
        <w:autoSpaceDN w:val="0"/>
        <w:adjustRightInd w:val="0"/>
        <w:jc w:val="both"/>
        <w:rPr>
          <w:rFonts w:ascii="Arial" w:eastAsia="Times New Roman" w:hAnsi="Arial" w:cs="Arial"/>
          <w:b/>
          <w:color w:val="000000"/>
          <w:sz w:val="22"/>
        </w:rPr>
      </w:pPr>
      <w:r w:rsidRPr="007B63BB">
        <w:rPr>
          <w:rFonts w:ascii="Arial" w:eastAsia="Times New Roman" w:hAnsi="Arial" w:cs="Arial"/>
          <w:color w:val="000000"/>
          <w:sz w:val="22"/>
        </w:rPr>
        <w:t>We propose, over the coming year to take actions relating to the above matters in order to further enhance our Governance arrangements. An Action Plan summarising the above Actions, Responsible Officers and Target Dates is attached at Appendix 2. We are satisfied that these steps will address the need for improvements and will monitor their implementation as part of our next annual review.</w:t>
      </w:r>
    </w:p>
    <w:p w14:paraId="148ED1EB" w14:textId="77777777" w:rsidR="006A783B" w:rsidRPr="004E4C24" w:rsidRDefault="006A783B" w:rsidP="00E06B4E">
      <w:pPr>
        <w:autoSpaceDE w:val="0"/>
        <w:autoSpaceDN w:val="0"/>
        <w:adjustRightInd w:val="0"/>
        <w:jc w:val="both"/>
        <w:rPr>
          <w:rFonts w:ascii="Arial" w:eastAsia="Times New Roman" w:hAnsi="Arial" w:cs="Arial"/>
          <w:b/>
          <w:color w:val="000000"/>
        </w:rPr>
      </w:pPr>
    </w:p>
    <w:p w14:paraId="4617DE5E" w14:textId="77777777" w:rsidR="006A783B" w:rsidRPr="004E4C24" w:rsidRDefault="006A783B" w:rsidP="00E06B4E">
      <w:pPr>
        <w:autoSpaceDE w:val="0"/>
        <w:autoSpaceDN w:val="0"/>
        <w:adjustRightInd w:val="0"/>
        <w:jc w:val="both"/>
        <w:rPr>
          <w:rFonts w:ascii="Arial" w:eastAsia="Times New Roman" w:hAnsi="Arial" w:cs="Arial"/>
          <w:b/>
          <w:color w:val="000000"/>
        </w:rPr>
      </w:pPr>
      <w:r w:rsidRPr="004E4C24">
        <w:rPr>
          <w:rFonts w:ascii="Arial" w:eastAsia="Times New Roman" w:hAnsi="Arial" w:cs="Arial"/>
          <w:b/>
          <w:color w:val="000000"/>
        </w:rPr>
        <w:t>The Governance Statement</w:t>
      </w:r>
    </w:p>
    <w:p w14:paraId="1CBA8641" w14:textId="77777777" w:rsidR="006A783B" w:rsidRPr="007B63BB" w:rsidRDefault="006A783B" w:rsidP="00E06B4E">
      <w:pPr>
        <w:autoSpaceDE w:val="0"/>
        <w:autoSpaceDN w:val="0"/>
        <w:adjustRightInd w:val="0"/>
        <w:jc w:val="both"/>
        <w:rPr>
          <w:rFonts w:ascii="Arial" w:eastAsia="Times New Roman" w:hAnsi="Arial" w:cs="Arial"/>
          <w:color w:val="000000"/>
          <w:sz w:val="22"/>
        </w:rPr>
      </w:pPr>
    </w:p>
    <w:p w14:paraId="3ABD37BE" w14:textId="77777777" w:rsidR="006A783B" w:rsidRPr="007B63BB" w:rsidRDefault="006A783B" w:rsidP="00E06B4E">
      <w:pPr>
        <w:autoSpaceDE w:val="0"/>
        <w:autoSpaceDN w:val="0"/>
        <w:adjustRightInd w:val="0"/>
        <w:jc w:val="both"/>
        <w:rPr>
          <w:rFonts w:ascii="Arial" w:eastAsia="Times New Roman" w:hAnsi="Arial" w:cs="Arial"/>
          <w:color w:val="000000"/>
          <w:sz w:val="22"/>
        </w:rPr>
      </w:pPr>
      <w:r w:rsidRPr="007B63BB">
        <w:rPr>
          <w:rFonts w:ascii="Arial" w:eastAsia="Times New Roman" w:hAnsi="Arial" w:cs="Arial"/>
          <w:color w:val="000000"/>
          <w:sz w:val="22"/>
        </w:rPr>
        <w:t xml:space="preserve">The Authority considers that its governance arrangements for 2018/19 continue to be regarded as fit for purpose. The Authority’s Code of Corporate Governance sets out in detail the Authority’s Governance Framework, which is consistent with the Delivering Good Governance in Local Government 2016. The Authority has assessed and can confirm that the arrangements detailed within the Code are in place. </w:t>
      </w:r>
    </w:p>
    <w:p w14:paraId="08103C7C" w14:textId="77777777" w:rsidR="006A783B" w:rsidRPr="007B63BB" w:rsidRDefault="006A783B" w:rsidP="00E06B4E">
      <w:pPr>
        <w:autoSpaceDE w:val="0"/>
        <w:autoSpaceDN w:val="0"/>
        <w:adjustRightInd w:val="0"/>
        <w:jc w:val="both"/>
        <w:rPr>
          <w:rFonts w:ascii="Arial" w:eastAsia="Times New Roman" w:hAnsi="Arial" w:cs="Arial"/>
          <w:sz w:val="22"/>
        </w:rPr>
      </w:pPr>
    </w:p>
    <w:p w14:paraId="71ED06F5" w14:textId="77777777" w:rsidR="006A783B" w:rsidRPr="007B63BB" w:rsidRDefault="006A783B" w:rsidP="00E06B4E">
      <w:pPr>
        <w:autoSpaceDE w:val="0"/>
        <w:autoSpaceDN w:val="0"/>
        <w:adjustRightInd w:val="0"/>
        <w:jc w:val="both"/>
        <w:rPr>
          <w:rFonts w:ascii="Arial" w:eastAsia="Times New Roman" w:hAnsi="Arial" w:cs="Arial"/>
          <w:sz w:val="22"/>
        </w:rPr>
      </w:pPr>
      <w:r w:rsidRPr="007B63BB">
        <w:rPr>
          <w:rFonts w:ascii="Arial" w:eastAsia="Times New Roman" w:hAnsi="Arial" w:cs="Arial"/>
          <w:sz w:val="22"/>
        </w:rPr>
        <w:t>It is the view therefore of the Clerk and the Section 151 Officer, that the review of the governance arrangements for the financial year 2018/19 has in the main been satisfactory. We believe that the evidence provided demonstrates that the Corporate Governance in this organisation is effective, existing arrangements are fit for purpose, and the Authority is well placed to meet its corporate aims, to achieve its intended outcomes for citizens and service users. The organisation operates in an economical, effective, efficient and ethical manner.</w:t>
      </w:r>
    </w:p>
    <w:p w14:paraId="2D30E1C3" w14:textId="77777777" w:rsidR="006A783B" w:rsidRPr="007B63BB" w:rsidRDefault="006A783B" w:rsidP="00E06B4E">
      <w:pPr>
        <w:autoSpaceDE w:val="0"/>
        <w:autoSpaceDN w:val="0"/>
        <w:adjustRightInd w:val="0"/>
        <w:jc w:val="both"/>
        <w:rPr>
          <w:rFonts w:ascii="Arial" w:eastAsia="Times New Roman" w:hAnsi="Arial" w:cs="Arial"/>
          <w:sz w:val="22"/>
        </w:rPr>
      </w:pPr>
    </w:p>
    <w:p w14:paraId="4751B9F3" w14:textId="77777777" w:rsidR="006A783B" w:rsidRPr="007B63BB" w:rsidRDefault="006A783B" w:rsidP="00E06B4E">
      <w:pPr>
        <w:autoSpaceDE w:val="0"/>
        <w:autoSpaceDN w:val="0"/>
        <w:adjustRightInd w:val="0"/>
        <w:jc w:val="both"/>
        <w:rPr>
          <w:rFonts w:ascii="Arial" w:eastAsia="Times New Roman" w:hAnsi="Arial" w:cs="Arial"/>
          <w:sz w:val="22"/>
        </w:rPr>
      </w:pPr>
      <w:r w:rsidRPr="007B63BB">
        <w:rPr>
          <w:rFonts w:ascii="Arial" w:eastAsia="Times New Roman" w:hAnsi="Arial" w:cs="Arial"/>
          <w:sz w:val="22"/>
        </w:rPr>
        <w:t>Mid and West Wales Fire and Rescue Authority recognises its responsibility as a public service organisation to both provide a vision for the community it serves and to lead by example in its decision making and other processes and actions, with Members and Officers acting in accordance with high standards of conduct.</w:t>
      </w:r>
    </w:p>
    <w:p w14:paraId="5F39E4BE" w14:textId="77777777" w:rsidR="006A783B" w:rsidRPr="004E4C24" w:rsidRDefault="006A783B" w:rsidP="00E06B4E">
      <w:pPr>
        <w:jc w:val="both"/>
        <w:rPr>
          <w:rFonts w:ascii="Arial" w:eastAsia="Times New Roman" w:hAnsi="Arial" w:cs="Arial"/>
          <w:b/>
        </w:rPr>
      </w:pPr>
      <w:r w:rsidRPr="004E4C24">
        <w:rPr>
          <w:rFonts w:ascii="Arial" w:eastAsia="Times New Roman" w:hAnsi="Arial" w:cs="Arial"/>
          <w:b/>
        </w:rPr>
        <w:t>Certification</w:t>
      </w:r>
    </w:p>
    <w:p w14:paraId="4B093639" w14:textId="77777777" w:rsidR="006A783B" w:rsidRPr="00A5579B" w:rsidRDefault="006A783B" w:rsidP="00E06B4E">
      <w:pPr>
        <w:jc w:val="both"/>
        <w:rPr>
          <w:rFonts w:ascii="Arial" w:eastAsia="Times New Roman" w:hAnsi="Arial" w:cs="Arial"/>
          <w:b/>
          <w:sz w:val="22"/>
        </w:rPr>
      </w:pPr>
    </w:p>
    <w:p w14:paraId="3B720372" w14:textId="77777777" w:rsidR="006A783B" w:rsidRPr="00A5579B" w:rsidRDefault="006A783B" w:rsidP="00E06B4E">
      <w:pPr>
        <w:jc w:val="both"/>
        <w:rPr>
          <w:rFonts w:ascii="Arial" w:eastAsia="Times New Roman" w:hAnsi="Arial" w:cs="Arial"/>
          <w:sz w:val="22"/>
        </w:rPr>
      </w:pPr>
      <w:r w:rsidRPr="00A5579B">
        <w:rPr>
          <w:rFonts w:ascii="Arial" w:eastAsia="Times New Roman" w:hAnsi="Arial" w:cs="Arial"/>
          <w:sz w:val="22"/>
        </w:rPr>
        <w:t xml:space="preserve">We have been advised on the implications of the review of the effectiveness of the governance framework by Senior Management and the Performance Audit and Scrutiny Committee. Actions identified to further develop the Authority’s Governance arrangements to ensure continuous improvement of the Authority’s systems are in place. </w:t>
      </w:r>
    </w:p>
    <w:p w14:paraId="1FFB04FB" w14:textId="77777777" w:rsidR="006A783B" w:rsidRPr="00A5579B" w:rsidRDefault="006A783B" w:rsidP="00E06B4E">
      <w:pPr>
        <w:jc w:val="both"/>
        <w:rPr>
          <w:rFonts w:ascii="Arial" w:eastAsia="Times New Roman" w:hAnsi="Arial" w:cs="Arial"/>
          <w:sz w:val="22"/>
        </w:rPr>
      </w:pPr>
    </w:p>
    <w:p w14:paraId="7BFADF7B" w14:textId="77777777" w:rsidR="006A783B" w:rsidRPr="00A5579B" w:rsidRDefault="006A783B" w:rsidP="00E06B4E">
      <w:pPr>
        <w:jc w:val="both"/>
        <w:rPr>
          <w:rFonts w:ascii="Arial" w:eastAsia="Times New Roman" w:hAnsi="Arial" w:cs="Arial"/>
          <w:sz w:val="22"/>
        </w:rPr>
      </w:pPr>
      <w:r w:rsidRPr="00A5579B">
        <w:rPr>
          <w:rFonts w:ascii="Arial" w:eastAsia="Times New Roman" w:hAnsi="Arial" w:cs="Arial"/>
          <w:sz w:val="22"/>
        </w:rPr>
        <w:t>We pledge our commitment that over the coming year we will take steps to further enhance our governance arrangements. We are satisfied that we will address the need for any improvements that were identified in our review of effectiveness and will monitor their implementation and operation as part of our next annual review.</w:t>
      </w:r>
    </w:p>
    <w:p w14:paraId="625C6AC4" w14:textId="7113F391" w:rsidR="006A783B" w:rsidRDefault="006A783B" w:rsidP="00E06B4E">
      <w:pPr>
        <w:autoSpaceDE w:val="0"/>
        <w:autoSpaceDN w:val="0"/>
        <w:adjustRightInd w:val="0"/>
        <w:jc w:val="both"/>
        <w:rPr>
          <w:rFonts w:ascii="Arial" w:eastAsia="Times New Roman" w:hAnsi="Arial" w:cs="Arial"/>
          <w:color w:val="000000"/>
        </w:rPr>
      </w:pPr>
    </w:p>
    <w:p w14:paraId="2573EA6D" w14:textId="77777777" w:rsidR="00A5579B" w:rsidRPr="004E4C24" w:rsidRDefault="00A5579B" w:rsidP="00E06B4E">
      <w:pPr>
        <w:autoSpaceDE w:val="0"/>
        <w:autoSpaceDN w:val="0"/>
        <w:adjustRightInd w:val="0"/>
        <w:jc w:val="both"/>
        <w:rPr>
          <w:rFonts w:ascii="Arial" w:eastAsia="Times New Roman" w:hAnsi="Arial" w:cs="Arial"/>
          <w:color w:val="000000"/>
        </w:rPr>
      </w:pPr>
    </w:p>
    <w:p w14:paraId="0E78CF6D" w14:textId="77777777" w:rsidR="006A783B" w:rsidRPr="004E4C24" w:rsidRDefault="006A783B" w:rsidP="00E06B4E">
      <w:pPr>
        <w:autoSpaceDE w:val="0"/>
        <w:autoSpaceDN w:val="0"/>
        <w:adjustRightInd w:val="0"/>
        <w:jc w:val="both"/>
        <w:rPr>
          <w:rFonts w:ascii="Arial" w:eastAsia="Times New Roman" w:hAnsi="Arial" w:cs="Arial"/>
          <w:color w:val="000000"/>
          <w:sz w:val="20"/>
          <w:szCs w:val="20"/>
        </w:rPr>
      </w:pPr>
    </w:p>
    <w:p w14:paraId="4BBA437E" w14:textId="77777777" w:rsidR="006A783B" w:rsidRPr="004E4C24" w:rsidRDefault="006A783B" w:rsidP="00E06B4E">
      <w:pPr>
        <w:autoSpaceDE w:val="0"/>
        <w:autoSpaceDN w:val="0"/>
        <w:adjustRightInd w:val="0"/>
        <w:jc w:val="both"/>
        <w:rPr>
          <w:rFonts w:ascii="Arial" w:eastAsia="Times New Roman" w:hAnsi="Arial" w:cs="Arial"/>
          <w:color w:val="000000"/>
        </w:rPr>
      </w:pPr>
    </w:p>
    <w:p w14:paraId="7DEB440B" w14:textId="7449E399" w:rsidR="006A783B" w:rsidRPr="00A5579B" w:rsidRDefault="006A783B" w:rsidP="00E06B4E">
      <w:pPr>
        <w:autoSpaceDE w:val="0"/>
        <w:autoSpaceDN w:val="0"/>
        <w:adjustRightInd w:val="0"/>
        <w:jc w:val="both"/>
        <w:rPr>
          <w:rFonts w:ascii="Arial" w:eastAsia="Times New Roman" w:hAnsi="Arial" w:cs="Arial"/>
          <w:color w:val="000000"/>
          <w:sz w:val="22"/>
        </w:rPr>
      </w:pPr>
      <w:r w:rsidRPr="00A5579B">
        <w:rPr>
          <w:rFonts w:ascii="Arial" w:eastAsia="Times New Roman" w:hAnsi="Arial" w:cs="Arial"/>
          <w:color w:val="000000"/>
          <w:sz w:val="22"/>
        </w:rPr>
        <w:t xml:space="preserve">Signed: </w:t>
      </w:r>
      <w:proofErr w:type="spellStart"/>
      <w:r w:rsidRPr="00A5579B">
        <w:rPr>
          <w:rFonts w:ascii="Arial" w:eastAsia="Times New Roman" w:hAnsi="Arial" w:cs="Arial"/>
          <w:color w:val="000000"/>
          <w:sz w:val="22"/>
        </w:rPr>
        <w:t>Councillor</w:t>
      </w:r>
      <w:proofErr w:type="spellEnd"/>
      <w:r w:rsidRPr="00A5579B">
        <w:rPr>
          <w:rFonts w:ascii="Arial" w:eastAsia="Times New Roman" w:hAnsi="Arial" w:cs="Arial"/>
          <w:color w:val="000000"/>
          <w:sz w:val="22"/>
        </w:rPr>
        <w:t xml:space="preserve"> </w:t>
      </w:r>
      <w:r w:rsidR="00624962" w:rsidRPr="00A5579B">
        <w:rPr>
          <w:rFonts w:ascii="Arial" w:eastAsia="Times New Roman" w:hAnsi="Arial" w:cs="Arial"/>
          <w:color w:val="000000"/>
          <w:sz w:val="22"/>
        </w:rPr>
        <w:t>C Anderson</w:t>
      </w:r>
      <w:r w:rsidRPr="00A5579B">
        <w:rPr>
          <w:rFonts w:ascii="Arial" w:eastAsia="Times New Roman" w:hAnsi="Arial" w:cs="Arial"/>
          <w:color w:val="000000"/>
          <w:sz w:val="22"/>
        </w:rPr>
        <w:t>, Chair of the Performance, Audit and Scrutiny Committee</w:t>
      </w:r>
    </w:p>
    <w:p w14:paraId="459E48BD" w14:textId="6F1C6239" w:rsidR="006A783B" w:rsidRDefault="006A783B" w:rsidP="00E06B4E">
      <w:pPr>
        <w:autoSpaceDE w:val="0"/>
        <w:autoSpaceDN w:val="0"/>
        <w:adjustRightInd w:val="0"/>
        <w:jc w:val="both"/>
        <w:rPr>
          <w:rFonts w:ascii="Arial" w:eastAsia="Times New Roman" w:hAnsi="Arial" w:cs="Arial"/>
          <w:color w:val="000000"/>
          <w:sz w:val="22"/>
        </w:rPr>
      </w:pPr>
    </w:p>
    <w:p w14:paraId="2EF11088" w14:textId="77777777" w:rsidR="00A5579B" w:rsidRPr="00A5579B" w:rsidRDefault="00A5579B" w:rsidP="00E06B4E">
      <w:pPr>
        <w:autoSpaceDE w:val="0"/>
        <w:autoSpaceDN w:val="0"/>
        <w:adjustRightInd w:val="0"/>
        <w:jc w:val="both"/>
        <w:rPr>
          <w:rFonts w:ascii="Arial" w:eastAsia="Times New Roman" w:hAnsi="Arial" w:cs="Arial"/>
          <w:color w:val="000000"/>
          <w:sz w:val="22"/>
        </w:rPr>
      </w:pPr>
    </w:p>
    <w:p w14:paraId="6459667B" w14:textId="77777777" w:rsidR="006A783B" w:rsidRPr="00A5579B" w:rsidRDefault="006A783B" w:rsidP="00E06B4E">
      <w:pPr>
        <w:autoSpaceDE w:val="0"/>
        <w:autoSpaceDN w:val="0"/>
        <w:adjustRightInd w:val="0"/>
        <w:jc w:val="both"/>
        <w:rPr>
          <w:rFonts w:ascii="Arial" w:eastAsia="Times New Roman" w:hAnsi="Arial" w:cs="Arial"/>
          <w:color w:val="000000"/>
          <w:sz w:val="22"/>
        </w:rPr>
      </w:pPr>
    </w:p>
    <w:p w14:paraId="54BD6522" w14:textId="77777777" w:rsidR="006A783B" w:rsidRPr="00A5579B" w:rsidRDefault="006A783B" w:rsidP="00E06B4E">
      <w:pPr>
        <w:autoSpaceDE w:val="0"/>
        <w:autoSpaceDN w:val="0"/>
        <w:adjustRightInd w:val="0"/>
        <w:jc w:val="both"/>
        <w:rPr>
          <w:rFonts w:ascii="Arial" w:eastAsia="Times New Roman" w:hAnsi="Arial" w:cs="Arial"/>
          <w:color w:val="000000"/>
          <w:sz w:val="22"/>
        </w:rPr>
      </w:pPr>
    </w:p>
    <w:p w14:paraId="050BB3C3" w14:textId="5ABE681A" w:rsidR="006A783B" w:rsidRPr="00A5579B" w:rsidRDefault="006A783B" w:rsidP="00E06B4E">
      <w:pPr>
        <w:autoSpaceDE w:val="0"/>
        <w:autoSpaceDN w:val="0"/>
        <w:adjustRightInd w:val="0"/>
        <w:jc w:val="both"/>
        <w:rPr>
          <w:rFonts w:ascii="Arial" w:eastAsia="Times New Roman" w:hAnsi="Arial" w:cs="Arial"/>
          <w:color w:val="000000"/>
          <w:sz w:val="22"/>
        </w:rPr>
      </w:pPr>
      <w:r w:rsidRPr="00A5579B">
        <w:rPr>
          <w:rFonts w:ascii="Arial" w:eastAsia="Times New Roman" w:hAnsi="Arial" w:cs="Arial"/>
          <w:color w:val="000000"/>
          <w:sz w:val="22"/>
        </w:rPr>
        <w:t>Signed: C Davies, Chief Fire Officer</w:t>
      </w:r>
      <w:bookmarkEnd w:id="7"/>
    </w:p>
    <w:p w14:paraId="2CFBF484" w14:textId="77777777" w:rsidR="006A783B" w:rsidRPr="004E4C24" w:rsidRDefault="006A783B" w:rsidP="00E06B4E">
      <w:pPr>
        <w:autoSpaceDE w:val="0"/>
        <w:autoSpaceDN w:val="0"/>
        <w:adjustRightInd w:val="0"/>
        <w:jc w:val="both"/>
        <w:rPr>
          <w:rFonts w:ascii="Arial" w:eastAsia="Times New Roman" w:hAnsi="Arial" w:cs="Arial"/>
          <w:color w:val="000000"/>
          <w:sz w:val="20"/>
          <w:szCs w:val="20"/>
        </w:rPr>
      </w:pPr>
    </w:p>
    <w:p w14:paraId="58E03A07" w14:textId="77777777" w:rsidR="006A783B" w:rsidRPr="004E4C24" w:rsidRDefault="006A783B" w:rsidP="006A783B">
      <w:pPr>
        <w:autoSpaceDE w:val="0"/>
        <w:autoSpaceDN w:val="0"/>
        <w:adjustRightInd w:val="0"/>
        <w:spacing w:line="360" w:lineRule="auto"/>
        <w:jc w:val="both"/>
        <w:rPr>
          <w:rFonts w:ascii="Arial" w:eastAsia="Times New Roman" w:hAnsi="Arial" w:cs="Arial"/>
          <w:color w:val="000000"/>
          <w:sz w:val="20"/>
          <w:szCs w:val="20"/>
        </w:rPr>
      </w:pPr>
    </w:p>
    <w:p w14:paraId="2D1F02B9" w14:textId="77777777" w:rsidR="006A783B" w:rsidRPr="004E4C24" w:rsidRDefault="006A783B" w:rsidP="006A783B">
      <w:pPr>
        <w:rPr>
          <w:rFonts w:ascii="Arial" w:eastAsia="Times New Roman" w:hAnsi="Arial" w:cs="Arial"/>
          <w:b/>
        </w:rPr>
      </w:pPr>
      <w:r w:rsidRPr="004E4C24">
        <w:rPr>
          <w:rFonts w:ascii="Arial" w:eastAsia="Times New Roman" w:hAnsi="Arial" w:cs="Arial"/>
          <w:b/>
        </w:rPr>
        <w:br w:type="page"/>
      </w:r>
    </w:p>
    <w:p w14:paraId="19B8476E" w14:textId="77777777" w:rsidR="006A783B" w:rsidRPr="004E4C24" w:rsidRDefault="006A783B" w:rsidP="006A783B">
      <w:pPr>
        <w:autoSpaceDE w:val="0"/>
        <w:autoSpaceDN w:val="0"/>
        <w:adjustRightInd w:val="0"/>
        <w:spacing w:before="100" w:beforeAutospacing="1" w:after="100" w:afterAutospacing="1"/>
        <w:jc w:val="both"/>
        <w:rPr>
          <w:rFonts w:ascii="Arial" w:eastAsia="Times New Roman" w:hAnsi="Arial" w:cs="Arial"/>
          <w:b/>
          <w:color w:val="000000"/>
        </w:rPr>
      </w:pPr>
      <w:r w:rsidRPr="004E4C24">
        <w:rPr>
          <w:rFonts w:ascii="Arial" w:eastAsia="Times New Roman" w:hAnsi="Arial" w:cs="Arial"/>
          <w:b/>
        </w:rPr>
        <w:t>Ap</w:t>
      </w:r>
      <w:r w:rsidRPr="004E4C24">
        <w:rPr>
          <w:rFonts w:ascii="Arial" w:eastAsia="Times New Roman" w:hAnsi="Arial" w:cs="Arial"/>
          <w:b/>
          <w:color w:val="000000"/>
        </w:rPr>
        <w:t>pendix 1: Update on 2017/18 Action Plan</w:t>
      </w:r>
    </w:p>
    <w:tbl>
      <w:tblPr>
        <w:tblStyle w:val="TableGrid"/>
        <w:tblW w:w="9776" w:type="dxa"/>
        <w:tblLook w:val="04A0" w:firstRow="1" w:lastRow="0" w:firstColumn="1" w:lastColumn="0" w:noHBand="0" w:noVBand="1"/>
      </w:tblPr>
      <w:tblGrid>
        <w:gridCol w:w="1451"/>
        <w:gridCol w:w="2942"/>
        <w:gridCol w:w="1406"/>
        <w:gridCol w:w="2701"/>
        <w:gridCol w:w="1276"/>
      </w:tblGrid>
      <w:tr w:rsidR="006A783B" w:rsidRPr="004E4C24" w14:paraId="79095AFF" w14:textId="77777777" w:rsidTr="00351957">
        <w:tc>
          <w:tcPr>
            <w:tcW w:w="1451" w:type="dxa"/>
            <w:shd w:val="clear" w:color="auto" w:fill="C9C9C9" w:themeFill="accent3" w:themeFillTint="99"/>
            <w:vAlign w:val="center"/>
          </w:tcPr>
          <w:p w14:paraId="4D9900BB"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 xml:space="preserve">Governance </w:t>
            </w:r>
          </w:p>
        </w:tc>
        <w:tc>
          <w:tcPr>
            <w:tcW w:w="2942" w:type="dxa"/>
            <w:shd w:val="clear" w:color="auto" w:fill="C9C9C9" w:themeFill="accent3" w:themeFillTint="99"/>
            <w:vAlign w:val="center"/>
          </w:tcPr>
          <w:p w14:paraId="01BDE180"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 xml:space="preserve">Action </w:t>
            </w:r>
          </w:p>
        </w:tc>
        <w:tc>
          <w:tcPr>
            <w:tcW w:w="1406" w:type="dxa"/>
            <w:shd w:val="clear" w:color="auto" w:fill="C9C9C9" w:themeFill="accent3" w:themeFillTint="99"/>
            <w:vAlign w:val="center"/>
          </w:tcPr>
          <w:p w14:paraId="6C809DA0"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Responsible Officer</w:t>
            </w:r>
          </w:p>
        </w:tc>
        <w:tc>
          <w:tcPr>
            <w:tcW w:w="2701" w:type="dxa"/>
            <w:shd w:val="clear" w:color="auto" w:fill="C9C9C9" w:themeFill="accent3" w:themeFillTint="99"/>
          </w:tcPr>
          <w:p w14:paraId="1D2BF0D3"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Actions / Progress</w:t>
            </w:r>
          </w:p>
        </w:tc>
        <w:tc>
          <w:tcPr>
            <w:tcW w:w="1276" w:type="dxa"/>
            <w:shd w:val="clear" w:color="auto" w:fill="C9C9C9" w:themeFill="accent3" w:themeFillTint="99"/>
          </w:tcPr>
          <w:p w14:paraId="39C29636" w14:textId="77777777" w:rsidR="006A783B" w:rsidRPr="004E4C24" w:rsidRDefault="006A783B" w:rsidP="00351957">
            <w:pPr>
              <w:autoSpaceDE w:val="0"/>
              <w:autoSpaceDN w:val="0"/>
              <w:adjustRightInd w:val="0"/>
              <w:jc w:val="both"/>
              <w:rPr>
                <w:rFonts w:ascii="Arial" w:eastAsia="Times New Roman" w:hAnsi="Arial" w:cs="Arial"/>
                <w:b/>
                <w:color w:val="000000"/>
                <w:sz w:val="20"/>
                <w:szCs w:val="20"/>
              </w:rPr>
            </w:pPr>
            <w:r w:rsidRPr="004E4C24">
              <w:rPr>
                <w:rFonts w:ascii="Arial" w:eastAsia="Times New Roman" w:hAnsi="Arial" w:cs="Arial"/>
                <w:b/>
                <w:color w:val="000000"/>
                <w:sz w:val="20"/>
                <w:szCs w:val="20"/>
              </w:rPr>
              <w:t>Status</w:t>
            </w:r>
          </w:p>
        </w:tc>
      </w:tr>
      <w:tr w:rsidR="006A783B" w:rsidRPr="004E4C24" w14:paraId="5C70B8DE" w14:textId="77777777" w:rsidTr="00351957">
        <w:trPr>
          <w:trHeight w:val="1534"/>
        </w:trPr>
        <w:tc>
          <w:tcPr>
            <w:tcW w:w="1451" w:type="dxa"/>
          </w:tcPr>
          <w:p w14:paraId="76F4F07B"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Internal Audit Plan </w:t>
            </w:r>
          </w:p>
        </w:tc>
        <w:tc>
          <w:tcPr>
            <w:tcW w:w="2942" w:type="dxa"/>
          </w:tcPr>
          <w:tbl>
            <w:tblPr>
              <w:tblW w:w="0" w:type="auto"/>
              <w:tblBorders>
                <w:top w:val="nil"/>
                <w:left w:val="nil"/>
                <w:bottom w:val="nil"/>
                <w:right w:val="nil"/>
              </w:tblBorders>
              <w:tblLook w:val="0000" w:firstRow="0" w:lastRow="0" w:firstColumn="0" w:lastColumn="0" w:noHBand="0" w:noVBand="0"/>
            </w:tblPr>
            <w:tblGrid>
              <w:gridCol w:w="2726"/>
            </w:tblGrid>
            <w:tr w:rsidR="006A783B" w:rsidRPr="004E4C24" w14:paraId="3AC3FE3E" w14:textId="77777777" w:rsidTr="00351957">
              <w:trPr>
                <w:trHeight w:val="1672"/>
              </w:trPr>
              <w:tc>
                <w:tcPr>
                  <w:tcW w:w="0" w:type="auto"/>
                </w:tcPr>
                <w:p w14:paraId="2DBA84AA"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Internal Audit Plan delivered by Carmarthenshire County Council Internal Audit Section allows for 95 days to cover computer audits and systems audits plus 2 days for attendance at Audit committee and meetings. The Internal Audit Plan 2018 to 2021 is considered robust and fit for purpose allowing for a rolling programme of audit over a 3-year period.</w:t>
                  </w:r>
                </w:p>
                <w:p w14:paraId="67802979"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r>
          </w:tbl>
          <w:p w14:paraId="0BFD70F6"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14E33814"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Corporate Head of Resources </w:t>
            </w:r>
          </w:p>
          <w:p w14:paraId="6BEB1F45"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701" w:type="dxa"/>
          </w:tcPr>
          <w:p w14:paraId="361B8943"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2018/19 Internal Audit papers were presented to Performance Audit and Scrutiny Committee on 13 May 2019.There remains a number of outstanding internal audit reports from Carmarthenshire County Council, which will be completed and presented to PASC in July 2019.</w:t>
            </w:r>
          </w:p>
        </w:tc>
        <w:tc>
          <w:tcPr>
            <w:tcW w:w="1276" w:type="dxa"/>
          </w:tcPr>
          <w:p w14:paraId="596D9818" w14:textId="77777777" w:rsidR="006A783B" w:rsidRPr="004E4C24" w:rsidRDefault="006A783B" w:rsidP="00351957">
            <w:pPr>
              <w:autoSpaceDE w:val="0"/>
              <w:autoSpaceDN w:val="0"/>
              <w:adjustRightInd w:val="0"/>
              <w:jc w:val="both"/>
              <w:rPr>
                <w:rFonts w:ascii="Arial" w:eastAsia="Times New Roman" w:hAnsi="Arial" w:cs="Arial"/>
                <w:color w:val="000000"/>
                <w:sz w:val="20"/>
                <w:szCs w:val="20"/>
              </w:rPr>
            </w:pPr>
            <w:r w:rsidRPr="004E4C24">
              <w:rPr>
                <w:rFonts w:ascii="Arial" w:eastAsia="Times New Roman" w:hAnsi="Arial" w:cs="Arial"/>
                <w:color w:val="000000"/>
                <w:sz w:val="20"/>
                <w:szCs w:val="20"/>
              </w:rPr>
              <w:t>Ongoing – with completion projected July 2019.</w:t>
            </w:r>
          </w:p>
        </w:tc>
      </w:tr>
      <w:tr w:rsidR="006A783B" w:rsidRPr="004E4C24" w14:paraId="246F901A" w14:textId="77777777" w:rsidTr="00351957">
        <w:tc>
          <w:tcPr>
            <w:tcW w:w="1451" w:type="dxa"/>
          </w:tcPr>
          <w:p w14:paraId="6B7108EB"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Completion of financial statements</w:t>
            </w:r>
          </w:p>
        </w:tc>
        <w:tc>
          <w:tcPr>
            <w:tcW w:w="2942" w:type="dxa"/>
          </w:tcPr>
          <w:p w14:paraId="6A700B44"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Evaluation of the closure process for 2017/18 will be used to identify areas for improvement in 2018/19.  </w:t>
            </w:r>
          </w:p>
          <w:p w14:paraId="676D1F1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Key areas:</w:t>
            </w:r>
          </w:p>
          <w:p w14:paraId="604FC5EC"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Planning</w:t>
            </w:r>
          </w:p>
          <w:p w14:paraId="6F68CA85"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Procedures</w:t>
            </w:r>
          </w:p>
          <w:p w14:paraId="222E3DB7"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Whole Team approach</w:t>
            </w:r>
          </w:p>
          <w:p w14:paraId="63025072"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Knowledge &amp; understanding</w:t>
            </w:r>
          </w:p>
          <w:p w14:paraId="6AD523BE"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Wider organisation engagement</w:t>
            </w:r>
          </w:p>
          <w:p w14:paraId="0DC9134F"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WAO requirements</w:t>
            </w:r>
          </w:p>
          <w:p w14:paraId="75F664BC"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Quality Control</w:t>
            </w:r>
          </w:p>
          <w:p w14:paraId="0883727E"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Quality Assurance</w:t>
            </w:r>
          </w:p>
          <w:p w14:paraId="35CBF85B" w14:textId="77777777" w:rsidR="006A783B" w:rsidRPr="004E4C24" w:rsidRDefault="006A783B" w:rsidP="006A783B">
            <w:pPr>
              <w:pStyle w:val="ListParagraph"/>
              <w:numPr>
                <w:ilvl w:val="1"/>
                <w:numId w:val="43"/>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Evaluation</w:t>
            </w:r>
          </w:p>
          <w:p w14:paraId="6D0397D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3DE4282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Head of Finance</w:t>
            </w:r>
          </w:p>
        </w:tc>
        <w:tc>
          <w:tcPr>
            <w:tcW w:w="2701" w:type="dxa"/>
          </w:tcPr>
          <w:p w14:paraId="74E66545"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The 2017/18 unaudited SoA was reported to members in December 2018 and the audited SoA in March 2019. </w:t>
            </w:r>
          </w:p>
          <w:p w14:paraId="45C7EBD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Preparation of the SoA for 2018/19 has been led by the Finance Team with officer input from across the organisation.</w:t>
            </w:r>
          </w:p>
          <w:p w14:paraId="21B0A1C1"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SoA 2018/19 has been drafted in accordance with statutory deadlines i.e. 31</w:t>
            </w:r>
            <w:r w:rsidRPr="004E4C24">
              <w:rPr>
                <w:rFonts w:ascii="Arial" w:eastAsia="Times New Roman" w:hAnsi="Arial" w:cs="Arial"/>
                <w:color w:val="000000"/>
                <w:sz w:val="20"/>
                <w:szCs w:val="20"/>
                <w:vertAlign w:val="superscript"/>
              </w:rPr>
              <w:t>st</w:t>
            </w:r>
            <w:r w:rsidRPr="004E4C24">
              <w:rPr>
                <w:rFonts w:ascii="Arial" w:eastAsia="Times New Roman" w:hAnsi="Arial" w:cs="Arial"/>
                <w:color w:val="000000"/>
                <w:sz w:val="20"/>
                <w:szCs w:val="20"/>
              </w:rPr>
              <w:t xml:space="preserve"> May 2019.</w:t>
            </w:r>
          </w:p>
        </w:tc>
        <w:tc>
          <w:tcPr>
            <w:tcW w:w="1276" w:type="dxa"/>
          </w:tcPr>
          <w:p w14:paraId="103A377E"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unaudited SoA 2018/19 will be presented to Members 5</w:t>
            </w:r>
            <w:r w:rsidRPr="004E4C24">
              <w:rPr>
                <w:rFonts w:ascii="Arial" w:eastAsia="Times New Roman" w:hAnsi="Arial" w:cs="Arial"/>
                <w:color w:val="000000"/>
                <w:sz w:val="20"/>
                <w:szCs w:val="20"/>
                <w:vertAlign w:val="superscript"/>
              </w:rPr>
              <w:t>th</w:t>
            </w:r>
            <w:r w:rsidRPr="004E4C24">
              <w:rPr>
                <w:rFonts w:ascii="Arial" w:eastAsia="Times New Roman" w:hAnsi="Arial" w:cs="Arial"/>
                <w:color w:val="000000"/>
                <w:sz w:val="20"/>
                <w:szCs w:val="20"/>
              </w:rPr>
              <w:t xml:space="preserve"> June 2019.</w:t>
            </w:r>
          </w:p>
        </w:tc>
      </w:tr>
      <w:tr w:rsidR="006A783B" w:rsidRPr="004E4C24" w14:paraId="4B20CE05" w14:textId="77777777" w:rsidTr="00351957">
        <w:tc>
          <w:tcPr>
            <w:tcW w:w="1451" w:type="dxa"/>
          </w:tcPr>
          <w:p w14:paraId="66F7F92E"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Quality-control exercises </w:t>
            </w:r>
          </w:p>
        </w:tc>
        <w:tc>
          <w:tcPr>
            <w:tcW w:w="2942" w:type="dxa"/>
          </w:tcPr>
          <w:p w14:paraId="521F3B57"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As part of the planning process, the procedures will be reviewed and updated to include clear timetables to ensure the early closure deadline of 31</w:t>
            </w:r>
            <w:r w:rsidRPr="004E4C24">
              <w:rPr>
                <w:rFonts w:ascii="Arial" w:eastAsia="Times New Roman" w:hAnsi="Arial" w:cs="Arial"/>
                <w:color w:val="000000"/>
                <w:sz w:val="20"/>
                <w:szCs w:val="20"/>
                <w:vertAlign w:val="superscript"/>
              </w:rPr>
              <w:t>st</w:t>
            </w:r>
            <w:r w:rsidRPr="004E4C24">
              <w:rPr>
                <w:rFonts w:ascii="Arial" w:eastAsia="Times New Roman" w:hAnsi="Arial" w:cs="Arial"/>
                <w:color w:val="000000"/>
                <w:sz w:val="20"/>
                <w:szCs w:val="20"/>
              </w:rPr>
              <w:t xml:space="preserve"> May is achievable.</w:t>
            </w:r>
          </w:p>
          <w:p w14:paraId="13346C73"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5D312435"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Responsibilities for Statement of Account (SoA) core statements &amp; disclosure notes will be delegated to team members. Thereby spreading knowledge and improving understanding This action will create resilience within the team.</w:t>
            </w:r>
          </w:p>
          <w:p w14:paraId="4146FA7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5B029E2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Management Review of non-current assets to reduce risk of the omission. To build on the extensive work undertaken, the Authority will transition from the spreadsheet Fixed Asset Register (FAR) to Cipfa Asset Management System (AMS). The AMS will be introduced for the 2018/19 Statement of Accounts.</w:t>
            </w:r>
          </w:p>
          <w:p w14:paraId="0E7B68D0"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2F70B114"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Draft SoA will be circulated to the Chief Fire Officer, S151 Officer, Director or Resources and the Corporate Head of Resources to review. Their observations and comments will be addressed and where necessary the SoA amended.</w:t>
            </w:r>
          </w:p>
          <w:p w14:paraId="11462AFA"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4BEB8313"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Head of Finance </w:t>
            </w:r>
          </w:p>
        </w:tc>
        <w:tc>
          <w:tcPr>
            <w:tcW w:w="2701" w:type="dxa"/>
          </w:tcPr>
          <w:p w14:paraId="251049F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Closure procedures and timetables have been reviewed and updated.</w:t>
            </w:r>
          </w:p>
          <w:p w14:paraId="7CF26F4E"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7BA4F6B9"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029A0CEC"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6AEE7AFF"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59F16A7F"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1D8F5D3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Responsibilities have been delegated to Finance staff as appropriate.</w:t>
            </w:r>
          </w:p>
          <w:p w14:paraId="1FF88B22"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1CFE640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664F4D3B"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0B52CC98"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027F95E0"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73A55DC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2A0ABBD7"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78D4E1E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asset portfolio was reviewed by relevant Heads of Service. The AMS has been populated but due to staff changes it has not been used to produce the SoA 2018/19. Training with CIPFA is being arranged for June 2019.</w:t>
            </w:r>
          </w:p>
          <w:p w14:paraId="19EC0B2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0F73B626"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651F9C61"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08BF2782"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285B59C7"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The draft SoA 2018/19 was reviewed by the Executive Leadership Team. </w:t>
            </w:r>
          </w:p>
          <w:p w14:paraId="538FFFEF"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565A4917"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276" w:type="dxa"/>
          </w:tcPr>
          <w:p w14:paraId="60B2EC51"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unaudited SoA 2018/19 will be presented to Members 5</w:t>
            </w:r>
            <w:r w:rsidRPr="004E4C24">
              <w:rPr>
                <w:rFonts w:ascii="Arial" w:eastAsia="Times New Roman" w:hAnsi="Arial" w:cs="Arial"/>
                <w:color w:val="000000"/>
                <w:sz w:val="20"/>
                <w:szCs w:val="20"/>
                <w:vertAlign w:val="superscript"/>
              </w:rPr>
              <w:t>th</w:t>
            </w:r>
            <w:r w:rsidRPr="004E4C24">
              <w:rPr>
                <w:rFonts w:ascii="Arial" w:eastAsia="Times New Roman" w:hAnsi="Arial" w:cs="Arial"/>
                <w:color w:val="000000"/>
                <w:sz w:val="20"/>
                <w:szCs w:val="20"/>
              </w:rPr>
              <w:t xml:space="preserve"> June 2019.</w:t>
            </w:r>
          </w:p>
        </w:tc>
      </w:tr>
      <w:tr w:rsidR="006A783B" w:rsidRPr="004E4C24" w14:paraId="716EBD56" w14:textId="77777777" w:rsidTr="00351957">
        <w:tc>
          <w:tcPr>
            <w:tcW w:w="1451" w:type="dxa"/>
          </w:tcPr>
          <w:p w14:paraId="448C738D"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Review of the evaluation of fire safety arrangements (following 2015-16)</w:t>
            </w:r>
          </w:p>
          <w:p w14:paraId="5B39CAFA"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942" w:type="dxa"/>
          </w:tcPr>
          <w:p w14:paraId="532CC21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This work has continued from last year and the Authority continues to enhance its range of evaluation processes to monitor prevention interventions to shape future strategy and deliver relevant and effective engagement. At a National level, the National Issues Committee (NIC) through the all Wales Home Safety Group has a Delivery Plan for 2016-2019 that includes an action “To research future methods of evaluation of service delivery: outcomes and to progress the identification of success criteria in home safety delivery.”</w:t>
            </w:r>
          </w:p>
          <w:p w14:paraId="771EF46C"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7993CE0A"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36544AB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Corporate Head of Prevention and Protection </w:t>
            </w:r>
          </w:p>
        </w:tc>
        <w:tc>
          <w:tcPr>
            <w:tcW w:w="2701" w:type="dxa"/>
          </w:tcPr>
          <w:p w14:paraId="5AC457A1"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evaluation of fires safety arrangements has been reviewed.</w:t>
            </w:r>
          </w:p>
          <w:p w14:paraId="396297F3"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166C24AA"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Evaluation is a process that is integral to our delivery and will continue to be refined, both within the Service and through All Wales collaborative work, in order to ensure that our intervention continues to be as effective as possible.</w:t>
            </w:r>
          </w:p>
        </w:tc>
        <w:tc>
          <w:tcPr>
            <w:tcW w:w="1276" w:type="dxa"/>
          </w:tcPr>
          <w:p w14:paraId="4DC74A00" w14:textId="77777777" w:rsidR="006A783B" w:rsidRPr="004E4C24" w:rsidRDefault="006A783B" w:rsidP="00351957">
            <w:pPr>
              <w:autoSpaceDE w:val="0"/>
              <w:autoSpaceDN w:val="0"/>
              <w:adjustRightInd w:val="0"/>
              <w:jc w:val="both"/>
              <w:rPr>
                <w:rFonts w:ascii="Arial" w:eastAsia="Times New Roman" w:hAnsi="Arial" w:cs="Arial"/>
                <w:color w:val="000000"/>
                <w:sz w:val="20"/>
                <w:szCs w:val="20"/>
              </w:rPr>
            </w:pPr>
            <w:r w:rsidRPr="004E4C24">
              <w:rPr>
                <w:rFonts w:ascii="Arial" w:eastAsia="Times New Roman" w:hAnsi="Arial" w:cs="Arial"/>
                <w:color w:val="000000"/>
                <w:sz w:val="20"/>
                <w:szCs w:val="20"/>
              </w:rPr>
              <w:t>Completed</w:t>
            </w:r>
          </w:p>
        </w:tc>
      </w:tr>
      <w:tr w:rsidR="006A783B" w:rsidRPr="004E4C24" w14:paraId="658AF75E" w14:textId="77777777" w:rsidTr="00351957">
        <w:tc>
          <w:tcPr>
            <w:tcW w:w="1451" w:type="dxa"/>
          </w:tcPr>
          <w:p w14:paraId="40627631"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Pension issues currently ongoing which the Authority is addressing </w:t>
            </w:r>
          </w:p>
        </w:tc>
        <w:tc>
          <w:tcPr>
            <w:tcW w:w="2942" w:type="dxa"/>
          </w:tcPr>
          <w:p w14:paraId="1C5D09A6"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Additional Pension Benefits</w:t>
            </w:r>
            <w:r w:rsidRPr="004E4C24">
              <w:rPr>
                <w:rFonts w:ascii="Arial" w:eastAsia="Times New Roman" w:hAnsi="Arial" w:cs="Arial"/>
                <w:color w:val="000000"/>
                <w:sz w:val="20"/>
                <w:szCs w:val="20"/>
              </w:rPr>
              <w:t xml:space="preserve"> </w:t>
            </w:r>
            <w:r w:rsidRPr="004E4C24">
              <w:rPr>
                <w:rFonts w:ascii="Arial" w:eastAsia="Times New Roman" w:hAnsi="Arial" w:cs="Arial"/>
                <w:b/>
                <w:color w:val="000000"/>
                <w:sz w:val="20"/>
                <w:szCs w:val="20"/>
              </w:rPr>
              <w:t>– Temporary Promotions</w:t>
            </w:r>
          </w:p>
          <w:p w14:paraId="3847E299"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On 11 December 2017 the Authority approved a report to implement the requirements of The Firefighters’ Pension (Wales) Scheme (Amendment) Order, consultation is ongoing with the appropriate representative bodies on the proposed implementation date and retrospective application of the policy where appropriate.  As a consequence of the delays in implementing the Order a small number of retirees have received pension settlements which are not in accordance with the relevant regulations.  Work is currently in progress to address any residual issues around the legality and funding of these payments and to agree any remedial actions necessary.</w:t>
            </w:r>
          </w:p>
          <w:p w14:paraId="38CCD163"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24899995"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 xml:space="preserve">Transitional Protection </w:t>
            </w:r>
          </w:p>
          <w:p w14:paraId="4DD5C211"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In December 2018 the Court of Appeal handed down the judgment in the Firefighters transitional appeals case. The case relates only to the transitional protection arrangements in the 2015 Firefighters’ pension scheme, and whether these are discriminatory. The judgment remits it to the employment tribunal to consider remedy, so it is likely to be many months before the impact on pensions is understood.</w:t>
            </w:r>
          </w:p>
          <w:p w14:paraId="1C82F752"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6756C2E7"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Pension Ombudsman</w:t>
            </w:r>
          </w:p>
          <w:p w14:paraId="06800804"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A Pension Ombudsman determination relating to certain allowances and their treatment as pensionable pay or otherwise. The impact of the decision remains subject to potential Appeal to the High Court.</w:t>
            </w:r>
          </w:p>
          <w:p w14:paraId="78C02ABC"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7F3471B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Head of Human Resources</w:t>
            </w:r>
          </w:p>
        </w:tc>
        <w:tc>
          <w:tcPr>
            <w:tcW w:w="2701" w:type="dxa"/>
          </w:tcPr>
          <w:p w14:paraId="19FB90C3" w14:textId="77777777" w:rsidR="006A783B" w:rsidRPr="004E4C24" w:rsidRDefault="006A783B" w:rsidP="00351957">
            <w:pPr>
              <w:autoSpaceDE w:val="0"/>
              <w:autoSpaceDN w:val="0"/>
              <w:adjustRightInd w:val="0"/>
              <w:rPr>
                <w:rFonts w:ascii="Arial" w:eastAsia="Arial" w:hAnsi="Arial" w:cs="Arial"/>
                <w:sz w:val="20"/>
                <w:szCs w:val="20"/>
              </w:rPr>
            </w:pPr>
            <w:r w:rsidRPr="004E4C24">
              <w:rPr>
                <w:rFonts w:ascii="Arial" w:eastAsia="Arial" w:hAnsi="Arial" w:cs="Arial"/>
                <w:sz w:val="20"/>
                <w:szCs w:val="20"/>
              </w:rPr>
              <w:t>At its meeting on 10 December 2018 the Authority approved proposals considered appropriate as a resolution of this matter, taking into account legal opinion and following discussion and meetings with the Welsh Government, both the other Welsh Fire and Rescue Services in Wales, and the WAO.  Remedial action has been undertaken and the exercise concluded.</w:t>
            </w:r>
          </w:p>
          <w:p w14:paraId="62ED587D" w14:textId="77777777" w:rsidR="006A783B" w:rsidRPr="004E4C24" w:rsidRDefault="006A783B" w:rsidP="00351957">
            <w:pPr>
              <w:autoSpaceDE w:val="0"/>
              <w:autoSpaceDN w:val="0"/>
              <w:adjustRightInd w:val="0"/>
              <w:rPr>
                <w:rFonts w:ascii="Arial" w:eastAsia="Arial" w:hAnsi="Arial" w:cs="Arial"/>
                <w:sz w:val="20"/>
                <w:szCs w:val="20"/>
              </w:rPr>
            </w:pPr>
          </w:p>
          <w:p w14:paraId="46689079" w14:textId="77777777" w:rsidR="006A783B" w:rsidRPr="004E4C24" w:rsidRDefault="006A783B" w:rsidP="00351957">
            <w:pPr>
              <w:autoSpaceDE w:val="0"/>
              <w:autoSpaceDN w:val="0"/>
              <w:adjustRightInd w:val="0"/>
              <w:rPr>
                <w:rFonts w:ascii="Arial" w:eastAsia="Arial" w:hAnsi="Arial" w:cs="Arial"/>
                <w:sz w:val="20"/>
                <w:szCs w:val="20"/>
              </w:rPr>
            </w:pPr>
          </w:p>
          <w:p w14:paraId="347B3C5D" w14:textId="77777777" w:rsidR="006A783B" w:rsidRPr="004E4C24" w:rsidRDefault="006A783B" w:rsidP="00351957">
            <w:pPr>
              <w:autoSpaceDE w:val="0"/>
              <w:autoSpaceDN w:val="0"/>
              <w:adjustRightInd w:val="0"/>
              <w:rPr>
                <w:rFonts w:ascii="Arial" w:eastAsia="Arial" w:hAnsi="Arial" w:cs="Arial"/>
                <w:sz w:val="20"/>
                <w:szCs w:val="20"/>
              </w:rPr>
            </w:pPr>
          </w:p>
          <w:p w14:paraId="76C77D6B" w14:textId="77777777" w:rsidR="006A783B" w:rsidRPr="004E4C24" w:rsidRDefault="006A783B" w:rsidP="00351957">
            <w:pPr>
              <w:autoSpaceDE w:val="0"/>
              <w:autoSpaceDN w:val="0"/>
              <w:adjustRightInd w:val="0"/>
              <w:rPr>
                <w:rFonts w:ascii="Arial" w:eastAsia="Arial" w:hAnsi="Arial" w:cs="Arial"/>
                <w:sz w:val="20"/>
                <w:szCs w:val="20"/>
              </w:rPr>
            </w:pPr>
          </w:p>
          <w:p w14:paraId="5E237691" w14:textId="77777777" w:rsidR="006A783B" w:rsidRPr="004E4C24" w:rsidRDefault="006A783B" w:rsidP="00351957">
            <w:pPr>
              <w:autoSpaceDE w:val="0"/>
              <w:autoSpaceDN w:val="0"/>
              <w:adjustRightInd w:val="0"/>
              <w:rPr>
                <w:rFonts w:ascii="Arial" w:eastAsia="Arial" w:hAnsi="Arial" w:cs="Arial"/>
                <w:sz w:val="20"/>
                <w:szCs w:val="20"/>
              </w:rPr>
            </w:pPr>
          </w:p>
          <w:p w14:paraId="11888CE5" w14:textId="77777777" w:rsidR="006A783B" w:rsidRPr="004E4C24" w:rsidRDefault="006A783B" w:rsidP="00351957">
            <w:pPr>
              <w:autoSpaceDE w:val="0"/>
              <w:autoSpaceDN w:val="0"/>
              <w:adjustRightInd w:val="0"/>
              <w:rPr>
                <w:rFonts w:ascii="Arial" w:eastAsia="Arial" w:hAnsi="Arial" w:cs="Arial"/>
                <w:sz w:val="20"/>
                <w:szCs w:val="20"/>
              </w:rPr>
            </w:pPr>
          </w:p>
          <w:p w14:paraId="3E91D61A" w14:textId="77777777" w:rsidR="006A783B" w:rsidRPr="004E4C24" w:rsidRDefault="006A783B" w:rsidP="00351957">
            <w:pPr>
              <w:autoSpaceDE w:val="0"/>
              <w:autoSpaceDN w:val="0"/>
              <w:adjustRightInd w:val="0"/>
              <w:rPr>
                <w:rFonts w:ascii="Arial" w:eastAsia="Arial" w:hAnsi="Arial" w:cs="Arial"/>
                <w:sz w:val="20"/>
                <w:szCs w:val="20"/>
              </w:rPr>
            </w:pPr>
          </w:p>
          <w:p w14:paraId="7BCF8406" w14:textId="77777777" w:rsidR="006A783B" w:rsidRPr="004E4C24" w:rsidRDefault="006A783B" w:rsidP="00351957">
            <w:pPr>
              <w:autoSpaceDE w:val="0"/>
              <w:autoSpaceDN w:val="0"/>
              <w:adjustRightInd w:val="0"/>
              <w:rPr>
                <w:rFonts w:ascii="Arial" w:eastAsia="Arial" w:hAnsi="Arial" w:cs="Arial"/>
                <w:sz w:val="20"/>
                <w:szCs w:val="20"/>
              </w:rPr>
            </w:pPr>
          </w:p>
          <w:p w14:paraId="6308DF8D" w14:textId="77777777" w:rsidR="006A783B" w:rsidRPr="004E4C24" w:rsidRDefault="006A783B" w:rsidP="00351957">
            <w:pPr>
              <w:autoSpaceDE w:val="0"/>
              <w:autoSpaceDN w:val="0"/>
              <w:adjustRightInd w:val="0"/>
              <w:rPr>
                <w:rFonts w:ascii="Arial" w:eastAsia="Arial" w:hAnsi="Arial" w:cs="Arial"/>
                <w:sz w:val="20"/>
                <w:szCs w:val="20"/>
              </w:rPr>
            </w:pPr>
          </w:p>
          <w:p w14:paraId="66750A59" w14:textId="77777777" w:rsidR="006A783B" w:rsidRPr="004E4C24" w:rsidRDefault="006A783B" w:rsidP="00351957">
            <w:pPr>
              <w:autoSpaceDE w:val="0"/>
              <w:autoSpaceDN w:val="0"/>
              <w:adjustRightInd w:val="0"/>
              <w:rPr>
                <w:rFonts w:ascii="Arial" w:eastAsia="Arial" w:hAnsi="Arial" w:cs="Arial"/>
                <w:sz w:val="20"/>
                <w:szCs w:val="20"/>
              </w:rPr>
            </w:pPr>
          </w:p>
          <w:p w14:paraId="331AE847" w14:textId="77777777" w:rsidR="006A783B" w:rsidRPr="004E4C24" w:rsidRDefault="006A783B" w:rsidP="00351957">
            <w:pPr>
              <w:autoSpaceDE w:val="0"/>
              <w:autoSpaceDN w:val="0"/>
              <w:adjustRightInd w:val="0"/>
              <w:rPr>
                <w:rFonts w:ascii="Arial" w:eastAsia="Arial" w:hAnsi="Arial" w:cs="Arial"/>
                <w:sz w:val="20"/>
                <w:szCs w:val="20"/>
              </w:rPr>
            </w:pPr>
          </w:p>
          <w:p w14:paraId="2A4DAD82" w14:textId="77777777" w:rsidR="006A783B" w:rsidRPr="004E4C24" w:rsidRDefault="006A783B" w:rsidP="00351957">
            <w:pPr>
              <w:autoSpaceDE w:val="0"/>
              <w:autoSpaceDN w:val="0"/>
              <w:adjustRightInd w:val="0"/>
              <w:rPr>
                <w:rFonts w:ascii="Arial" w:eastAsia="Arial" w:hAnsi="Arial" w:cs="Arial"/>
                <w:sz w:val="20"/>
                <w:szCs w:val="20"/>
              </w:rPr>
            </w:pPr>
          </w:p>
          <w:p w14:paraId="0106132C" w14:textId="77777777" w:rsidR="006A783B" w:rsidRPr="004E4C24" w:rsidRDefault="006A783B" w:rsidP="00351957">
            <w:pPr>
              <w:autoSpaceDE w:val="0"/>
              <w:autoSpaceDN w:val="0"/>
              <w:adjustRightInd w:val="0"/>
            </w:pPr>
            <w:r w:rsidRPr="004E4C24">
              <w:rPr>
                <w:rFonts w:ascii="Arial" w:eastAsia="Arial" w:hAnsi="Arial" w:cs="Arial"/>
                <w:sz w:val="20"/>
                <w:szCs w:val="20"/>
              </w:rPr>
              <w:t>Government has applied for permission to appeal to the Supreme Court. It will most likely be many months before it is understood what this means for pension scheme benefits.</w:t>
            </w:r>
          </w:p>
          <w:p w14:paraId="611A2246" w14:textId="77777777" w:rsidR="006A783B" w:rsidRPr="004E4C24" w:rsidRDefault="006A783B" w:rsidP="00351957">
            <w:pPr>
              <w:autoSpaceDE w:val="0"/>
              <w:autoSpaceDN w:val="0"/>
              <w:adjustRightInd w:val="0"/>
              <w:rPr>
                <w:rFonts w:ascii="Arial" w:eastAsia="Arial" w:hAnsi="Arial" w:cs="Arial"/>
                <w:sz w:val="20"/>
                <w:szCs w:val="20"/>
              </w:rPr>
            </w:pPr>
          </w:p>
          <w:p w14:paraId="42A1C67A" w14:textId="77777777" w:rsidR="006A783B" w:rsidRPr="004E4C24" w:rsidRDefault="006A783B" w:rsidP="00351957">
            <w:pPr>
              <w:autoSpaceDE w:val="0"/>
              <w:autoSpaceDN w:val="0"/>
              <w:adjustRightInd w:val="0"/>
              <w:rPr>
                <w:rFonts w:ascii="Arial" w:eastAsia="Arial" w:hAnsi="Arial" w:cs="Arial"/>
                <w:sz w:val="20"/>
                <w:szCs w:val="20"/>
              </w:rPr>
            </w:pPr>
          </w:p>
          <w:p w14:paraId="5347FC9A" w14:textId="77777777" w:rsidR="006A783B" w:rsidRPr="004E4C24" w:rsidRDefault="006A783B" w:rsidP="00351957">
            <w:pPr>
              <w:autoSpaceDE w:val="0"/>
              <w:autoSpaceDN w:val="0"/>
              <w:adjustRightInd w:val="0"/>
              <w:rPr>
                <w:rFonts w:ascii="Arial" w:eastAsia="Arial" w:hAnsi="Arial" w:cs="Arial"/>
                <w:sz w:val="20"/>
                <w:szCs w:val="20"/>
              </w:rPr>
            </w:pPr>
          </w:p>
          <w:p w14:paraId="0BB28853" w14:textId="77777777" w:rsidR="006A783B" w:rsidRPr="004E4C24" w:rsidRDefault="006A783B" w:rsidP="00351957">
            <w:pPr>
              <w:autoSpaceDE w:val="0"/>
              <w:autoSpaceDN w:val="0"/>
              <w:adjustRightInd w:val="0"/>
              <w:rPr>
                <w:rFonts w:ascii="Arial" w:eastAsia="Arial" w:hAnsi="Arial" w:cs="Arial"/>
                <w:sz w:val="20"/>
                <w:szCs w:val="20"/>
              </w:rPr>
            </w:pPr>
          </w:p>
          <w:p w14:paraId="5B248C9A" w14:textId="77777777" w:rsidR="006A783B" w:rsidRPr="004E4C24" w:rsidRDefault="006A783B" w:rsidP="00351957">
            <w:pPr>
              <w:autoSpaceDE w:val="0"/>
              <w:autoSpaceDN w:val="0"/>
              <w:adjustRightInd w:val="0"/>
              <w:rPr>
                <w:rFonts w:ascii="Arial" w:eastAsia="Arial" w:hAnsi="Arial" w:cs="Arial"/>
                <w:sz w:val="20"/>
                <w:szCs w:val="20"/>
              </w:rPr>
            </w:pPr>
          </w:p>
          <w:p w14:paraId="2432CF7B" w14:textId="77777777" w:rsidR="006A783B" w:rsidRPr="004E4C24" w:rsidRDefault="006A783B" w:rsidP="00351957">
            <w:pPr>
              <w:autoSpaceDE w:val="0"/>
              <w:autoSpaceDN w:val="0"/>
              <w:adjustRightInd w:val="0"/>
              <w:rPr>
                <w:rFonts w:ascii="Arial" w:eastAsia="Arial" w:hAnsi="Arial" w:cs="Arial"/>
                <w:sz w:val="20"/>
                <w:szCs w:val="20"/>
              </w:rPr>
            </w:pPr>
          </w:p>
          <w:p w14:paraId="4C4E6BDD" w14:textId="77777777" w:rsidR="006A783B" w:rsidRPr="004E4C24" w:rsidRDefault="006A783B" w:rsidP="00351957">
            <w:pPr>
              <w:autoSpaceDE w:val="0"/>
              <w:autoSpaceDN w:val="0"/>
              <w:adjustRightInd w:val="0"/>
              <w:rPr>
                <w:rFonts w:ascii="Arial" w:eastAsia="Arial" w:hAnsi="Arial" w:cs="Arial"/>
                <w:sz w:val="20"/>
                <w:szCs w:val="20"/>
              </w:rPr>
            </w:pPr>
          </w:p>
          <w:p w14:paraId="778CD061" w14:textId="77777777" w:rsidR="006A783B" w:rsidRPr="004E4C24" w:rsidRDefault="006A783B" w:rsidP="00351957">
            <w:pPr>
              <w:autoSpaceDE w:val="0"/>
              <w:autoSpaceDN w:val="0"/>
              <w:adjustRightInd w:val="0"/>
              <w:rPr>
                <w:rFonts w:ascii="Arial" w:eastAsia="Arial" w:hAnsi="Arial" w:cs="Arial"/>
                <w:sz w:val="20"/>
                <w:szCs w:val="20"/>
              </w:rPr>
            </w:pPr>
          </w:p>
          <w:p w14:paraId="702303EF" w14:textId="77777777" w:rsidR="006A783B" w:rsidRPr="004E4C24" w:rsidRDefault="006A783B" w:rsidP="00351957">
            <w:pPr>
              <w:autoSpaceDE w:val="0"/>
              <w:autoSpaceDN w:val="0"/>
              <w:adjustRightInd w:val="0"/>
              <w:rPr>
                <w:rFonts w:ascii="Arial" w:eastAsia="Arial" w:hAnsi="Arial" w:cs="Arial"/>
                <w:sz w:val="20"/>
                <w:szCs w:val="20"/>
              </w:rPr>
            </w:pPr>
          </w:p>
          <w:p w14:paraId="0A5ADAD8" w14:textId="77777777" w:rsidR="006A783B" w:rsidRPr="004E4C24" w:rsidRDefault="006A783B" w:rsidP="00351957">
            <w:pPr>
              <w:autoSpaceDE w:val="0"/>
              <w:autoSpaceDN w:val="0"/>
              <w:adjustRightInd w:val="0"/>
              <w:rPr>
                <w:rFonts w:ascii="Arial" w:eastAsia="Arial" w:hAnsi="Arial" w:cs="Arial"/>
                <w:sz w:val="20"/>
                <w:szCs w:val="20"/>
              </w:rPr>
            </w:pPr>
          </w:p>
          <w:p w14:paraId="5A8A3D0D" w14:textId="77777777" w:rsidR="006A783B" w:rsidRPr="004E4C24" w:rsidRDefault="006A783B" w:rsidP="00351957">
            <w:pPr>
              <w:autoSpaceDE w:val="0"/>
              <w:autoSpaceDN w:val="0"/>
              <w:adjustRightInd w:val="0"/>
              <w:rPr>
                <w:rFonts w:ascii="Arial" w:eastAsia="Arial" w:hAnsi="Arial" w:cs="Arial"/>
                <w:sz w:val="20"/>
                <w:szCs w:val="20"/>
              </w:rPr>
            </w:pPr>
            <w:r w:rsidRPr="004E4C24">
              <w:rPr>
                <w:rFonts w:ascii="Arial" w:eastAsia="Arial" w:hAnsi="Arial" w:cs="Arial"/>
                <w:sz w:val="20"/>
                <w:szCs w:val="20"/>
              </w:rPr>
              <w:t>The High Court Judgement on pensionable pay was released on 29 March 2019 and the directions relating directly to the complainants has been implemented.  Work continues in respect of the wider financial implications of the judgement and the steps to be taken to apply the judgement in a wider context.</w:t>
            </w:r>
          </w:p>
        </w:tc>
        <w:tc>
          <w:tcPr>
            <w:tcW w:w="1276" w:type="dxa"/>
          </w:tcPr>
          <w:p w14:paraId="0454F87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r w:rsidRPr="004E4C24">
              <w:rPr>
                <w:rFonts w:ascii="Arial" w:eastAsia="Times New Roman" w:hAnsi="Arial" w:cs="Arial"/>
                <w:color w:val="000000" w:themeColor="text1"/>
                <w:sz w:val="20"/>
                <w:szCs w:val="20"/>
              </w:rPr>
              <w:t>Completed</w:t>
            </w:r>
          </w:p>
          <w:p w14:paraId="4ACD81F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8FECCAC"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71FEBF5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4FE88A6"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3CD3CD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3A3091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09FEE0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27A568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A55914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FB2C7F4"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8ADA4D8"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899DE1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1E905B8"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38D51F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F8F313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35F46A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9260EF9"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419109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209D67AA"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19EA83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EA74BEC"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3187AB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D27CFF6"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B61ED47"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6D8B6A0"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2E2FF4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9690B61"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r w:rsidRPr="004E4C24">
              <w:rPr>
                <w:rFonts w:ascii="Arial" w:eastAsia="Times New Roman" w:hAnsi="Arial" w:cs="Arial"/>
                <w:color w:val="000000" w:themeColor="text1"/>
                <w:sz w:val="20"/>
                <w:szCs w:val="20"/>
              </w:rPr>
              <w:t>Ongoing</w:t>
            </w:r>
          </w:p>
          <w:p w14:paraId="7DE68358"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F49B18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92BFA2F"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7299FC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22E2C8A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71381C6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10A5CF8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4416D4CB"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AEE416B"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1507F4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82EFB90"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D75B56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7BE08F0"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069C039"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40006CC"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7011B3DF"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722E643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r w:rsidRPr="004E4C24">
              <w:rPr>
                <w:rFonts w:ascii="Arial" w:eastAsia="Times New Roman" w:hAnsi="Arial" w:cs="Arial"/>
                <w:color w:val="000000" w:themeColor="text1"/>
                <w:sz w:val="20"/>
                <w:szCs w:val="20"/>
              </w:rPr>
              <w:t>Ongoing</w:t>
            </w:r>
          </w:p>
          <w:p w14:paraId="78C6F1D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03387B95"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28E9B8B4"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295FA65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57E0783"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EF3229A"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0834B0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7E1562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5AB217FD"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7D4F233E"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6007F5A9"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2C684337"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p w14:paraId="36E76142"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p>
        </w:tc>
      </w:tr>
      <w:tr w:rsidR="006A783B" w:rsidRPr="004E4C24" w14:paraId="316990E6" w14:textId="77777777" w:rsidTr="00351957">
        <w:tc>
          <w:tcPr>
            <w:tcW w:w="1451" w:type="dxa"/>
          </w:tcPr>
          <w:p w14:paraId="1F40BB8D"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Chief Fire and Rescue Adviser (CFRA) Thematic Review</w:t>
            </w:r>
          </w:p>
        </w:tc>
        <w:tc>
          <w:tcPr>
            <w:tcW w:w="2942" w:type="dxa"/>
          </w:tcPr>
          <w:p w14:paraId="1167C101" w14:textId="77777777" w:rsidR="006A783B" w:rsidRPr="004E4C24" w:rsidRDefault="006A783B" w:rsidP="00351957">
            <w:pPr>
              <w:autoSpaceDE w:val="0"/>
              <w:autoSpaceDN w:val="0"/>
              <w:adjustRightInd w:val="0"/>
              <w:rPr>
                <w:rFonts w:ascii="Arial" w:hAnsi="Arial" w:cs="Arial"/>
                <w:sz w:val="20"/>
                <w:szCs w:val="20"/>
              </w:rPr>
            </w:pPr>
            <w:r w:rsidRPr="004E4C24">
              <w:rPr>
                <w:rFonts w:ascii="Arial" w:eastAsia="Times New Roman" w:hAnsi="Arial" w:cs="Arial"/>
                <w:color w:val="000000"/>
                <w:sz w:val="20"/>
                <w:szCs w:val="20"/>
              </w:rPr>
              <w:t>The Service is working with the CFRA and the other Fire and Rescue Services in Wales to:</w:t>
            </w:r>
            <w:r w:rsidRPr="004E4C24">
              <w:rPr>
                <w:rFonts w:ascii="Arial" w:hAnsi="Arial" w:cs="Arial"/>
                <w:sz w:val="20"/>
                <w:szCs w:val="20"/>
              </w:rPr>
              <w:t xml:space="preserve"> </w:t>
            </w:r>
          </w:p>
          <w:p w14:paraId="5464005B" w14:textId="77777777" w:rsidR="006A783B" w:rsidRPr="004E4C24" w:rsidRDefault="006A783B" w:rsidP="00351957">
            <w:pPr>
              <w:autoSpaceDE w:val="0"/>
              <w:autoSpaceDN w:val="0"/>
              <w:adjustRightInd w:val="0"/>
              <w:rPr>
                <w:rFonts w:ascii="Arial" w:eastAsia="Times New Roman" w:hAnsi="Arial" w:cs="Arial"/>
                <w:color w:val="000000"/>
                <w:sz w:val="20"/>
                <w:szCs w:val="20"/>
              </w:rPr>
            </w:pPr>
            <w:proofErr w:type="spellStart"/>
            <w:r w:rsidRPr="004E4C24">
              <w:rPr>
                <w:rFonts w:ascii="Arial" w:eastAsia="Times New Roman" w:hAnsi="Arial" w:cs="Arial"/>
                <w:color w:val="000000"/>
                <w:sz w:val="20"/>
                <w:szCs w:val="20"/>
              </w:rPr>
              <w:t>i</w:t>
            </w:r>
            <w:proofErr w:type="spellEnd"/>
            <w:r w:rsidRPr="004E4C24">
              <w:rPr>
                <w:rFonts w:ascii="Arial" w:eastAsia="Times New Roman" w:hAnsi="Arial" w:cs="Arial"/>
                <w:color w:val="000000"/>
                <w:sz w:val="20"/>
                <w:szCs w:val="20"/>
              </w:rPr>
              <w:t>. Assess the extent to which Thematic Reviews are providing assurance and stimulating demonstrable improvement in the Welsh fire and rescue sector; and</w:t>
            </w:r>
          </w:p>
          <w:p w14:paraId="1B6E775B"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ii. Explore opportunities for ensuring that the Thematic Review process is well integrated with, and complementary to, other independent processes that are intended to assess and, where necessary, improve performance within the sector.</w:t>
            </w:r>
          </w:p>
          <w:p w14:paraId="77E59ECB"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1406" w:type="dxa"/>
          </w:tcPr>
          <w:p w14:paraId="3F09CF8D"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Deputy Chief Fire Officer</w:t>
            </w:r>
          </w:p>
        </w:tc>
        <w:tc>
          <w:tcPr>
            <w:tcW w:w="2701" w:type="dxa"/>
          </w:tcPr>
          <w:p w14:paraId="766C2D29"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An initial meeting has been held with key stakeholders and further meetings are scheduled for Summer 2019.</w:t>
            </w:r>
          </w:p>
        </w:tc>
        <w:tc>
          <w:tcPr>
            <w:tcW w:w="1276" w:type="dxa"/>
          </w:tcPr>
          <w:p w14:paraId="2F0D6F0A" w14:textId="77777777" w:rsidR="006A783B" w:rsidRPr="004E4C24" w:rsidRDefault="006A783B" w:rsidP="00351957">
            <w:pPr>
              <w:autoSpaceDE w:val="0"/>
              <w:autoSpaceDN w:val="0"/>
              <w:adjustRightInd w:val="0"/>
              <w:jc w:val="both"/>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Ongoing </w:t>
            </w:r>
          </w:p>
        </w:tc>
      </w:tr>
    </w:tbl>
    <w:p w14:paraId="2E74F742" w14:textId="77777777" w:rsidR="00DB1774" w:rsidRDefault="00DB1774">
      <w:r>
        <w:br w:type="page"/>
      </w:r>
    </w:p>
    <w:tbl>
      <w:tblPr>
        <w:tblStyle w:val="TableGrid"/>
        <w:tblW w:w="9776" w:type="dxa"/>
        <w:tblLook w:val="04A0" w:firstRow="1" w:lastRow="0" w:firstColumn="1" w:lastColumn="0" w:noHBand="0" w:noVBand="1"/>
      </w:tblPr>
      <w:tblGrid>
        <w:gridCol w:w="1451"/>
        <w:gridCol w:w="2942"/>
        <w:gridCol w:w="1406"/>
        <w:gridCol w:w="2701"/>
        <w:gridCol w:w="1276"/>
      </w:tblGrid>
      <w:tr w:rsidR="006A783B" w:rsidRPr="004E4C24" w14:paraId="171239AD" w14:textId="77777777" w:rsidTr="00351957">
        <w:trPr>
          <w:trHeight w:val="1125"/>
        </w:trPr>
        <w:tc>
          <w:tcPr>
            <w:tcW w:w="1451" w:type="dxa"/>
          </w:tcPr>
          <w:p w14:paraId="39E89F39" w14:textId="7D472C21"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Peer Assessment Outcomes</w:t>
            </w:r>
          </w:p>
        </w:tc>
        <w:tc>
          <w:tcPr>
            <w:tcW w:w="2942" w:type="dxa"/>
          </w:tcPr>
          <w:p w14:paraId="2C31151D"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The Peer Assessment report identified some areas for development and an action plan is in place to deliver on these requirements within the Operational Support and Improvement Directorate.</w:t>
            </w:r>
          </w:p>
          <w:p w14:paraId="7203D758"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186934B2"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Personnel require information dissemination regarding the Operational Learning System and training in its purpose and use. This will ensure all operational personnel are not only aware of what OLS is but what its intended use is including where it is located and how it should be accessed.</w:t>
            </w:r>
          </w:p>
          <w:p w14:paraId="17174F88"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p w14:paraId="7452D717" w14:textId="77777777" w:rsidR="006A783B" w:rsidRPr="004E4C24" w:rsidRDefault="006A783B" w:rsidP="006A783B">
            <w:pPr>
              <w:pStyle w:val="ListParagraph"/>
              <w:numPr>
                <w:ilvl w:val="0"/>
                <w:numId w:val="44"/>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To review all guidance documents to ensure currency and compliance.</w:t>
            </w:r>
          </w:p>
          <w:p w14:paraId="29128086" w14:textId="77777777" w:rsidR="006A783B" w:rsidRPr="004E4C24" w:rsidRDefault="006A783B" w:rsidP="006A783B">
            <w:pPr>
              <w:pStyle w:val="ListParagraph"/>
              <w:numPr>
                <w:ilvl w:val="0"/>
                <w:numId w:val="44"/>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Recommendation that all firefighters in charge are assessed on two pump incidents.</w:t>
            </w:r>
          </w:p>
          <w:p w14:paraId="45D94F33" w14:textId="77777777" w:rsidR="006A783B" w:rsidRPr="004E4C24" w:rsidRDefault="006A783B" w:rsidP="006A783B">
            <w:pPr>
              <w:pStyle w:val="ListParagraph"/>
              <w:numPr>
                <w:ilvl w:val="0"/>
                <w:numId w:val="44"/>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Consideration to be made for all firefighters in charge to complete Skills </w:t>
            </w:r>
            <w:proofErr w:type="gramStart"/>
            <w:r w:rsidRPr="004E4C24">
              <w:rPr>
                <w:rFonts w:ascii="Arial" w:eastAsia="Times New Roman" w:hAnsi="Arial" w:cs="Arial"/>
                <w:color w:val="000000"/>
                <w:sz w:val="20"/>
                <w:szCs w:val="20"/>
              </w:rPr>
              <w:t>For</w:t>
            </w:r>
            <w:proofErr w:type="gramEnd"/>
            <w:r w:rsidRPr="004E4C24">
              <w:rPr>
                <w:rFonts w:ascii="Arial" w:eastAsia="Times New Roman" w:hAnsi="Arial" w:cs="Arial"/>
                <w:color w:val="000000"/>
                <w:sz w:val="20"/>
                <w:szCs w:val="20"/>
              </w:rPr>
              <w:t xml:space="preserve"> Justice level 1 qualification. Currently within MWWFRS there is no Skills for Justice initial qualification in Incident command Level 3 (QCF level 6). Recommend introducing this qualification as part of the promotional process for Group Manager.</w:t>
            </w:r>
          </w:p>
          <w:p w14:paraId="3CC02C0C" w14:textId="77777777" w:rsidR="006A783B" w:rsidRPr="004E4C24" w:rsidRDefault="006A783B" w:rsidP="006A783B">
            <w:pPr>
              <w:pStyle w:val="ListParagraph"/>
              <w:numPr>
                <w:ilvl w:val="0"/>
                <w:numId w:val="44"/>
              </w:numPr>
              <w:autoSpaceDE w:val="0"/>
              <w:autoSpaceDN w:val="0"/>
              <w:adjustRightInd w:val="0"/>
              <w:ind w:left="425" w:hanging="284"/>
              <w:rPr>
                <w:rFonts w:ascii="Arial" w:eastAsia="Times New Roman" w:hAnsi="Arial" w:cs="Arial"/>
                <w:color w:val="000000"/>
                <w:sz w:val="20"/>
                <w:szCs w:val="20"/>
              </w:rPr>
            </w:pPr>
            <w:r w:rsidRPr="004E4C24">
              <w:rPr>
                <w:rFonts w:ascii="Arial" w:eastAsia="Times New Roman" w:hAnsi="Arial" w:cs="Arial"/>
                <w:color w:val="000000"/>
                <w:sz w:val="20"/>
                <w:szCs w:val="20"/>
              </w:rPr>
              <w:t>Version control of training documentation e.g. course content etc Work is currently ongoing is this area.</w:t>
            </w:r>
          </w:p>
          <w:p w14:paraId="33669E01" w14:textId="77777777" w:rsidR="006A783B" w:rsidRPr="004E4C24" w:rsidRDefault="006A783B" w:rsidP="00351957">
            <w:pPr>
              <w:pStyle w:val="ListParagraph"/>
              <w:autoSpaceDE w:val="0"/>
              <w:autoSpaceDN w:val="0"/>
              <w:adjustRightInd w:val="0"/>
              <w:rPr>
                <w:rFonts w:ascii="Arial" w:eastAsia="Times New Roman" w:hAnsi="Arial" w:cs="Arial"/>
                <w:color w:val="000000"/>
                <w:sz w:val="20"/>
                <w:szCs w:val="20"/>
              </w:rPr>
            </w:pPr>
          </w:p>
        </w:tc>
        <w:tc>
          <w:tcPr>
            <w:tcW w:w="1406" w:type="dxa"/>
          </w:tcPr>
          <w:p w14:paraId="02C85772"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Corporate Head of Operational Support and Improvement</w:t>
            </w:r>
          </w:p>
        </w:tc>
        <w:tc>
          <w:tcPr>
            <w:tcW w:w="2701" w:type="dxa"/>
          </w:tcPr>
          <w:p w14:paraId="5ACF640A" w14:textId="77777777" w:rsidR="006A783B" w:rsidRPr="004E4C24" w:rsidRDefault="006A783B" w:rsidP="00351957">
            <w:pPr>
              <w:autoSpaceDE w:val="0"/>
              <w:autoSpaceDN w:val="0"/>
              <w:adjustRightInd w:val="0"/>
              <w:rPr>
                <w:rFonts w:ascii="Arial" w:eastAsia="Times New Roman" w:hAnsi="Arial" w:cs="Arial"/>
                <w:color w:val="000000" w:themeColor="text1"/>
                <w:sz w:val="20"/>
                <w:szCs w:val="20"/>
              </w:rPr>
            </w:pPr>
            <w:r w:rsidRPr="004E4C24">
              <w:rPr>
                <w:rFonts w:ascii="Arial" w:eastAsia="Times New Roman" w:hAnsi="Arial" w:cs="Arial"/>
                <w:color w:val="000000" w:themeColor="text1"/>
                <w:sz w:val="20"/>
                <w:szCs w:val="20"/>
              </w:rPr>
              <w:t>Departments are familiar with the areas for development and the action plan for implementation has been factored into the 2019-20 departmental business plan.</w:t>
            </w:r>
          </w:p>
        </w:tc>
        <w:tc>
          <w:tcPr>
            <w:tcW w:w="1276" w:type="dxa"/>
          </w:tcPr>
          <w:p w14:paraId="613DB33E" w14:textId="77777777" w:rsidR="006A783B" w:rsidRPr="004E4C24" w:rsidRDefault="006A783B" w:rsidP="00351957">
            <w:pPr>
              <w:autoSpaceDE w:val="0"/>
              <w:autoSpaceDN w:val="0"/>
              <w:adjustRightInd w:val="0"/>
              <w:jc w:val="both"/>
              <w:rPr>
                <w:rFonts w:ascii="Arial" w:eastAsia="Times New Roman" w:hAnsi="Arial" w:cs="Arial"/>
                <w:color w:val="000000" w:themeColor="text1"/>
                <w:sz w:val="20"/>
                <w:szCs w:val="20"/>
              </w:rPr>
            </w:pPr>
            <w:r w:rsidRPr="004E4C24">
              <w:rPr>
                <w:rFonts w:ascii="Arial" w:eastAsia="Times New Roman" w:hAnsi="Arial" w:cs="Arial"/>
                <w:color w:val="000000" w:themeColor="text1"/>
                <w:sz w:val="20"/>
                <w:szCs w:val="20"/>
              </w:rPr>
              <w:t>Ongoing</w:t>
            </w:r>
          </w:p>
        </w:tc>
      </w:tr>
    </w:tbl>
    <w:p w14:paraId="313B67C2" w14:textId="77777777" w:rsidR="006A783B" w:rsidRPr="004E4C24" w:rsidRDefault="006A783B" w:rsidP="006A783B">
      <w:pPr>
        <w:jc w:val="both"/>
        <w:rPr>
          <w:rFonts w:ascii="Arial" w:eastAsia="Times New Roman" w:hAnsi="Arial" w:cs="Arial"/>
          <w:b/>
          <w:color w:val="000000"/>
        </w:rPr>
      </w:pPr>
    </w:p>
    <w:p w14:paraId="4F084302" w14:textId="77777777" w:rsidR="006A783B" w:rsidRPr="004E4C24" w:rsidRDefault="006A783B" w:rsidP="006A783B">
      <w:pPr>
        <w:jc w:val="both"/>
        <w:rPr>
          <w:rFonts w:ascii="Arial" w:eastAsia="Times New Roman" w:hAnsi="Arial" w:cs="Arial"/>
          <w:b/>
          <w:color w:val="000000"/>
        </w:rPr>
      </w:pPr>
    </w:p>
    <w:p w14:paraId="0AFF9326" w14:textId="77777777" w:rsidR="006A783B" w:rsidRPr="004E4C24" w:rsidRDefault="006A783B" w:rsidP="006A783B">
      <w:pPr>
        <w:jc w:val="both"/>
        <w:rPr>
          <w:rFonts w:ascii="Arial" w:eastAsia="Times New Roman" w:hAnsi="Arial" w:cs="Arial"/>
          <w:b/>
          <w:color w:val="000000"/>
        </w:rPr>
      </w:pPr>
    </w:p>
    <w:p w14:paraId="09BCD01B" w14:textId="77777777" w:rsidR="006A783B" w:rsidRPr="004E4C24" w:rsidRDefault="006A783B" w:rsidP="006A783B">
      <w:pPr>
        <w:jc w:val="both"/>
        <w:rPr>
          <w:rFonts w:ascii="Arial" w:eastAsia="Times New Roman" w:hAnsi="Arial" w:cs="Arial"/>
          <w:b/>
          <w:color w:val="000000"/>
        </w:rPr>
      </w:pPr>
    </w:p>
    <w:p w14:paraId="2B88513C" w14:textId="77777777" w:rsidR="006A783B" w:rsidRPr="004E4C24" w:rsidRDefault="006A783B" w:rsidP="006A783B">
      <w:pPr>
        <w:jc w:val="both"/>
        <w:rPr>
          <w:rFonts w:ascii="Arial" w:eastAsia="Times New Roman" w:hAnsi="Arial" w:cs="Arial"/>
          <w:b/>
          <w:color w:val="000000"/>
        </w:rPr>
      </w:pPr>
    </w:p>
    <w:p w14:paraId="27A131D5" w14:textId="77777777" w:rsidR="006A783B" w:rsidRPr="004E4C24" w:rsidRDefault="006A783B" w:rsidP="006A783B">
      <w:pPr>
        <w:jc w:val="both"/>
        <w:rPr>
          <w:rFonts w:ascii="Arial" w:eastAsia="Times New Roman" w:hAnsi="Arial" w:cs="Arial"/>
          <w:b/>
          <w:color w:val="000000"/>
        </w:rPr>
      </w:pPr>
    </w:p>
    <w:p w14:paraId="6E017358" w14:textId="03895B45" w:rsidR="006A783B" w:rsidRDefault="006A783B" w:rsidP="006A783B">
      <w:pPr>
        <w:jc w:val="both"/>
        <w:rPr>
          <w:rFonts w:ascii="Arial" w:eastAsia="Times New Roman" w:hAnsi="Arial" w:cs="Arial"/>
          <w:b/>
          <w:color w:val="000000"/>
        </w:rPr>
      </w:pPr>
    </w:p>
    <w:p w14:paraId="477F29F4" w14:textId="74793ED8" w:rsidR="006A783B" w:rsidRDefault="006A783B" w:rsidP="006A783B">
      <w:pPr>
        <w:jc w:val="both"/>
        <w:rPr>
          <w:rFonts w:ascii="Arial" w:eastAsia="Times New Roman" w:hAnsi="Arial" w:cs="Arial"/>
          <w:b/>
          <w:color w:val="000000"/>
        </w:rPr>
      </w:pPr>
    </w:p>
    <w:p w14:paraId="6A6CD010" w14:textId="6B76EFB8" w:rsidR="006A783B" w:rsidRDefault="006A783B" w:rsidP="006A783B">
      <w:pPr>
        <w:jc w:val="both"/>
        <w:rPr>
          <w:rFonts w:ascii="Arial" w:eastAsia="Times New Roman" w:hAnsi="Arial" w:cs="Arial"/>
          <w:b/>
          <w:color w:val="000000"/>
        </w:rPr>
      </w:pPr>
    </w:p>
    <w:p w14:paraId="4CD753FD" w14:textId="7BBDEB58" w:rsidR="006A783B" w:rsidRDefault="006A783B" w:rsidP="006A783B">
      <w:pPr>
        <w:jc w:val="both"/>
        <w:rPr>
          <w:rFonts w:ascii="Arial" w:eastAsia="Times New Roman" w:hAnsi="Arial" w:cs="Arial"/>
          <w:b/>
          <w:color w:val="000000"/>
        </w:rPr>
      </w:pPr>
    </w:p>
    <w:p w14:paraId="3FFA9863" w14:textId="0BB4ECE7" w:rsidR="006A783B" w:rsidRDefault="006A783B" w:rsidP="006A783B">
      <w:pPr>
        <w:jc w:val="both"/>
        <w:rPr>
          <w:rFonts w:ascii="Arial" w:eastAsia="Times New Roman" w:hAnsi="Arial" w:cs="Arial"/>
          <w:b/>
          <w:color w:val="000000"/>
        </w:rPr>
      </w:pPr>
    </w:p>
    <w:p w14:paraId="66236E2B" w14:textId="12193E41" w:rsidR="006A783B" w:rsidRDefault="006A783B" w:rsidP="006A783B">
      <w:pPr>
        <w:jc w:val="both"/>
        <w:rPr>
          <w:rFonts w:ascii="Arial" w:eastAsia="Times New Roman" w:hAnsi="Arial" w:cs="Arial"/>
          <w:b/>
          <w:color w:val="000000"/>
        </w:rPr>
      </w:pPr>
      <w:r w:rsidRPr="004E4C24">
        <w:rPr>
          <w:rFonts w:ascii="Arial" w:eastAsia="Times New Roman" w:hAnsi="Arial" w:cs="Arial"/>
          <w:b/>
          <w:color w:val="000000"/>
        </w:rPr>
        <w:t xml:space="preserve">Appendix 2: 2018/19 Action </w:t>
      </w:r>
    </w:p>
    <w:p w14:paraId="6D760463" w14:textId="77777777" w:rsidR="006A783B" w:rsidRPr="004E4C24" w:rsidRDefault="006A783B" w:rsidP="006A783B">
      <w:pPr>
        <w:jc w:val="both"/>
        <w:rPr>
          <w:rFonts w:ascii="Arial" w:eastAsia="Times New Roman" w:hAnsi="Arial" w:cs="Arial"/>
          <w:b/>
          <w:color w:val="FF0000"/>
        </w:rPr>
      </w:pPr>
    </w:p>
    <w:tbl>
      <w:tblPr>
        <w:tblStyle w:val="TableGrid"/>
        <w:tblW w:w="8642" w:type="dxa"/>
        <w:tblLook w:val="04A0" w:firstRow="1" w:lastRow="0" w:firstColumn="1" w:lastColumn="0" w:noHBand="0" w:noVBand="1"/>
      </w:tblPr>
      <w:tblGrid>
        <w:gridCol w:w="1806"/>
        <w:gridCol w:w="2405"/>
        <w:gridCol w:w="2226"/>
        <w:gridCol w:w="2205"/>
      </w:tblGrid>
      <w:tr w:rsidR="006A783B" w:rsidRPr="004E4C24" w14:paraId="0CC4A9E4" w14:textId="77777777" w:rsidTr="00351957">
        <w:tc>
          <w:tcPr>
            <w:tcW w:w="1806" w:type="dxa"/>
            <w:shd w:val="clear" w:color="auto" w:fill="C9C9C9" w:themeFill="accent3" w:themeFillTint="99"/>
            <w:vAlign w:val="center"/>
          </w:tcPr>
          <w:p w14:paraId="784665CC"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 xml:space="preserve">Governance </w:t>
            </w:r>
          </w:p>
        </w:tc>
        <w:tc>
          <w:tcPr>
            <w:tcW w:w="2405" w:type="dxa"/>
            <w:shd w:val="clear" w:color="auto" w:fill="C9C9C9" w:themeFill="accent3" w:themeFillTint="99"/>
            <w:vAlign w:val="center"/>
          </w:tcPr>
          <w:p w14:paraId="3FBC3ED1"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 xml:space="preserve">Action </w:t>
            </w:r>
          </w:p>
        </w:tc>
        <w:tc>
          <w:tcPr>
            <w:tcW w:w="2226" w:type="dxa"/>
            <w:shd w:val="clear" w:color="auto" w:fill="C9C9C9" w:themeFill="accent3" w:themeFillTint="99"/>
            <w:vAlign w:val="center"/>
          </w:tcPr>
          <w:p w14:paraId="33C2AD92"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Responsible Officer</w:t>
            </w:r>
          </w:p>
        </w:tc>
        <w:tc>
          <w:tcPr>
            <w:tcW w:w="2205" w:type="dxa"/>
            <w:shd w:val="clear" w:color="auto" w:fill="C9C9C9" w:themeFill="accent3" w:themeFillTint="99"/>
          </w:tcPr>
          <w:p w14:paraId="4E89851E" w14:textId="77777777" w:rsidR="006A783B" w:rsidRPr="004E4C24" w:rsidRDefault="006A783B" w:rsidP="00351957">
            <w:pPr>
              <w:autoSpaceDE w:val="0"/>
              <w:autoSpaceDN w:val="0"/>
              <w:adjustRightInd w:val="0"/>
              <w:rPr>
                <w:rFonts w:ascii="Arial" w:eastAsia="Times New Roman" w:hAnsi="Arial" w:cs="Arial"/>
                <w:b/>
                <w:color w:val="000000"/>
                <w:sz w:val="20"/>
                <w:szCs w:val="20"/>
              </w:rPr>
            </w:pPr>
            <w:r w:rsidRPr="004E4C24">
              <w:rPr>
                <w:rFonts w:ascii="Arial" w:eastAsia="Times New Roman" w:hAnsi="Arial" w:cs="Arial"/>
                <w:b/>
                <w:color w:val="000000"/>
                <w:sz w:val="20"/>
                <w:szCs w:val="20"/>
              </w:rPr>
              <w:t>Target Date</w:t>
            </w:r>
          </w:p>
        </w:tc>
      </w:tr>
      <w:tr w:rsidR="006A783B" w:rsidRPr="004E4C24" w14:paraId="769CD4AE" w14:textId="77777777" w:rsidTr="00351957">
        <w:trPr>
          <w:trHeight w:val="1154"/>
        </w:trPr>
        <w:tc>
          <w:tcPr>
            <w:tcW w:w="1806" w:type="dxa"/>
          </w:tcPr>
          <w:p w14:paraId="6FB64912"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Internal Audit recommendations </w:t>
            </w:r>
          </w:p>
        </w:tc>
        <w:tc>
          <w:tcPr>
            <w:tcW w:w="2405" w:type="dxa"/>
          </w:tcPr>
          <w:p w14:paraId="3F1E2F0D"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Reflect on recommendations from Internal Audit and build in to action plans.</w:t>
            </w:r>
          </w:p>
        </w:tc>
        <w:tc>
          <w:tcPr>
            <w:tcW w:w="2226" w:type="dxa"/>
          </w:tcPr>
          <w:p w14:paraId="03FFD4C7"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Relevant Heads of Service</w:t>
            </w:r>
          </w:p>
        </w:tc>
        <w:tc>
          <w:tcPr>
            <w:tcW w:w="2205" w:type="dxa"/>
          </w:tcPr>
          <w:p w14:paraId="08927B9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As agreed with Internal Audit</w:t>
            </w:r>
          </w:p>
        </w:tc>
      </w:tr>
      <w:tr w:rsidR="006A783B" w:rsidRPr="004E4C24" w14:paraId="4EB2EB4D" w14:textId="77777777" w:rsidTr="00351957">
        <w:trPr>
          <w:trHeight w:val="1154"/>
        </w:trPr>
        <w:tc>
          <w:tcPr>
            <w:tcW w:w="1806" w:type="dxa"/>
          </w:tcPr>
          <w:p w14:paraId="7997FC36"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Internal Audit opinion</w:t>
            </w:r>
          </w:p>
        </w:tc>
        <w:tc>
          <w:tcPr>
            <w:tcW w:w="2405" w:type="dxa"/>
          </w:tcPr>
          <w:p w14:paraId="56B39E20"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Ensure the final AGS which accompanies the Statement of Accounts includes the opinion of the Head of Internal Audit for the current year.</w:t>
            </w:r>
          </w:p>
          <w:p w14:paraId="43C60ADD"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226" w:type="dxa"/>
          </w:tcPr>
          <w:p w14:paraId="1F9BA6F0"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Head of Internal Audit</w:t>
            </w:r>
          </w:p>
        </w:tc>
        <w:tc>
          <w:tcPr>
            <w:tcW w:w="2205" w:type="dxa"/>
          </w:tcPr>
          <w:p w14:paraId="3160192F"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June 2020</w:t>
            </w:r>
          </w:p>
        </w:tc>
      </w:tr>
      <w:tr w:rsidR="006A783B" w:rsidRPr="004E4C24" w14:paraId="541F320D" w14:textId="77777777" w:rsidTr="00351957">
        <w:tc>
          <w:tcPr>
            <w:tcW w:w="1806" w:type="dxa"/>
          </w:tcPr>
          <w:p w14:paraId="40F9D0E6"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External Audit recommendations</w:t>
            </w:r>
          </w:p>
        </w:tc>
        <w:tc>
          <w:tcPr>
            <w:tcW w:w="2405" w:type="dxa"/>
          </w:tcPr>
          <w:p w14:paraId="4ACFDEE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Reflect on recommendations from External Audit and build in to action plans.</w:t>
            </w:r>
          </w:p>
          <w:p w14:paraId="23A7D5A2"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226" w:type="dxa"/>
          </w:tcPr>
          <w:p w14:paraId="78BB6FC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Relevant Heads of Service</w:t>
            </w:r>
          </w:p>
        </w:tc>
        <w:tc>
          <w:tcPr>
            <w:tcW w:w="2205" w:type="dxa"/>
          </w:tcPr>
          <w:p w14:paraId="49BC33E2"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As agreed with External Audit</w:t>
            </w:r>
          </w:p>
        </w:tc>
      </w:tr>
      <w:tr w:rsidR="006A783B" w:rsidRPr="004E4C24" w14:paraId="5347E337" w14:textId="77777777" w:rsidTr="00351957">
        <w:tc>
          <w:tcPr>
            <w:tcW w:w="1806" w:type="dxa"/>
          </w:tcPr>
          <w:p w14:paraId="4BD00B77"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Code of Corporate Governance</w:t>
            </w:r>
          </w:p>
        </w:tc>
        <w:tc>
          <w:tcPr>
            <w:tcW w:w="2405" w:type="dxa"/>
          </w:tcPr>
          <w:p w14:paraId="0754BFE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Establish the Code of Corporate Governance as a standing agenda item on the Business Risk Management Group agenda to ensure progress and key issues associated with Code are monitored by senior officers and Member representatives.</w:t>
            </w:r>
          </w:p>
          <w:p w14:paraId="5952DB6E"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 </w:t>
            </w:r>
          </w:p>
        </w:tc>
        <w:tc>
          <w:tcPr>
            <w:tcW w:w="2226" w:type="dxa"/>
          </w:tcPr>
          <w:p w14:paraId="5AB8F4F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Head of Corporate Communications and Business Development </w:t>
            </w:r>
          </w:p>
        </w:tc>
        <w:tc>
          <w:tcPr>
            <w:tcW w:w="2205" w:type="dxa"/>
          </w:tcPr>
          <w:p w14:paraId="049B4237"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June 2019</w:t>
            </w:r>
          </w:p>
        </w:tc>
      </w:tr>
      <w:tr w:rsidR="006A783B" w:rsidRPr="004E4C24" w14:paraId="17434B77" w14:textId="77777777" w:rsidTr="00351957">
        <w:tc>
          <w:tcPr>
            <w:tcW w:w="1806" w:type="dxa"/>
          </w:tcPr>
          <w:p w14:paraId="07E48768"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Constitution</w:t>
            </w:r>
          </w:p>
          <w:p w14:paraId="652B4CC3"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405" w:type="dxa"/>
          </w:tcPr>
          <w:p w14:paraId="492CC695"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Review and revise the Constitution to ensure fit for purpose.</w:t>
            </w:r>
          </w:p>
          <w:p w14:paraId="55CB11A0"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226" w:type="dxa"/>
          </w:tcPr>
          <w:p w14:paraId="6A701C9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Monitoring Officer</w:t>
            </w:r>
          </w:p>
        </w:tc>
        <w:tc>
          <w:tcPr>
            <w:tcW w:w="2205" w:type="dxa"/>
          </w:tcPr>
          <w:p w14:paraId="6A0685AE"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September 2019</w:t>
            </w:r>
          </w:p>
        </w:tc>
      </w:tr>
      <w:tr w:rsidR="006A783B" w:rsidRPr="004E4C24" w14:paraId="3C12032A" w14:textId="77777777" w:rsidTr="00351957">
        <w:tc>
          <w:tcPr>
            <w:tcW w:w="1806" w:type="dxa"/>
          </w:tcPr>
          <w:p w14:paraId="0BB2D340"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Finance Procedural Notes</w:t>
            </w:r>
          </w:p>
        </w:tc>
        <w:tc>
          <w:tcPr>
            <w:tcW w:w="2405" w:type="dxa"/>
          </w:tcPr>
          <w:p w14:paraId="665EE882"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Review and revise the Finance Procedural Notes to ensure fit for purpose.</w:t>
            </w:r>
          </w:p>
          <w:p w14:paraId="620AAE26" w14:textId="77777777" w:rsidR="006A783B" w:rsidRPr="004E4C24" w:rsidRDefault="006A783B" w:rsidP="00351957">
            <w:pPr>
              <w:autoSpaceDE w:val="0"/>
              <w:autoSpaceDN w:val="0"/>
              <w:adjustRightInd w:val="0"/>
              <w:rPr>
                <w:rFonts w:ascii="Arial" w:eastAsia="Times New Roman" w:hAnsi="Arial" w:cs="Arial"/>
                <w:color w:val="000000"/>
                <w:sz w:val="20"/>
                <w:szCs w:val="20"/>
              </w:rPr>
            </w:pPr>
          </w:p>
        </w:tc>
        <w:tc>
          <w:tcPr>
            <w:tcW w:w="2226" w:type="dxa"/>
          </w:tcPr>
          <w:p w14:paraId="4EC7C95C"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 xml:space="preserve">Head of Finance </w:t>
            </w:r>
          </w:p>
        </w:tc>
        <w:tc>
          <w:tcPr>
            <w:tcW w:w="2205" w:type="dxa"/>
          </w:tcPr>
          <w:p w14:paraId="6184BB4A" w14:textId="77777777" w:rsidR="006A783B" w:rsidRPr="004E4C24" w:rsidRDefault="006A783B" w:rsidP="00351957">
            <w:pPr>
              <w:autoSpaceDE w:val="0"/>
              <w:autoSpaceDN w:val="0"/>
              <w:adjustRightInd w:val="0"/>
              <w:rPr>
                <w:rFonts w:ascii="Arial" w:eastAsia="Times New Roman" w:hAnsi="Arial" w:cs="Arial"/>
                <w:color w:val="000000"/>
                <w:sz w:val="20"/>
                <w:szCs w:val="20"/>
              </w:rPr>
            </w:pPr>
            <w:r w:rsidRPr="004E4C24">
              <w:rPr>
                <w:rFonts w:ascii="Arial" w:eastAsia="Times New Roman" w:hAnsi="Arial" w:cs="Arial"/>
                <w:color w:val="000000"/>
                <w:sz w:val="20"/>
                <w:szCs w:val="20"/>
              </w:rPr>
              <w:t>December 2019</w:t>
            </w:r>
          </w:p>
        </w:tc>
      </w:tr>
    </w:tbl>
    <w:p w14:paraId="1A1030B6" w14:textId="77777777" w:rsidR="006A783B" w:rsidRPr="004E4C24" w:rsidRDefault="006A783B" w:rsidP="006A783B">
      <w:pPr>
        <w:jc w:val="both"/>
        <w:rPr>
          <w:rFonts w:ascii="Arial" w:eastAsia="Times New Roman" w:hAnsi="Arial" w:cs="Arial"/>
          <w:b/>
          <w:color w:val="000000"/>
        </w:rPr>
      </w:pPr>
    </w:p>
    <w:p w14:paraId="7A297068" w14:textId="77777777" w:rsidR="006A783B" w:rsidRPr="004E4C24" w:rsidRDefault="006A783B" w:rsidP="006A783B">
      <w:pPr>
        <w:jc w:val="both"/>
        <w:rPr>
          <w:rFonts w:ascii="Arial" w:eastAsia="Times New Roman" w:hAnsi="Arial" w:cs="Arial"/>
          <w:b/>
          <w:color w:val="000000"/>
        </w:rPr>
      </w:pPr>
    </w:p>
    <w:p w14:paraId="22CA5220" w14:textId="77777777" w:rsidR="006A783B" w:rsidRPr="004E4C24" w:rsidRDefault="006A783B" w:rsidP="006A783B">
      <w:pPr>
        <w:jc w:val="both"/>
        <w:rPr>
          <w:rFonts w:ascii="Arial" w:eastAsia="Times New Roman" w:hAnsi="Arial" w:cs="Arial"/>
          <w:b/>
          <w:color w:val="000000"/>
        </w:rPr>
      </w:pPr>
    </w:p>
    <w:p w14:paraId="46BD5158" w14:textId="77777777" w:rsidR="006A783B" w:rsidRPr="004E4C24" w:rsidRDefault="006A783B" w:rsidP="006A783B">
      <w:pPr>
        <w:jc w:val="both"/>
        <w:rPr>
          <w:rFonts w:ascii="Arial" w:eastAsia="Times New Roman" w:hAnsi="Arial" w:cs="Arial"/>
          <w:b/>
          <w:color w:val="000000"/>
        </w:rPr>
      </w:pPr>
    </w:p>
    <w:p w14:paraId="67E66DE4" w14:textId="77777777" w:rsidR="006A783B" w:rsidRPr="004E4C24" w:rsidRDefault="006A783B" w:rsidP="006A783B">
      <w:pPr>
        <w:jc w:val="both"/>
        <w:rPr>
          <w:rFonts w:ascii="Arial" w:eastAsia="Times New Roman" w:hAnsi="Arial" w:cs="Arial"/>
          <w:b/>
          <w:color w:val="000000"/>
        </w:rPr>
      </w:pPr>
    </w:p>
    <w:p w14:paraId="0E12A444" w14:textId="77777777" w:rsidR="006A783B" w:rsidRPr="004E4C24" w:rsidRDefault="006A783B" w:rsidP="006A783B">
      <w:pPr>
        <w:jc w:val="both"/>
        <w:rPr>
          <w:rFonts w:ascii="Arial" w:eastAsia="Times New Roman" w:hAnsi="Arial" w:cs="Arial"/>
          <w:b/>
          <w:color w:val="000000"/>
        </w:rPr>
      </w:pPr>
    </w:p>
    <w:p w14:paraId="7C346F69" w14:textId="77777777" w:rsidR="006A783B" w:rsidRPr="004E4C24" w:rsidRDefault="006A783B" w:rsidP="006A783B">
      <w:pPr>
        <w:jc w:val="both"/>
        <w:rPr>
          <w:rFonts w:ascii="Arial" w:eastAsia="Times New Roman" w:hAnsi="Arial" w:cs="Arial"/>
          <w:b/>
          <w:color w:val="000000"/>
        </w:rPr>
      </w:pPr>
    </w:p>
    <w:sectPr w:rsidR="006A783B" w:rsidRPr="004E4C24" w:rsidSect="00FB7274">
      <w:footerReference w:type="default" r:id="rId19"/>
      <w:pgSz w:w="11900" w:h="16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3611" w14:textId="77777777" w:rsidR="000A1AA9" w:rsidRDefault="000A1AA9">
      <w:r>
        <w:separator/>
      </w:r>
    </w:p>
  </w:endnote>
  <w:endnote w:type="continuationSeparator" w:id="0">
    <w:p w14:paraId="7A2D1612" w14:textId="77777777" w:rsidR="000A1AA9" w:rsidRDefault="000A1AA9">
      <w:r>
        <w:continuationSeparator/>
      </w:r>
    </w:p>
  </w:endnote>
  <w:endnote w:type="continuationNotice" w:id="1">
    <w:p w14:paraId="61DF5DF2" w14:textId="77777777" w:rsidR="000A1AA9" w:rsidRDefault="000A1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FS Lola">
    <w:altName w:val="Cambria"/>
    <w:panose1 w:val="00000000000000000000"/>
    <w:charset w:val="00"/>
    <w:family w:val="roman"/>
    <w:notTrueType/>
    <w:pitch w:val="default"/>
    <w:sig w:usb0="00000003" w:usb1="00000000" w:usb2="00000000" w:usb3="00000000" w:csb0="00000001" w:csb1="00000000"/>
  </w:font>
  <w:font w:name="Swiss721BT-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5EC1" w14:textId="77777777" w:rsidR="00545449" w:rsidRDefault="0054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F268" w14:textId="77777777" w:rsidR="00545449" w:rsidRDefault="00545449">
    <w:pPr>
      <w:pStyle w:val="Footer"/>
      <w:jc w:val="center"/>
    </w:pPr>
  </w:p>
  <w:p w14:paraId="38433F9F" w14:textId="77777777" w:rsidR="00545449" w:rsidRDefault="00545449" w:rsidP="008F013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5E3D" w14:textId="77777777" w:rsidR="00545449" w:rsidRDefault="005454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87E2" w14:textId="77777777" w:rsidR="00545449" w:rsidRPr="004D1896" w:rsidRDefault="000A1AA9" w:rsidP="008F013B">
    <w:pPr>
      <w:pStyle w:val="Footer"/>
      <w:tabs>
        <w:tab w:val="clear" w:pos="4513"/>
        <w:tab w:val="center" w:pos="4510"/>
        <w:tab w:val="left" w:pos="6090"/>
      </w:tabs>
      <w:jc w:val="center"/>
      <w:rPr>
        <w:rFonts w:ascii="Verdana" w:hAnsi="Verdana"/>
        <w:sz w:val="22"/>
        <w:szCs w:val="22"/>
      </w:rPr>
    </w:pPr>
    <w:sdt>
      <w:sdtPr>
        <w:id w:val="-1252808656"/>
        <w:docPartObj>
          <w:docPartGallery w:val="Page Numbers (Bottom of Page)"/>
          <w:docPartUnique/>
        </w:docPartObj>
      </w:sdtPr>
      <w:sdtEndPr>
        <w:rPr>
          <w:rFonts w:ascii="Verdana" w:hAnsi="Verdana"/>
          <w:noProof/>
          <w:sz w:val="22"/>
          <w:szCs w:val="22"/>
        </w:rPr>
      </w:sdtEndPr>
      <w:sdtContent>
        <w:r w:rsidR="00545449" w:rsidRPr="004D1896">
          <w:rPr>
            <w:rFonts w:ascii="Verdana" w:hAnsi="Verdana"/>
            <w:sz w:val="22"/>
            <w:szCs w:val="22"/>
          </w:rPr>
          <w:fldChar w:fldCharType="begin"/>
        </w:r>
        <w:r w:rsidR="00545449" w:rsidRPr="004D1896">
          <w:rPr>
            <w:rFonts w:ascii="Verdana" w:hAnsi="Verdana"/>
            <w:sz w:val="22"/>
            <w:szCs w:val="22"/>
          </w:rPr>
          <w:instrText xml:space="preserve"> PAGE   \* MERGEFORMAT </w:instrText>
        </w:r>
        <w:r w:rsidR="00545449" w:rsidRPr="004D1896">
          <w:rPr>
            <w:rFonts w:ascii="Verdana" w:hAnsi="Verdana"/>
            <w:sz w:val="22"/>
            <w:szCs w:val="22"/>
          </w:rPr>
          <w:fldChar w:fldCharType="separate"/>
        </w:r>
        <w:r w:rsidR="00545449">
          <w:rPr>
            <w:rFonts w:ascii="Verdana" w:hAnsi="Verdana"/>
            <w:noProof/>
            <w:sz w:val="22"/>
            <w:szCs w:val="22"/>
          </w:rPr>
          <w:t>112</w:t>
        </w:r>
        <w:r w:rsidR="00545449" w:rsidRPr="004D1896">
          <w:rPr>
            <w:rFonts w:ascii="Verdana" w:hAnsi="Verdana"/>
            <w:noProof/>
            <w:sz w:val="22"/>
            <w:szCs w:val="22"/>
          </w:rPr>
          <w:fldChar w:fldCharType="end"/>
        </w:r>
      </w:sdtContent>
    </w:sdt>
  </w:p>
  <w:p w14:paraId="6CA5D1ED" w14:textId="77777777" w:rsidR="00545449" w:rsidRDefault="00545449" w:rsidP="008F013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077233"/>
      <w:docPartObj>
        <w:docPartGallery w:val="Page Numbers (Bottom of Page)"/>
        <w:docPartUnique/>
      </w:docPartObj>
    </w:sdtPr>
    <w:sdtEndPr>
      <w:rPr>
        <w:noProof/>
      </w:rPr>
    </w:sdtEndPr>
    <w:sdtContent>
      <w:p w14:paraId="2F773430" w14:textId="77777777" w:rsidR="00545449" w:rsidRDefault="00545449" w:rsidP="007B6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9E64A" w14:textId="77777777" w:rsidR="00545449" w:rsidRDefault="0054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9BCF" w14:textId="77777777" w:rsidR="000A1AA9" w:rsidRDefault="000A1AA9">
      <w:r>
        <w:separator/>
      </w:r>
    </w:p>
  </w:footnote>
  <w:footnote w:type="continuationSeparator" w:id="0">
    <w:p w14:paraId="6AE1BE99" w14:textId="77777777" w:rsidR="000A1AA9" w:rsidRDefault="000A1AA9">
      <w:r>
        <w:continuationSeparator/>
      </w:r>
    </w:p>
  </w:footnote>
  <w:footnote w:type="continuationNotice" w:id="1">
    <w:p w14:paraId="20077915" w14:textId="77777777" w:rsidR="000A1AA9" w:rsidRDefault="000A1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68E1" w14:textId="77777777" w:rsidR="00545449" w:rsidRDefault="0054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6827" w14:textId="77777777" w:rsidR="00545449" w:rsidRDefault="0054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6723" w14:textId="77777777" w:rsidR="00545449" w:rsidRDefault="0054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200A96BA"/>
    <w:lvl w:ilvl="0" w:tplc="8C9A6DDA">
      <w:start w:val="1"/>
      <w:numFmt w:val="bullet"/>
      <w:lvlText w:val=""/>
      <w:lvlJc w:val="left"/>
      <w:pPr>
        <w:tabs>
          <w:tab w:val="num" w:pos="720"/>
        </w:tabs>
        <w:ind w:left="720" w:hanging="360"/>
      </w:pPr>
      <w:rPr>
        <w:rFonts w:ascii="Symbol" w:hAnsi="Symbol" w:hint="default"/>
        <w:color w:val="auto"/>
      </w:rPr>
    </w:lvl>
    <w:lvl w:ilvl="1" w:tplc="D018B01E" w:tentative="1">
      <w:start w:val="1"/>
      <w:numFmt w:val="bullet"/>
      <w:lvlText w:val="o"/>
      <w:lvlJc w:val="left"/>
      <w:pPr>
        <w:tabs>
          <w:tab w:val="num" w:pos="1440"/>
        </w:tabs>
        <w:ind w:left="1440" w:hanging="360"/>
      </w:pPr>
      <w:rPr>
        <w:rFonts w:ascii="Courier New" w:hAnsi="Courier New" w:cs="Courier New" w:hint="default"/>
      </w:rPr>
    </w:lvl>
    <w:lvl w:ilvl="2" w:tplc="1A408D70" w:tentative="1">
      <w:start w:val="1"/>
      <w:numFmt w:val="bullet"/>
      <w:lvlText w:val=""/>
      <w:lvlJc w:val="left"/>
      <w:pPr>
        <w:tabs>
          <w:tab w:val="num" w:pos="2160"/>
        </w:tabs>
        <w:ind w:left="2160" w:hanging="360"/>
      </w:pPr>
      <w:rPr>
        <w:rFonts w:ascii="Wingdings" w:hAnsi="Wingdings" w:hint="default"/>
      </w:rPr>
    </w:lvl>
    <w:lvl w:ilvl="3" w:tplc="AA5C1E86" w:tentative="1">
      <w:start w:val="1"/>
      <w:numFmt w:val="bullet"/>
      <w:lvlText w:val=""/>
      <w:lvlJc w:val="left"/>
      <w:pPr>
        <w:tabs>
          <w:tab w:val="num" w:pos="2880"/>
        </w:tabs>
        <w:ind w:left="2880" w:hanging="360"/>
      </w:pPr>
      <w:rPr>
        <w:rFonts w:ascii="Symbol" w:hAnsi="Symbol" w:hint="default"/>
      </w:rPr>
    </w:lvl>
    <w:lvl w:ilvl="4" w:tplc="77B26BF6" w:tentative="1">
      <w:start w:val="1"/>
      <w:numFmt w:val="bullet"/>
      <w:lvlText w:val="o"/>
      <w:lvlJc w:val="left"/>
      <w:pPr>
        <w:tabs>
          <w:tab w:val="num" w:pos="3600"/>
        </w:tabs>
        <w:ind w:left="3600" w:hanging="360"/>
      </w:pPr>
      <w:rPr>
        <w:rFonts w:ascii="Courier New" w:hAnsi="Courier New" w:cs="Courier New" w:hint="default"/>
      </w:rPr>
    </w:lvl>
    <w:lvl w:ilvl="5" w:tplc="3528A59E" w:tentative="1">
      <w:start w:val="1"/>
      <w:numFmt w:val="bullet"/>
      <w:lvlText w:val=""/>
      <w:lvlJc w:val="left"/>
      <w:pPr>
        <w:tabs>
          <w:tab w:val="num" w:pos="4320"/>
        </w:tabs>
        <w:ind w:left="4320" w:hanging="360"/>
      </w:pPr>
      <w:rPr>
        <w:rFonts w:ascii="Wingdings" w:hAnsi="Wingdings" w:hint="default"/>
      </w:rPr>
    </w:lvl>
    <w:lvl w:ilvl="6" w:tplc="260027DE" w:tentative="1">
      <w:start w:val="1"/>
      <w:numFmt w:val="bullet"/>
      <w:lvlText w:val=""/>
      <w:lvlJc w:val="left"/>
      <w:pPr>
        <w:tabs>
          <w:tab w:val="num" w:pos="5040"/>
        </w:tabs>
        <w:ind w:left="5040" w:hanging="360"/>
      </w:pPr>
      <w:rPr>
        <w:rFonts w:ascii="Symbol" w:hAnsi="Symbol" w:hint="default"/>
      </w:rPr>
    </w:lvl>
    <w:lvl w:ilvl="7" w:tplc="D3C84696" w:tentative="1">
      <w:start w:val="1"/>
      <w:numFmt w:val="bullet"/>
      <w:lvlText w:val="o"/>
      <w:lvlJc w:val="left"/>
      <w:pPr>
        <w:tabs>
          <w:tab w:val="num" w:pos="5760"/>
        </w:tabs>
        <w:ind w:left="5760" w:hanging="360"/>
      </w:pPr>
      <w:rPr>
        <w:rFonts w:ascii="Courier New" w:hAnsi="Courier New" w:cs="Courier New" w:hint="default"/>
      </w:rPr>
    </w:lvl>
    <w:lvl w:ilvl="8" w:tplc="4F54C7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D"/>
    <w:multiLevelType w:val="hybridMultilevel"/>
    <w:tmpl w:val="715098C8"/>
    <w:lvl w:ilvl="0" w:tplc="953822A4">
      <w:start w:val="1"/>
      <w:numFmt w:val="bullet"/>
      <w:lvlText w:val=""/>
      <w:lvlJc w:val="left"/>
      <w:pPr>
        <w:tabs>
          <w:tab w:val="num" w:pos="720"/>
        </w:tabs>
        <w:ind w:left="720" w:hanging="360"/>
      </w:pPr>
      <w:rPr>
        <w:rFonts w:ascii="Symbol" w:hAnsi="Symbol" w:hint="default"/>
        <w:color w:val="auto"/>
      </w:rPr>
    </w:lvl>
    <w:lvl w:ilvl="1" w:tplc="C8FE6FE0">
      <w:numFmt w:val="bullet"/>
      <w:lvlText w:val="•"/>
      <w:lvlJc w:val="left"/>
      <w:pPr>
        <w:ind w:left="1440" w:hanging="360"/>
      </w:pPr>
      <w:rPr>
        <w:rFonts w:ascii="Arial" w:eastAsiaTheme="minorHAnsi" w:hAnsi="Arial" w:cs="Arial" w:hint="default"/>
      </w:rPr>
    </w:lvl>
    <w:lvl w:ilvl="2" w:tplc="3B8CE6CA" w:tentative="1">
      <w:start w:val="1"/>
      <w:numFmt w:val="bullet"/>
      <w:lvlText w:val=""/>
      <w:lvlJc w:val="left"/>
      <w:pPr>
        <w:tabs>
          <w:tab w:val="num" w:pos="2160"/>
        </w:tabs>
        <w:ind w:left="2160" w:hanging="360"/>
      </w:pPr>
      <w:rPr>
        <w:rFonts w:ascii="Wingdings" w:hAnsi="Wingdings" w:hint="default"/>
      </w:rPr>
    </w:lvl>
    <w:lvl w:ilvl="3" w:tplc="50149DAE" w:tentative="1">
      <w:start w:val="1"/>
      <w:numFmt w:val="bullet"/>
      <w:lvlText w:val=""/>
      <w:lvlJc w:val="left"/>
      <w:pPr>
        <w:tabs>
          <w:tab w:val="num" w:pos="2880"/>
        </w:tabs>
        <w:ind w:left="2880" w:hanging="360"/>
      </w:pPr>
      <w:rPr>
        <w:rFonts w:ascii="Symbol" w:hAnsi="Symbol" w:hint="default"/>
      </w:rPr>
    </w:lvl>
    <w:lvl w:ilvl="4" w:tplc="AB26772A" w:tentative="1">
      <w:start w:val="1"/>
      <w:numFmt w:val="bullet"/>
      <w:lvlText w:val="o"/>
      <w:lvlJc w:val="left"/>
      <w:pPr>
        <w:tabs>
          <w:tab w:val="num" w:pos="3600"/>
        </w:tabs>
        <w:ind w:left="3600" w:hanging="360"/>
      </w:pPr>
      <w:rPr>
        <w:rFonts w:ascii="Courier New" w:hAnsi="Courier New" w:cs="Courier New" w:hint="default"/>
      </w:rPr>
    </w:lvl>
    <w:lvl w:ilvl="5" w:tplc="02EC7044" w:tentative="1">
      <w:start w:val="1"/>
      <w:numFmt w:val="bullet"/>
      <w:lvlText w:val=""/>
      <w:lvlJc w:val="left"/>
      <w:pPr>
        <w:tabs>
          <w:tab w:val="num" w:pos="4320"/>
        </w:tabs>
        <w:ind w:left="4320" w:hanging="360"/>
      </w:pPr>
      <w:rPr>
        <w:rFonts w:ascii="Wingdings" w:hAnsi="Wingdings" w:hint="default"/>
      </w:rPr>
    </w:lvl>
    <w:lvl w:ilvl="6" w:tplc="3EFA45EE" w:tentative="1">
      <w:start w:val="1"/>
      <w:numFmt w:val="bullet"/>
      <w:lvlText w:val=""/>
      <w:lvlJc w:val="left"/>
      <w:pPr>
        <w:tabs>
          <w:tab w:val="num" w:pos="5040"/>
        </w:tabs>
        <w:ind w:left="5040" w:hanging="360"/>
      </w:pPr>
      <w:rPr>
        <w:rFonts w:ascii="Symbol" w:hAnsi="Symbol" w:hint="default"/>
      </w:rPr>
    </w:lvl>
    <w:lvl w:ilvl="7" w:tplc="2DF2FBE4" w:tentative="1">
      <w:start w:val="1"/>
      <w:numFmt w:val="bullet"/>
      <w:lvlText w:val="o"/>
      <w:lvlJc w:val="left"/>
      <w:pPr>
        <w:tabs>
          <w:tab w:val="num" w:pos="5760"/>
        </w:tabs>
        <w:ind w:left="5760" w:hanging="360"/>
      </w:pPr>
      <w:rPr>
        <w:rFonts w:ascii="Courier New" w:hAnsi="Courier New" w:cs="Courier New" w:hint="default"/>
      </w:rPr>
    </w:lvl>
    <w:lvl w:ilvl="8" w:tplc="EDF0B6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E"/>
    <w:multiLevelType w:val="hybridMultilevel"/>
    <w:tmpl w:val="09AA3A04"/>
    <w:lvl w:ilvl="0" w:tplc="BE1CC8BA">
      <w:start w:val="1"/>
      <w:numFmt w:val="bullet"/>
      <w:lvlText w:val=""/>
      <w:lvlJc w:val="left"/>
      <w:pPr>
        <w:tabs>
          <w:tab w:val="num" w:pos="720"/>
        </w:tabs>
        <w:ind w:left="720" w:hanging="360"/>
      </w:pPr>
      <w:rPr>
        <w:rFonts w:ascii="Symbol" w:hAnsi="Symbol" w:hint="default"/>
        <w:color w:val="auto"/>
      </w:rPr>
    </w:lvl>
    <w:lvl w:ilvl="1" w:tplc="08282EEE" w:tentative="1">
      <w:start w:val="1"/>
      <w:numFmt w:val="bullet"/>
      <w:lvlText w:val="o"/>
      <w:lvlJc w:val="left"/>
      <w:pPr>
        <w:tabs>
          <w:tab w:val="num" w:pos="1440"/>
        </w:tabs>
        <w:ind w:left="1440" w:hanging="360"/>
      </w:pPr>
      <w:rPr>
        <w:rFonts w:ascii="Courier New" w:hAnsi="Courier New" w:cs="Courier New" w:hint="default"/>
      </w:rPr>
    </w:lvl>
    <w:lvl w:ilvl="2" w:tplc="C1AA1898" w:tentative="1">
      <w:start w:val="1"/>
      <w:numFmt w:val="bullet"/>
      <w:lvlText w:val=""/>
      <w:lvlJc w:val="left"/>
      <w:pPr>
        <w:tabs>
          <w:tab w:val="num" w:pos="2160"/>
        </w:tabs>
        <w:ind w:left="2160" w:hanging="360"/>
      </w:pPr>
      <w:rPr>
        <w:rFonts w:ascii="Wingdings" w:hAnsi="Wingdings" w:hint="default"/>
      </w:rPr>
    </w:lvl>
    <w:lvl w:ilvl="3" w:tplc="CFA0DDC6" w:tentative="1">
      <w:start w:val="1"/>
      <w:numFmt w:val="bullet"/>
      <w:lvlText w:val=""/>
      <w:lvlJc w:val="left"/>
      <w:pPr>
        <w:tabs>
          <w:tab w:val="num" w:pos="2880"/>
        </w:tabs>
        <w:ind w:left="2880" w:hanging="360"/>
      </w:pPr>
      <w:rPr>
        <w:rFonts w:ascii="Symbol" w:hAnsi="Symbol" w:hint="default"/>
      </w:rPr>
    </w:lvl>
    <w:lvl w:ilvl="4" w:tplc="725CC354" w:tentative="1">
      <w:start w:val="1"/>
      <w:numFmt w:val="bullet"/>
      <w:lvlText w:val="o"/>
      <w:lvlJc w:val="left"/>
      <w:pPr>
        <w:tabs>
          <w:tab w:val="num" w:pos="3600"/>
        </w:tabs>
        <w:ind w:left="3600" w:hanging="360"/>
      </w:pPr>
      <w:rPr>
        <w:rFonts w:ascii="Courier New" w:hAnsi="Courier New" w:cs="Courier New" w:hint="default"/>
      </w:rPr>
    </w:lvl>
    <w:lvl w:ilvl="5" w:tplc="17207F1C" w:tentative="1">
      <w:start w:val="1"/>
      <w:numFmt w:val="bullet"/>
      <w:lvlText w:val=""/>
      <w:lvlJc w:val="left"/>
      <w:pPr>
        <w:tabs>
          <w:tab w:val="num" w:pos="4320"/>
        </w:tabs>
        <w:ind w:left="4320" w:hanging="360"/>
      </w:pPr>
      <w:rPr>
        <w:rFonts w:ascii="Wingdings" w:hAnsi="Wingdings" w:hint="default"/>
      </w:rPr>
    </w:lvl>
    <w:lvl w:ilvl="6" w:tplc="F4A4EB44" w:tentative="1">
      <w:start w:val="1"/>
      <w:numFmt w:val="bullet"/>
      <w:lvlText w:val=""/>
      <w:lvlJc w:val="left"/>
      <w:pPr>
        <w:tabs>
          <w:tab w:val="num" w:pos="5040"/>
        </w:tabs>
        <w:ind w:left="5040" w:hanging="360"/>
      </w:pPr>
      <w:rPr>
        <w:rFonts w:ascii="Symbol" w:hAnsi="Symbol" w:hint="default"/>
      </w:rPr>
    </w:lvl>
    <w:lvl w:ilvl="7" w:tplc="3244E13C" w:tentative="1">
      <w:start w:val="1"/>
      <w:numFmt w:val="bullet"/>
      <w:lvlText w:val="o"/>
      <w:lvlJc w:val="left"/>
      <w:pPr>
        <w:tabs>
          <w:tab w:val="num" w:pos="5760"/>
        </w:tabs>
        <w:ind w:left="5760" w:hanging="360"/>
      </w:pPr>
      <w:rPr>
        <w:rFonts w:ascii="Courier New" w:hAnsi="Courier New" w:cs="Courier New" w:hint="default"/>
      </w:rPr>
    </w:lvl>
    <w:lvl w:ilvl="8" w:tplc="68A295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A15B2B"/>
    <w:multiLevelType w:val="hybridMultilevel"/>
    <w:tmpl w:val="EAA67978"/>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5B7951"/>
    <w:multiLevelType w:val="hybridMultilevel"/>
    <w:tmpl w:val="F7CAC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27A36EE"/>
    <w:multiLevelType w:val="hybridMultilevel"/>
    <w:tmpl w:val="FE128020"/>
    <w:lvl w:ilvl="0" w:tplc="953822A4">
      <w:start w:val="1"/>
      <w:numFmt w:val="bullet"/>
      <w:lvlText w:val=""/>
      <w:lvlJc w:val="left"/>
      <w:pPr>
        <w:ind w:left="360" w:hanging="360"/>
      </w:pPr>
      <w:rPr>
        <w:rFonts w:ascii="Symbol" w:hAnsi="Symbol" w:hint="default"/>
        <w:color w:val="auto"/>
      </w:rPr>
    </w:lvl>
    <w:lvl w:ilvl="1" w:tplc="F1B65A26">
      <w:start w:val="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B7E93"/>
    <w:multiLevelType w:val="hybridMultilevel"/>
    <w:tmpl w:val="35BA6D14"/>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C390A"/>
    <w:multiLevelType w:val="hybridMultilevel"/>
    <w:tmpl w:val="040E07F6"/>
    <w:lvl w:ilvl="0" w:tplc="953822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D116D7"/>
    <w:multiLevelType w:val="hybridMultilevel"/>
    <w:tmpl w:val="E604E272"/>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6A21CF"/>
    <w:multiLevelType w:val="hybridMultilevel"/>
    <w:tmpl w:val="41388012"/>
    <w:lvl w:ilvl="0" w:tplc="953822A4">
      <w:start w:val="1"/>
      <w:numFmt w:val="bullet"/>
      <w:lvlText w:val=""/>
      <w:lvlJc w:val="left"/>
      <w:pPr>
        <w:tabs>
          <w:tab w:val="num" w:pos="360"/>
        </w:tabs>
        <w:ind w:left="360" w:hanging="360"/>
      </w:pPr>
      <w:rPr>
        <w:rFonts w:ascii="Symbol" w:hAnsi="Symbol" w:hint="default"/>
        <w:color w:val="auto"/>
      </w:rPr>
    </w:lvl>
    <w:lvl w:ilvl="1" w:tplc="D88288C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A85509"/>
    <w:multiLevelType w:val="hybridMultilevel"/>
    <w:tmpl w:val="22A441D2"/>
    <w:lvl w:ilvl="0" w:tplc="CEF0663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627F6"/>
    <w:multiLevelType w:val="hybridMultilevel"/>
    <w:tmpl w:val="A0AC51FC"/>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59252A"/>
    <w:multiLevelType w:val="hybridMultilevel"/>
    <w:tmpl w:val="05748B18"/>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432C7"/>
    <w:multiLevelType w:val="hybridMultilevel"/>
    <w:tmpl w:val="676C1660"/>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D831E7"/>
    <w:multiLevelType w:val="hybridMultilevel"/>
    <w:tmpl w:val="3E1C1086"/>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3804D2"/>
    <w:multiLevelType w:val="hybridMultilevel"/>
    <w:tmpl w:val="25988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A36907"/>
    <w:multiLevelType w:val="hybridMultilevel"/>
    <w:tmpl w:val="17D247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400BED"/>
    <w:multiLevelType w:val="hybridMultilevel"/>
    <w:tmpl w:val="6ED6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76023"/>
    <w:multiLevelType w:val="hybridMultilevel"/>
    <w:tmpl w:val="DD26B42C"/>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81F16"/>
    <w:multiLevelType w:val="hybridMultilevel"/>
    <w:tmpl w:val="87A6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C82022"/>
    <w:multiLevelType w:val="multilevel"/>
    <w:tmpl w:val="408835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445846"/>
    <w:multiLevelType w:val="hybridMultilevel"/>
    <w:tmpl w:val="21F07EEE"/>
    <w:lvl w:ilvl="0" w:tplc="953822A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EE4F5D"/>
    <w:multiLevelType w:val="hybridMultilevel"/>
    <w:tmpl w:val="CC2665BC"/>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36447F"/>
    <w:multiLevelType w:val="hybridMultilevel"/>
    <w:tmpl w:val="3EE4FC60"/>
    <w:lvl w:ilvl="0" w:tplc="4124861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814097"/>
    <w:multiLevelType w:val="hybridMultilevel"/>
    <w:tmpl w:val="356A7B32"/>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85327E"/>
    <w:multiLevelType w:val="hybridMultilevel"/>
    <w:tmpl w:val="B49AF0F2"/>
    <w:styleLink w:val="Style1"/>
    <w:lvl w:ilvl="0" w:tplc="45BEF3E2">
      <w:start w:val="1"/>
      <w:numFmt w:val="bullet"/>
      <w:lvlText w:val=""/>
      <w:lvlJc w:val="left"/>
      <w:pPr>
        <w:ind w:left="360" w:hanging="360"/>
      </w:pPr>
      <w:rPr>
        <w:rFonts w:ascii="Symbol" w:hAnsi="Symbol" w:hint="default"/>
      </w:rPr>
    </w:lvl>
    <w:lvl w:ilvl="1" w:tplc="E88CCC84" w:tentative="1">
      <w:start w:val="1"/>
      <w:numFmt w:val="bullet"/>
      <w:lvlText w:val="o"/>
      <w:lvlJc w:val="left"/>
      <w:pPr>
        <w:ind w:left="1080" w:hanging="360"/>
      </w:pPr>
      <w:rPr>
        <w:rFonts w:ascii="Courier New" w:hAnsi="Courier New" w:cs="Courier New" w:hint="default"/>
      </w:rPr>
    </w:lvl>
    <w:lvl w:ilvl="2" w:tplc="8F22B16A" w:tentative="1">
      <w:start w:val="1"/>
      <w:numFmt w:val="bullet"/>
      <w:lvlText w:val=""/>
      <w:lvlJc w:val="left"/>
      <w:pPr>
        <w:ind w:left="1800" w:hanging="360"/>
      </w:pPr>
      <w:rPr>
        <w:rFonts w:ascii="Wingdings" w:hAnsi="Wingdings" w:hint="default"/>
      </w:rPr>
    </w:lvl>
    <w:lvl w:ilvl="3" w:tplc="A52877AC" w:tentative="1">
      <w:start w:val="1"/>
      <w:numFmt w:val="bullet"/>
      <w:lvlText w:val=""/>
      <w:lvlJc w:val="left"/>
      <w:pPr>
        <w:ind w:left="2520" w:hanging="360"/>
      </w:pPr>
      <w:rPr>
        <w:rFonts w:ascii="Symbol" w:hAnsi="Symbol" w:hint="default"/>
      </w:rPr>
    </w:lvl>
    <w:lvl w:ilvl="4" w:tplc="72C4241C" w:tentative="1">
      <w:start w:val="1"/>
      <w:numFmt w:val="bullet"/>
      <w:lvlText w:val="o"/>
      <w:lvlJc w:val="left"/>
      <w:pPr>
        <w:ind w:left="3240" w:hanging="360"/>
      </w:pPr>
      <w:rPr>
        <w:rFonts w:ascii="Courier New" w:hAnsi="Courier New" w:cs="Courier New" w:hint="default"/>
      </w:rPr>
    </w:lvl>
    <w:lvl w:ilvl="5" w:tplc="98AEEF62" w:tentative="1">
      <w:start w:val="1"/>
      <w:numFmt w:val="bullet"/>
      <w:lvlText w:val=""/>
      <w:lvlJc w:val="left"/>
      <w:pPr>
        <w:ind w:left="3960" w:hanging="360"/>
      </w:pPr>
      <w:rPr>
        <w:rFonts w:ascii="Wingdings" w:hAnsi="Wingdings" w:hint="default"/>
      </w:rPr>
    </w:lvl>
    <w:lvl w:ilvl="6" w:tplc="124AF78C" w:tentative="1">
      <w:start w:val="1"/>
      <w:numFmt w:val="bullet"/>
      <w:lvlText w:val=""/>
      <w:lvlJc w:val="left"/>
      <w:pPr>
        <w:ind w:left="4680" w:hanging="360"/>
      </w:pPr>
      <w:rPr>
        <w:rFonts w:ascii="Symbol" w:hAnsi="Symbol" w:hint="default"/>
      </w:rPr>
    </w:lvl>
    <w:lvl w:ilvl="7" w:tplc="56C43418" w:tentative="1">
      <w:start w:val="1"/>
      <w:numFmt w:val="bullet"/>
      <w:lvlText w:val="o"/>
      <w:lvlJc w:val="left"/>
      <w:pPr>
        <w:ind w:left="5400" w:hanging="360"/>
      </w:pPr>
      <w:rPr>
        <w:rFonts w:ascii="Courier New" w:hAnsi="Courier New" w:cs="Courier New" w:hint="default"/>
      </w:rPr>
    </w:lvl>
    <w:lvl w:ilvl="8" w:tplc="FDEE1B70" w:tentative="1">
      <w:start w:val="1"/>
      <w:numFmt w:val="bullet"/>
      <w:lvlText w:val=""/>
      <w:lvlJc w:val="left"/>
      <w:pPr>
        <w:ind w:left="6120" w:hanging="360"/>
      </w:pPr>
      <w:rPr>
        <w:rFonts w:ascii="Wingdings" w:hAnsi="Wingdings" w:hint="default"/>
      </w:rPr>
    </w:lvl>
  </w:abstractNum>
  <w:abstractNum w:abstractNumId="26" w15:restartNumberingAfterBreak="0">
    <w:nsid w:val="4A4B598D"/>
    <w:multiLevelType w:val="hybridMultilevel"/>
    <w:tmpl w:val="8766E2CC"/>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D30895"/>
    <w:multiLevelType w:val="hybridMultilevel"/>
    <w:tmpl w:val="E55456C8"/>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277E54"/>
    <w:multiLevelType w:val="hybridMultilevel"/>
    <w:tmpl w:val="5DC60368"/>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57BE9"/>
    <w:multiLevelType w:val="hybridMultilevel"/>
    <w:tmpl w:val="E2DE0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3F0F85"/>
    <w:multiLevelType w:val="hybridMultilevel"/>
    <w:tmpl w:val="302C8866"/>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D45C9A"/>
    <w:multiLevelType w:val="hybridMultilevel"/>
    <w:tmpl w:val="96B64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671263"/>
    <w:multiLevelType w:val="hybridMultilevel"/>
    <w:tmpl w:val="772E8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1437AC"/>
    <w:multiLevelType w:val="hybridMultilevel"/>
    <w:tmpl w:val="DE3EAB3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72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F34FF"/>
    <w:multiLevelType w:val="hybridMultilevel"/>
    <w:tmpl w:val="C18C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E34A4A"/>
    <w:multiLevelType w:val="hybridMultilevel"/>
    <w:tmpl w:val="57549D90"/>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534ADD"/>
    <w:multiLevelType w:val="hybridMultilevel"/>
    <w:tmpl w:val="8460DC7A"/>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5C2753"/>
    <w:multiLevelType w:val="multilevel"/>
    <w:tmpl w:val="408835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BF57DE"/>
    <w:multiLevelType w:val="hybridMultilevel"/>
    <w:tmpl w:val="F432D272"/>
    <w:lvl w:ilvl="0" w:tplc="953822A4">
      <w:start w:val="1"/>
      <w:numFmt w:val="bullet"/>
      <w:lvlText w:val=""/>
      <w:lvlJc w:val="left"/>
      <w:pPr>
        <w:ind w:left="360" w:hanging="360"/>
      </w:pPr>
      <w:rPr>
        <w:rFonts w:ascii="Symbol" w:hAnsi="Symbol" w:hint="default"/>
        <w:color w:val="auto"/>
      </w:rPr>
    </w:lvl>
    <w:lvl w:ilvl="1" w:tplc="F1B65A26">
      <w:start w:val="8"/>
      <w:numFmt w:val="bullet"/>
      <w:lvlText w:val="-"/>
      <w:lvlJc w:val="left"/>
      <w:pPr>
        <w:ind w:left="1080" w:hanging="360"/>
      </w:pPr>
      <w:rPr>
        <w:rFonts w:ascii="Arial" w:eastAsiaTheme="minorHAnsi" w:hAnsi="Arial" w:cs="Arial" w:hint="default"/>
      </w:rPr>
    </w:lvl>
    <w:lvl w:ilvl="2" w:tplc="E288014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94676F"/>
    <w:multiLevelType w:val="hybridMultilevel"/>
    <w:tmpl w:val="90EE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A0767"/>
    <w:multiLevelType w:val="hybridMultilevel"/>
    <w:tmpl w:val="6B504F0E"/>
    <w:lvl w:ilvl="0" w:tplc="953822A4">
      <w:start w:val="1"/>
      <w:numFmt w:val="bullet"/>
      <w:lvlText w:val=""/>
      <w:lvlJc w:val="left"/>
      <w:pPr>
        <w:ind w:left="360" w:hanging="360"/>
      </w:pPr>
      <w:rPr>
        <w:rFonts w:ascii="Symbol" w:hAnsi="Symbol" w:hint="default"/>
        <w:color w:val="auto"/>
      </w:rPr>
    </w:lvl>
    <w:lvl w:ilvl="1" w:tplc="F1B65A26">
      <w:start w:val="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7C091A"/>
    <w:multiLevelType w:val="hybridMultilevel"/>
    <w:tmpl w:val="A74C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84BCF"/>
    <w:multiLevelType w:val="hybridMultilevel"/>
    <w:tmpl w:val="02C49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A0B40D8"/>
    <w:multiLevelType w:val="hybridMultilevel"/>
    <w:tmpl w:val="A9C42F0E"/>
    <w:lvl w:ilvl="0" w:tplc="953822A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B94EE7"/>
    <w:multiLevelType w:val="hybridMultilevel"/>
    <w:tmpl w:val="97B45988"/>
    <w:lvl w:ilvl="0" w:tplc="953822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E2073B"/>
    <w:multiLevelType w:val="multilevel"/>
    <w:tmpl w:val="3DF40BEA"/>
    <w:styleLink w:val="Bulletlist"/>
    <w:lvl w:ilvl="0">
      <w:start w:val="1"/>
      <w:numFmt w:val="bullet"/>
      <w:pStyle w:val="Bullettext"/>
      <w:lvlText w:val=""/>
      <w:lvlJc w:val="left"/>
      <w:pPr>
        <w:tabs>
          <w:tab w:val="num" w:pos="340"/>
        </w:tabs>
        <w:ind w:left="340" w:hanging="340"/>
      </w:pPr>
      <w:rPr>
        <w:rFonts w:ascii="Symbol" w:hAnsi="Symbo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0" w:firstLine="0"/>
      </w:pPr>
    </w:lvl>
    <w:lvl w:ilvl="7">
      <w:start w:val="1"/>
      <w:numFmt w:val="none"/>
      <w:lvlText w:val="%8"/>
      <w:lvlJc w:val="left"/>
      <w:pPr>
        <w:tabs>
          <w:tab w:val="num" w:pos="0"/>
        </w:tabs>
        <w:ind w:left="0" w:firstLine="0"/>
      </w:pPr>
    </w:lvl>
    <w:lvl w:ilvl="8">
      <w:start w:val="1"/>
      <w:numFmt w:val="none"/>
      <w:lvlText w:val="%9"/>
      <w:lvlJc w:val="left"/>
      <w:pPr>
        <w:tabs>
          <w:tab w:val="num" w:pos="0"/>
        </w:tabs>
        <w:ind w:left="0" w:firstLine="0"/>
      </w:pPr>
    </w:lvl>
  </w:abstractNum>
  <w:num w:numId="1">
    <w:abstractNumId w:val="0"/>
  </w:num>
  <w:num w:numId="2">
    <w:abstractNumId w:val="1"/>
  </w:num>
  <w:num w:numId="3">
    <w:abstractNumId w:val="2"/>
  </w:num>
  <w:num w:numId="4">
    <w:abstractNumId w:val="20"/>
  </w:num>
  <w:num w:numId="5">
    <w:abstractNumId w:val="11"/>
  </w:num>
  <w:num w:numId="6">
    <w:abstractNumId w:val="8"/>
  </w:num>
  <w:num w:numId="7">
    <w:abstractNumId w:val="21"/>
  </w:num>
  <w:num w:numId="8">
    <w:abstractNumId w:val="3"/>
  </w:num>
  <w:num w:numId="9">
    <w:abstractNumId w:val="26"/>
  </w:num>
  <w:num w:numId="10">
    <w:abstractNumId w:val="36"/>
  </w:num>
  <w:num w:numId="11">
    <w:abstractNumId w:val="30"/>
  </w:num>
  <w:num w:numId="12">
    <w:abstractNumId w:val="44"/>
  </w:num>
  <w:num w:numId="13">
    <w:abstractNumId w:val="43"/>
  </w:num>
  <w:num w:numId="14">
    <w:abstractNumId w:val="24"/>
  </w:num>
  <w:num w:numId="15">
    <w:abstractNumId w:val="9"/>
  </w:num>
  <w:num w:numId="16">
    <w:abstractNumId w:val="35"/>
  </w:num>
  <w:num w:numId="17">
    <w:abstractNumId w:val="6"/>
  </w:num>
  <w:num w:numId="18">
    <w:abstractNumId w:val="13"/>
  </w:num>
  <w:num w:numId="19">
    <w:abstractNumId w:val="27"/>
  </w:num>
  <w:num w:numId="20">
    <w:abstractNumId w:val="5"/>
  </w:num>
  <w:num w:numId="21">
    <w:abstractNumId w:val="40"/>
  </w:num>
  <w:num w:numId="22">
    <w:abstractNumId w:val="38"/>
  </w:num>
  <w:num w:numId="23">
    <w:abstractNumId w:val="7"/>
  </w:num>
  <w:num w:numId="24">
    <w:abstractNumId w:val="14"/>
  </w:num>
  <w:num w:numId="25">
    <w:abstractNumId w:val="22"/>
  </w:num>
  <w:num w:numId="26">
    <w:abstractNumId w:val="18"/>
  </w:num>
  <w:num w:numId="27">
    <w:abstractNumId w:val="28"/>
  </w:num>
  <w:num w:numId="28">
    <w:abstractNumId w:val="12"/>
  </w:num>
  <w:num w:numId="29">
    <w:abstractNumId w:val="31"/>
  </w:num>
  <w:num w:numId="30">
    <w:abstractNumId w:val="23"/>
  </w:num>
  <w:num w:numId="31">
    <w:abstractNumId w:val="10"/>
  </w:num>
  <w:num w:numId="32">
    <w:abstractNumId w:val="39"/>
  </w:num>
  <w:num w:numId="33">
    <w:abstractNumId w:val="37"/>
  </w:num>
  <w:num w:numId="34">
    <w:abstractNumId w:val="25"/>
  </w:num>
  <w:num w:numId="35">
    <w:abstractNumId w:val="32"/>
  </w:num>
  <w:num w:numId="36">
    <w:abstractNumId w:val="16"/>
  </w:num>
  <w:num w:numId="37">
    <w:abstractNumId w:val="29"/>
  </w:num>
  <w:num w:numId="38">
    <w:abstractNumId w:val="19"/>
  </w:num>
  <w:num w:numId="39">
    <w:abstractNumId w:val="4"/>
  </w:num>
  <w:num w:numId="40">
    <w:abstractNumId w:val="42"/>
  </w:num>
  <w:num w:numId="41">
    <w:abstractNumId w:val="15"/>
  </w:num>
  <w:num w:numId="42">
    <w:abstractNumId w:val="45"/>
  </w:num>
  <w:num w:numId="43">
    <w:abstractNumId w:val="33"/>
  </w:num>
  <w:num w:numId="44">
    <w:abstractNumId w:val="17"/>
  </w:num>
  <w:num w:numId="45">
    <w:abstractNumId w:val="34"/>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99"/>
    <w:rsid w:val="00001AAF"/>
    <w:rsid w:val="00003460"/>
    <w:rsid w:val="00003C25"/>
    <w:rsid w:val="00003D29"/>
    <w:rsid w:val="000043DE"/>
    <w:rsid w:val="00004580"/>
    <w:rsid w:val="00004A09"/>
    <w:rsid w:val="000050C0"/>
    <w:rsid w:val="0000535F"/>
    <w:rsid w:val="00005BFA"/>
    <w:rsid w:val="0000723E"/>
    <w:rsid w:val="00010DE0"/>
    <w:rsid w:val="00011126"/>
    <w:rsid w:val="00011639"/>
    <w:rsid w:val="000118B6"/>
    <w:rsid w:val="00013072"/>
    <w:rsid w:val="0001316D"/>
    <w:rsid w:val="00013185"/>
    <w:rsid w:val="00013C53"/>
    <w:rsid w:val="00013F16"/>
    <w:rsid w:val="000158DE"/>
    <w:rsid w:val="00015B4A"/>
    <w:rsid w:val="00016283"/>
    <w:rsid w:val="00016B66"/>
    <w:rsid w:val="0002079C"/>
    <w:rsid w:val="00021351"/>
    <w:rsid w:val="0002155A"/>
    <w:rsid w:val="00021646"/>
    <w:rsid w:val="0002175B"/>
    <w:rsid w:val="00022835"/>
    <w:rsid w:val="0002364F"/>
    <w:rsid w:val="0002489E"/>
    <w:rsid w:val="000249BC"/>
    <w:rsid w:val="00024B71"/>
    <w:rsid w:val="000260C3"/>
    <w:rsid w:val="000266BC"/>
    <w:rsid w:val="0002677D"/>
    <w:rsid w:val="00026869"/>
    <w:rsid w:val="00026BAF"/>
    <w:rsid w:val="00026EE6"/>
    <w:rsid w:val="00027CFD"/>
    <w:rsid w:val="000301FC"/>
    <w:rsid w:val="00031488"/>
    <w:rsid w:val="000317E1"/>
    <w:rsid w:val="00032CD4"/>
    <w:rsid w:val="00032FC9"/>
    <w:rsid w:val="0003320E"/>
    <w:rsid w:val="000336D7"/>
    <w:rsid w:val="00033B69"/>
    <w:rsid w:val="00034FD2"/>
    <w:rsid w:val="00035371"/>
    <w:rsid w:val="00036297"/>
    <w:rsid w:val="000407C8"/>
    <w:rsid w:val="000408EC"/>
    <w:rsid w:val="00040C63"/>
    <w:rsid w:val="00040F1A"/>
    <w:rsid w:val="00041E02"/>
    <w:rsid w:val="000420B2"/>
    <w:rsid w:val="00042B70"/>
    <w:rsid w:val="00042C6B"/>
    <w:rsid w:val="00042E27"/>
    <w:rsid w:val="00044F32"/>
    <w:rsid w:val="000450D2"/>
    <w:rsid w:val="00045CFF"/>
    <w:rsid w:val="00045F89"/>
    <w:rsid w:val="0004624F"/>
    <w:rsid w:val="000473A4"/>
    <w:rsid w:val="00047522"/>
    <w:rsid w:val="00047717"/>
    <w:rsid w:val="00050238"/>
    <w:rsid w:val="00050445"/>
    <w:rsid w:val="0005218A"/>
    <w:rsid w:val="0005242F"/>
    <w:rsid w:val="00052E38"/>
    <w:rsid w:val="00052E55"/>
    <w:rsid w:val="0005300E"/>
    <w:rsid w:val="00053396"/>
    <w:rsid w:val="00053C11"/>
    <w:rsid w:val="00054732"/>
    <w:rsid w:val="00054789"/>
    <w:rsid w:val="00055140"/>
    <w:rsid w:val="00056706"/>
    <w:rsid w:val="00060191"/>
    <w:rsid w:val="00060CD3"/>
    <w:rsid w:val="00060DFE"/>
    <w:rsid w:val="0006142E"/>
    <w:rsid w:val="00061DFB"/>
    <w:rsid w:val="00061FB5"/>
    <w:rsid w:val="0006211B"/>
    <w:rsid w:val="000621C6"/>
    <w:rsid w:val="000622CA"/>
    <w:rsid w:val="0006251C"/>
    <w:rsid w:val="000628FE"/>
    <w:rsid w:val="000629FD"/>
    <w:rsid w:val="00063A79"/>
    <w:rsid w:val="00063E71"/>
    <w:rsid w:val="00064B39"/>
    <w:rsid w:val="00066188"/>
    <w:rsid w:val="000661A5"/>
    <w:rsid w:val="000664AD"/>
    <w:rsid w:val="0006715A"/>
    <w:rsid w:val="00067A19"/>
    <w:rsid w:val="00070741"/>
    <w:rsid w:val="000727D7"/>
    <w:rsid w:val="000729B2"/>
    <w:rsid w:val="00072B44"/>
    <w:rsid w:val="00072DD8"/>
    <w:rsid w:val="000736AF"/>
    <w:rsid w:val="00073AD7"/>
    <w:rsid w:val="00073F7C"/>
    <w:rsid w:val="00074139"/>
    <w:rsid w:val="0007530D"/>
    <w:rsid w:val="000800A7"/>
    <w:rsid w:val="000802B7"/>
    <w:rsid w:val="00080720"/>
    <w:rsid w:val="00081722"/>
    <w:rsid w:val="00081F7B"/>
    <w:rsid w:val="00082168"/>
    <w:rsid w:val="000821C0"/>
    <w:rsid w:val="0008231D"/>
    <w:rsid w:val="00084660"/>
    <w:rsid w:val="0008467A"/>
    <w:rsid w:val="00084C19"/>
    <w:rsid w:val="00084F42"/>
    <w:rsid w:val="00084FEC"/>
    <w:rsid w:val="00086576"/>
    <w:rsid w:val="00087B21"/>
    <w:rsid w:val="000903E1"/>
    <w:rsid w:val="00090B1A"/>
    <w:rsid w:val="0009114A"/>
    <w:rsid w:val="00091527"/>
    <w:rsid w:val="00091694"/>
    <w:rsid w:val="000916A5"/>
    <w:rsid w:val="000917C0"/>
    <w:rsid w:val="000918EC"/>
    <w:rsid w:val="00091F7F"/>
    <w:rsid w:val="00092149"/>
    <w:rsid w:val="00092EBF"/>
    <w:rsid w:val="000930B3"/>
    <w:rsid w:val="00093738"/>
    <w:rsid w:val="00094251"/>
    <w:rsid w:val="000943CF"/>
    <w:rsid w:val="000944FA"/>
    <w:rsid w:val="00094772"/>
    <w:rsid w:val="00094B08"/>
    <w:rsid w:val="0009508C"/>
    <w:rsid w:val="0009520F"/>
    <w:rsid w:val="00095C8E"/>
    <w:rsid w:val="00095CF6"/>
    <w:rsid w:val="00096610"/>
    <w:rsid w:val="000967FF"/>
    <w:rsid w:val="000A0B77"/>
    <w:rsid w:val="000A1AA9"/>
    <w:rsid w:val="000A21C5"/>
    <w:rsid w:val="000A2235"/>
    <w:rsid w:val="000A2D9D"/>
    <w:rsid w:val="000A3097"/>
    <w:rsid w:val="000A377B"/>
    <w:rsid w:val="000A5777"/>
    <w:rsid w:val="000A5DDB"/>
    <w:rsid w:val="000A6755"/>
    <w:rsid w:val="000A6F89"/>
    <w:rsid w:val="000A6FC2"/>
    <w:rsid w:val="000A72F6"/>
    <w:rsid w:val="000A762C"/>
    <w:rsid w:val="000B034E"/>
    <w:rsid w:val="000B0CFF"/>
    <w:rsid w:val="000B13F7"/>
    <w:rsid w:val="000B14E1"/>
    <w:rsid w:val="000B1898"/>
    <w:rsid w:val="000B2098"/>
    <w:rsid w:val="000B2383"/>
    <w:rsid w:val="000B3351"/>
    <w:rsid w:val="000B393E"/>
    <w:rsid w:val="000B46A9"/>
    <w:rsid w:val="000B4B5F"/>
    <w:rsid w:val="000B5CA3"/>
    <w:rsid w:val="000B5FC7"/>
    <w:rsid w:val="000B72F0"/>
    <w:rsid w:val="000B7E1D"/>
    <w:rsid w:val="000B7FA1"/>
    <w:rsid w:val="000C0310"/>
    <w:rsid w:val="000C07A0"/>
    <w:rsid w:val="000C0AED"/>
    <w:rsid w:val="000C1EC7"/>
    <w:rsid w:val="000C2BB6"/>
    <w:rsid w:val="000C30C9"/>
    <w:rsid w:val="000C36A5"/>
    <w:rsid w:val="000C3B81"/>
    <w:rsid w:val="000C3CD0"/>
    <w:rsid w:val="000C3F81"/>
    <w:rsid w:val="000C4024"/>
    <w:rsid w:val="000C4305"/>
    <w:rsid w:val="000C4917"/>
    <w:rsid w:val="000C5843"/>
    <w:rsid w:val="000C78D2"/>
    <w:rsid w:val="000D0056"/>
    <w:rsid w:val="000D1A3F"/>
    <w:rsid w:val="000D21BF"/>
    <w:rsid w:val="000D32C8"/>
    <w:rsid w:val="000D4855"/>
    <w:rsid w:val="000D50E3"/>
    <w:rsid w:val="000D51DE"/>
    <w:rsid w:val="000D67C6"/>
    <w:rsid w:val="000D78AC"/>
    <w:rsid w:val="000D7B34"/>
    <w:rsid w:val="000E0405"/>
    <w:rsid w:val="000E0C8A"/>
    <w:rsid w:val="000E16B6"/>
    <w:rsid w:val="000E1956"/>
    <w:rsid w:val="000E21F7"/>
    <w:rsid w:val="000E25F1"/>
    <w:rsid w:val="000E2CC0"/>
    <w:rsid w:val="000E3907"/>
    <w:rsid w:val="000E4055"/>
    <w:rsid w:val="000E4B08"/>
    <w:rsid w:val="000E53CF"/>
    <w:rsid w:val="000E5A89"/>
    <w:rsid w:val="000E6136"/>
    <w:rsid w:val="000E63CE"/>
    <w:rsid w:val="000F00CA"/>
    <w:rsid w:val="000F0DC2"/>
    <w:rsid w:val="000F1B37"/>
    <w:rsid w:val="000F22DB"/>
    <w:rsid w:val="000F2AE3"/>
    <w:rsid w:val="000F3CAD"/>
    <w:rsid w:val="000F3E3D"/>
    <w:rsid w:val="000F4679"/>
    <w:rsid w:val="000F5848"/>
    <w:rsid w:val="000F58F2"/>
    <w:rsid w:val="000F6150"/>
    <w:rsid w:val="000F64A3"/>
    <w:rsid w:val="000F651A"/>
    <w:rsid w:val="000F6CA4"/>
    <w:rsid w:val="000F7CFC"/>
    <w:rsid w:val="000F7F37"/>
    <w:rsid w:val="0010030E"/>
    <w:rsid w:val="0010031C"/>
    <w:rsid w:val="00100B37"/>
    <w:rsid w:val="0010234E"/>
    <w:rsid w:val="001039FC"/>
    <w:rsid w:val="001040AE"/>
    <w:rsid w:val="001043F0"/>
    <w:rsid w:val="001049BB"/>
    <w:rsid w:val="001050D4"/>
    <w:rsid w:val="00106882"/>
    <w:rsid w:val="0011032E"/>
    <w:rsid w:val="00110629"/>
    <w:rsid w:val="00110799"/>
    <w:rsid w:val="001107A4"/>
    <w:rsid w:val="00110B62"/>
    <w:rsid w:val="00110DF7"/>
    <w:rsid w:val="00111F30"/>
    <w:rsid w:val="00112B4A"/>
    <w:rsid w:val="00113B7C"/>
    <w:rsid w:val="00113F53"/>
    <w:rsid w:val="001141C2"/>
    <w:rsid w:val="001145EA"/>
    <w:rsid w:val="00114846"/>
    <w:rsid w:val="0011490F"/>
    <w:rsid w:val="00115454"/>
    <w:rsid w:val="0011579A"/>
    <w:rsid w:val="00116084"/>
    <w:rsid w:val="001170DA"/>
    <w:rsid w:val="00120B8D"/>
    <w:rsid w:val="0012162D"/>
    <w:rsid w:val="001226D0"/>
    <w:rsid w:val="00122C78"/>
    <w:rsid w:val="0012334B"/>
    <w:rsid w:val="00123FE8"/>
    <w:rsid w:val="00124F52"/>
    <w:rsid w:val="001252FC"/>
    <w:rsid w:val="001257B7"/>
    <w:rsid w:val="00126E38"/>
    <w:rsid w:val="001306A7"/>
    <w:rsid w:val="001309AF"/>
    <w:rsid w:val="00130F70"/>
    <w:rsid w:val="00132E44"/>
    <w:rsid w:val="00132F7E"/>
    <w:rsid w:val="00133524"/>
    <w:rsid w:val="00133576"/>
    <w:rsid w:val="00133B70"/>
    <w:rsid w:val="00133F4B"/>
    <w:rsid w:val="00134466"/>
    <w:rsid w:val="001349FA"/>
    <w:rsid w:val="00134DA0"/>
    <w:rsid w:val="00135309"/>
    <w:rsid w:val="00135333"/>
    <w:rsid w:val="00135F4C"/>
    <w:rsid w:val="001365A8"/>
    <w:rsid w:val="001378CC"/>
    <w:rsid w:val="00137976"/>
    <w:rsid w:val="00137DEB"/>
    <w:rsid w:val="0014021C"/>
    <w:rsid w:val="00140228"/>
    <w:rsid w:val="00140998"/>
    <w:rsid w:val="001413D6"/>
    <w:rsid w:val="00141A8C"/>
    <w:rsid w:val="00141A8F"/>
    <w:rsid w:val="00141C78"/>
    <w:rsid w:val="001421ED"/>
    <w:rsid w:val="00142C6F"/>
    <w:rsid w:val="00142CBC"/>
    <w:rsid w:val="00142E1E"/>
    <w:rsid w:val="00143193"/>
    <w:rsid w:val="00145308"/>
    <w:rsid w:val="00145AC1"/>
    <w:rsid w:val="0014739B"/>
    <w:rsid w:val="00152F01"/>
    <w:rsid w:val="00154F99"/>
    <w:rsid w:val="00155195"/>
    <w:rsid w:val="00155EA6"/>
    <w:rsid w:val="001566A1"/>
    <w:rsid w:val="001569CD"/>
    <w:rsid w:val="001569E4"/>
    <w:rsid w:val="001577C2"/>
    <w:rsid w:val="00160294"/>
    <w:rsid w:val="00161AC1"/>
    <w:rsid w:val="00161B98"/>
    <w:rsid w:val="001624B9"/>
    <w:rsid w:val="00162949"/>
    <w:rsid w:val="0016323B"/>
    <w:rsid w:val="001639A0"/>
    <w:rsid w:val="001642AC"/>
    <w:rsid w:val="0016481A"/>
    <w:rsid w:val="00164C8D"/>
    <w:rsid w:val="00165259"/>
    <w:rsid w:val="00166301"/>
    <w:rsid w:val="00166E4B"/>
    <w:rsid w:val="001675A3"/>
    <w:rsid w:val="001704E6"/>
    <w:rsid w:val="0017073F"/>
    <w:rsid w:val="00170BB6"/>
    <w:rsid w:val="0017358B"/>
    <w:rsid w:val="00173824"/>
    <w:rsid w:val="00175D89"/>
    <w:rsid w:val="00176A7C"/>
    <w:rsid w:val="00177DF5"/>
    <w:rsid w:val="001800E6"/>
    <w:rsid w:val="0018197A"/>
    <w:rsid w:val="0018323F"/>
    <w:rsid w:val="0018421E"/>
    <w:rsid w:val="001842F2"/>
    <w:rsid w:val="0018455F"/>
    <w:rsid w:val="00184871"/>
    <w:rsid w:val="00184CAA"/>
    <w:rsid w:val="00185452"/>
    <w:rsid w:val="001857D9"/>
    <w:rsid w:val="00185804"/>
    <w:rsid w:val="00185FD2"/>
    <w:rsid w:val="001869DB"/>
    <w:rsid w:val="00187543"/>
    <w:rsid w:val="001878C4"/>
    <w:rsid w:val="00187DBA"/>
    <w:rsid w:val="00191AC8"/>
    <w:rsid w:val="00192576"/>
    <w:rsid w:val="00192B2E"/>
    <w:rsid w:val="00192BAF"/>
    <w:rsid w:val="00192C29"/>
    <w:rsid w:val="00193288"/>
    <w:rsid w:val="00193488"/>
    <w:rsid w:val="001936AB"/>
    <w:rsid w:val="00193AFD"/>
    <w:rsid w:val="001942D8"/>
    <w:rsid w:val="0019447C"/>
    <w:rsid w:val="00194632"/>
    <w:rsid w:val="00194A7C"/>
    <w:rsid w:val="001950F0"/>
    <w:rsid w:val="00195136"/>
    <w:rsid w:val="0019532F"/>
    <w:rsid w:val="0019559F"/>
    <w:rsid w:val="00196F36"/>
    <w:rsid w:val="00197018"/>
    <w:rsid w:val="001A0373"/>
    <w:rsid w:val="001A0678"/>
    <w:rsid w:val="001A271B"/>
    <w:rsid w:val="001A30B2"/>
    <w:rsid w:val="001A6E40"/>
    <w:rsid w:val="001A73C5"/>
    <w:rsid w:val="001B05FE"/>
    <w:rsid w:val="001B2935"/>
    <w:rsid w:val="001B3017"/>
    <w:rsid w:val="001B3BEF"/>
    <w:rsid w:val="001B4222"/>
    <w:rsid w:val="001B51F7"/>
    <w:rsid w:val="001B575F"/>
    <w:rsid w:val="001B5E5E"/>
    <w:rsid w:val="001B6A20"/>
    <w:rsid w:val="001B6D17"/>
    <w:rsid w:val="001C02D8"/>
    <w:rsid w:val="001C031C"/>
    <w:rsid w:val="001C1E9C"/>
    <w:rsid w:val="001C2494"/>
    <w:rsid w:val="001C2950"/>
    <w:rsid w:val="001C577C"/>
    <w:rsid w:val="001C5E75"/>
    <w:rsid w:val="001C6ABD"/>
    <w:rsid w:val="001C7B77"/>
    <w:rsid w:val="001D0C18"/>
    <w:rsid w:val="001D113F"/>
    <w:rsid w:val="001D1E73"/>
    <w:rsid w:val="001D23CA"/>
    <w:rsid w:val="001D3067"/>
    <w:rsid w:val="001D3B6C"/>
    <w:rsid w:val="001D3D96"/>
    <w:rsid w:val="001D3E45"/>
    <w:rsid w:val="001D42B5"/>
    <w:rsid w:val="001D43C0"/>
    <w:rsid w:val="001D5AF4"/>
    <w:rsid w:val="001D749C"/>
    <w:rsid w:val="001D76D4"/>
    <w:rsid w:val="001D77DC"/>
    <w:rsid w:val="001D785C"/>
    <w:rsid w:val="001D7EBA"/>
    <w:rsid w:val="001E0BC7"/>
    <w:rsid w:val="001E123F"/>
    <w:rsid w:val="001E161D"/>
    <w:rsid w:val="001E1B99"/>
    <w:rsid w:val="001E1FA8"/>
    <w:rsid w:val="001E2517"/>
    <w:rsid w:val="001E3EB4"/>
    <w:rsid w:val="001E4527"/>
    <w:rsid w:val="001E551C"/>
    <w:rsid w:val="001E59E5"/>
    <w:rsid w:val="001E5ABD"/>
    <w:rsid w:val="001E637D"/>
    <w:rsid w:val="001E6FE2"/>
    <w:rsid w:val="001F0666"/>
    <w:rsid w:val="001F3B60"/>
    <w:rsid w:val="001F3ECA"/>
    <w:rsid w:val="001F525D"/>
    <w:rsid w:val="001F64DB"/>
    <w:rsid w:val="001F76EE"/>
    <w:rsid w:val="002007ED"/>
    <w:rsid w:val="00200C9B"/>
    <w:rsid w:val="00200D27"/>
    <w:rsid w:val="00200DB3"/>
    <w:rsid w:val="002010D4"/>
    <w:rsid w:val="0020136C"/>
    <w:rsid w:val="002014FB"/>
    <w:rsid w:val="002016B9"/>
    <w:rsid w:val="00201C7F"/>
    <w:rsid w:val="00203E60"/>
    <w:rsid w:val="0020425D"/>
    <w:rsid w:val="002055C2"/>
    <w:rsid w:val="002057E5"/>
    <w:rsid w:val="00205A43"/>
    <w:rsid w:val="00205EAD"/>
    <w:rsid w:val="00206BFB"/>
    <w:rsid w:val="00211580"/>
    <w:rsid w:val="0021213C"/>
    <w:rsid w:val="0021279D"/>
    <w:rsid w:val="00213812"/>
    <w:rsid w:val="00215570"/>
    <w:rsid w:val="002166B5"/>
    <w:rsid w:val="00220BC2"/>
    <w:rsid w:val="00220F56"/>
    <w:rsid w:val="00221619"/>
    <w:rsid w:val="00221BF6"/>
    <w:rsid w:val="0022226A"/>
    <w:rsid w:val="00222631"/>
    <w:rsid w:val="002226D6"/>
    <w:rsid w:val="00222B0F"/>
    <w:rsid w:val="0022458C"/>
    <w:rsid w:val="00224898"/>
    <w:rsid w:val="00225FFE"/>
    <w:rsid w:val="002260D8"/>
    <w:rsid w:val="002263C6"/>
    <w:rsid w:val="002269F9"/>
    <w:rsid w:val="00227552"/>
    <w:rsid w:val="0023040D"/>
    <w:rsid w:val="00230B68"/>
    <w:rsid w:val="002310E1"/>
    <w:rsid w:val="002319BF"/>
    <w:rsid w:val="00231C28"/>
    <w:rsid w:val="00231C77"/>
    <w:rsid w:val="00232EA5"/>
    <w:rsid w:val="002330F1"/>
    <w:rsid w:val="00233494"/>
    <w:rsid w:val="00233776"/>
    <w:rsid w:val="002337C9"/>
    <w:rsid w:val="00233903"/>
    <w:rsid w:val="00233A9C"/>
    <w:rsid w:val="00233CA8"/>
    <w:rsid w:val="00234BEB"/>
    <w:rsid w:val="00234FD3"/>
    <w:rsid w:val="00235261"/>
    <w:rsid w:val="002352F8"/>
    <w:rsid w:val="00235BCC"/>
    <w:rsid w:val="0023614B"/>
    <w:rsid w:val="00236C02"/>
    <w:rsid w:val="0023705F"/>
    <w:rsid w:val="0023766D"/>
    <w:rsid w:val="00237828"/>
    <w:rsid w:val="0023792F"/>
    <w:rsid w:val="00237A89"/>
    <w:rsid w:val="002403E5"/>
    <w:rsid w:val="00240702"/>
    <w:rsid w:val="0024077D"/>
    <w:rsid w:val="00240D5F"/>
    <w:rsid w:val="0024146D"/>
    <w:rsid w:val="00241AFD"/>
    <w:rsid w:val="00241E11"/>
    <w:rsid w:val="00241E54"/>
    <w:rsid w:val="00241EB1"/>
    <w:rsid w:val="00242331"/>
    <w:rsid w:val="0024339C"/>
    <w:rsid w:val="00243D90"/>
    <w:rsid w:val="00244652"/>
    <w:rsid w:val="00244852"/>
    <w:rsid w:val="00245FFA"/>
    <w:rsid w:val="002460B8"/>
    <w:rsid w:val="002503C7"/>
    <w:rsid w:val="0025047E"/>
    <w:rsid w:val="0025066B"/>
    <w:rsid w:val="00250691"/>
    <w:rsid w:val="002507DC"/>
    <w:rsid w:val="002514D4"/>
    <w:rsid w:val="0025234F"/>
    <w:rsid w:val="00252A7B"/>
    <w:rsid w:val="00252FDD"/>
    <w:rsid w:val="00253F2B"/>
    <w:rsid w:val="002541C9"/>
    <w:rsid w:val="0025629C"/>
    <w:rsid w:val="002564EA"/>
    <w:rsid w:val="00256773"/>
    <w:rsid w:val="00257376"/>
    <w:rsid w:val="0025773B"/>
    <w:rsid w:val="002601A3"/>
    <w:rsid w:val="0026156C"/>
    <w:rsid w:val="0026170C"/>
    <w:rsid w:val="002622C9"/>
    <w:rsid w:val="00262E7C"/>
    <w:rsid w:val="002630F9"/>
    <w:rsid w:val="00265393"/>
    <w:rsid w:val="00265456"/>
    <w:rsid w:val="00265970"/>
    <w:rsid w:val="00266200"/>
    <w:rsid w:val="00266F2B"/>
    <w:rsid w:val="002673EB"/>
    <w:rsid w:val="00267C7F"/>
    <w:rsid w:val="00267E43"/>
    <w:rsid w:val="00270370"/>
    <w:rsid w:val="00270C46"/>
    <w:rsid w:val="00272031"/>
    <w:rsid w:val="00273DC1"/>
    <w:rsid w:val="002751AE"/>
    <w:rsid w:val="0027531B"/>
    <w:rsid w:val="00276032"/>
    <w:rsid w:val="00276D81"/>
    <w:rsid w:val="002779E2"/>
    <w:rsid w:val="00277E46"/>
    <w:rsid w:val="002800C1"/>
    <w:rsid w:val="00280AB5"/>
    <w:rsid w:val="00280F00"/>
    <w:rsid w:val="00281204"/>
    <w:rsid w:val="00281519"/>
    <w:rsid w:val="00281D7E"/>
    <w:rsid w:val="00281EE2"/>
    <w:rsid w:val="002829FB"/>
    <w:rsid w:val="00283154"/>
    <w:rsid w:val="00284668"/>
    <w:rsid w:val="0028487C"/>
    <w:rsid w:val="00284F00"/>
    <w:rsid w:val="0028516E"/>
    <w:rsid w:val="002853AE"/>
    <w:rsid w:val="00285C63"/>
    <w:rsid w:val="00285CAF"/>
    <w:rsid w:val="00285EED"/>
    <w:rsid w:val="0028657D"/>
    <w:rsid w:val="00286B8E"/>
    <w:rsid w:val="002872DD"/>
    <w:rsid w:val="00291752"/>
    <w:rsid w:val="0029232B"/>
    <w:rsid w:val="00292F5B"/>
    <w:rsid w:val="00293166"/>
    <w:rsid w:val="00293192"/>
    <w:rsid w:val="00293AD4"/>
    <w:rsid w:val="00294166"/>
    <w:rsid w:val="00294BC0"/>
    <w:rsid w:val="00294C64"/>
    <w:rsid w:val="0029506A"/>
    <w:rsid w:val="00295FA6"/>
    <w:rsid w:val="0029728C"/>
    <w:rsid w:val="00297CD9"/>
    <w:rsid w:val="00297FD0"/>
    <w:rsid w:val="002A0506"/>
    <w:rsid w:val="002A132B"/>
    <w:rsid w:val="002A40DF"/>
    <w:rsid w:val="002A4BF0"/>
    <w:rsid w:val="002A4E5D"/>
    <w:rsid w:val="002A4F41"/>
    <w:rsid w:val="002A5651"/>
    <w:rsid w:val="002A5B8D"/>
    <w:rsid w:val="002A5CD1"/>
    <w:rsid w:val="002A6ADE"/>
    <w:rsid w:val="002A71E3"/>
    <w:rsid w:val="002A7DEC"/>
    <w:rsid w:val="002B0391"/>
    <w:rsid w:val="002B09CD"/>
    <w:rsid w:val="002B12A0"/>
    <w:rsid w:val="002B19FC"/>
    <w:rsid w:val="002B25D4"/>
    <w:rsid w:val="002B329F"/>
    <w:rsid w:val="002B35EB"/>
    <w:rsid w:val="002B3CDB"/>
    <w:rsid w:val="002B5DF8"/>
    <w:rsid w:val="002B5E11"/>
    <w:rsid w:val="002B5FCE"/>
    <w:rsid w:val="002B78A0"/>
    <w:rsid w:val="002C0A6B"/>
    <w:rsid w:val="002C1122"/>
    <w:rsid w:val="002C12DD"/>
    <w:rsid w:val="002C1364"/>
    <w:rsid w:val="002C1E77"/>
    <w:rsid w:val="002C2BF0"/>
    <w:rsid w:val="002C3CBD"/>
    <w:rsid w:val="002C3EB6"/>
    <w:rsid w:val="002C4DDE"/>
    <w:rsid w:val="002C664A"/>
    <w:rsid w:val="002C67F4"/>
    <w:rsid w:val="002C7BEE"/>
    <w:rsid w:val="002D00D3"/>
    <w:rsid w:val="002D10D9"/>
    <w:rsid w:val="002D1506"/>
    <w:rsid w:val="002D1921"/>
    <w:rsid w:val="002D1E7C"/>
    <w:rsid w:val="002D2214"/>
    <w:rsid w:val="002D39B0"/>
    <w:rsid w:val="002D431D"/>
    <w:rsid w:val="002D454E"/>
    <w:rsid w:val="002D7409"/>
    <w:rsid w:val="002D7589"/>
    <w:rsid w:val="002E0C3C"/>
    <w:rsid w:val="002E1D50"/>
    <w:rsid w:val="002E29E6"/>
    <w:rsid w:val="002E2D47"/>
    <w:rsid w:val="002E3195"/>
    <w:rsid w:val="002E375B"/>
    <w:rsid w:val="002E3860"/>
    <w:rsid w:val="002E584B"/>
    <w:rsid w:val="002E5D92"/>
    <w:rsid w:val="002E617B"/>
    <w:rsid w:val="002E642A"/>
    <w:rsid w:val="002E668A"/>
    <w:rsid w:val="002E6CA4"/>
    <w:rsid w:val="002E6EC6"/>
    <w:rsid w:val="002E7A3E"/>
    <w:rsid w:val="002F0111"/>
    <w:rsid w:val="002F0F37"/>
    <w:rsid w:val="002F16ED"/>
    <w:rsid w:val="002F1CAE"/>
    <w:rsid w:val="002F1E7B"/>
    <w:rsid w:val="002F2FE5"/>
    <w:rsid w:val="002F4C07"/>
    <w:rsid w:val="002F52F4"/>
    <w:rsid w:val="002F5FB5"/>
    <w:rsid w:val="002F637A"/>
    <w:rsid w:val="002F6B38"/>
    <w:rsid w:val="00301CB1"/>
    <w:rsid w:val="0030279D"/>
    <w:rsid w:val="00302FA1"/>
    <w:rsid w:val="00303236"/>
    <w:rsid w:val="0030395D"/>
    <w:rsid w:val="00303DFB"/>
    <w:rsid w:val="00305267"/>
    <w:rsid w:val="00305276"/>
    <w:rsid w:val="00305D57"/>
    <w:rsid w:val="0030669C"/>
    <w:rsid w:val="00312034"/>
    <w:rsid w:val="003121D0"/>
    <w:rsid w:val="0031231E"/>
    <w:rsid w:val="003135A1"/>
    <w:rsid w:val="00313FA8"/>
    <w:rsid w:val="003160FC"/>
    <w:rsid w:val="00317120"/>
    <w:rsid w:val="00317771"/>
    <w:rsid w:val="003206A2"/>
    <w:rsid w:val="0032082D"/>
    <w:rsid w:val="003210FC"/>
    <w:rsid w:val="0032177B"/>
    <w:rsid w:val="003224E7"/>
    <w:rsid w:val="00322EF9"/>
    <w:rsid w:val="00323610"/>
    <w:rsid w:val="00323E20"/>
    <w:rsid w:val="00324167"/>
    <w:rsid w:val="00324249"/>
    <w:rsid w:val="00324534"/>
    <w:rsid w:val="00325FD3"/>
    <w:rsid w:val="00327C44"/>
    <w:rsid w:val="003304E6"/>
    <w:rsid w:val="00330DBA"/>
    <w:rsid w:val="00330E77"/>
    <w:rsid w:val="0033197D"/>
    <w:rsid w:val="00331EDF"/>
    <w:rsid w:val="003329C6"/>
    <w:rsid w:val="003330B0"/>
    <w:rsid w:val="00333E22"/>
    <w:rsid w:val="003345A0"/>
    <w:rsid w:val="00334D08"/>
    <w:rsid w:val="00336639"/>
    <w:rsid w:val="00336AD8"/>
    <w:rsid w:val="00336F73"/>
    <w:rsid w:val="003371C5"/>
    <w:rsid w:val="00337267"/>
    <w:rsid w:val="00337617"/>
    <w:rsid w:val="00340C0D"/>
    <w:rsid w:val="00340D58"/>
    <w:rsid w:val="003426ED"/>
    <w:rsid w:val="003429E5"/>
    <w:rsid w:val="00343102"/>
    <w:rsid w:val="003433CF"/>
    <w:rsid w:val="0034394E"/>
    <w:rsid w:val="00343C9F"/>
    <w:rsid w:val="00343EB0"/>
    <w:rsid w:val="00344DF0"/>
    <w:rsid w:val="0034617C"/>
    <w:rsid w:val="00346C87"/>
    <w:rsid w:val="00347DC8"/>
    <w:rsid w:val="00351065"/>
    <w:rsid w:val="00351828"/>
    <w:rsid w:val="00351957"/>
    <w:rsid w:val="00351A4F"/>
    <w:rsid w:val="00353677"/>
    <w:rsid w:val="00355512"/>
    <w:rsid w:val="00356E01"/>
    <w:rsid w:val="00356E38"/>
    <w:rsid w:val="003575C7"/>
    <w:rsid w:val="00360893"/>
    <w:rsid w:val="00360D1C"/>
    <w:rsid w:val="00361C5C"/>
    <w:rsid w:val="00362C3A"/>
    <w:rsid w:val="003631CF"/>
    <w:rsid w:val="0036365B"/>
    <w:rsid w:val="00363D50"/>
    <w:rsid w:val="003642E0"/>
    <w:rsid w:val="003646A4"/>
    <w:rsid w:val="00364A7C"/>
    <w:rsid w:val="00364B0D"/>
    <w:rsid w:val="003660A2"/>
    <w:rsid w:val="003667EE"/>
    <w:rsid w:val="003700EC"/>
    <w:rsid w:val="0037036E"/>
    <w:rsid w:val="00371A7D"/>
    <w:rsid w:val="00371CDA"/>
    <w:rsid w:val="00371DD1"/>
    <w:rsid w:val="00373B1D"/>
    <w:rsid w:val="00374828"/>
    <w:rsid w:val="00376CE2"/>
    <w:rsid w:val="003777DD"/>
    <w:rsid w:val="0038029A"/>
    <w:rsid w:val="00380776"/>
    <w:rsid w:val="003814AF"/>
    <w:rsid w:val="003815BE"/>
    <w:rsid w:val="00383191"/>
    <w:rsid w:val="003837AB"/>
    <w:rsid w:val="0038381D"/>
    <w:rsid w:val="00385522"/>
    <w:rsid w:val="003860F4"/>
    <w:rsid w:val="00386FB8"/>
    <w:rsid w:val="00387EB2"/>
    <w:rsid w:val="00390691"/>
    <w:rsid w:val="00390E78"/>
    <w:rsid w:val="00391A15"/>
    <w:rsid w:val="0039393C"/>
    <w:rsid w:val="003945A5"/>
    <w:rsid w:val="00394E4C"/>
    <w:rsid w:val="00395031"/>
    <w:rsid w:val="003953D6"/>
    <w:rsid w:val="00395F17"/>
    <w:rsid w:val="00397184"/>
    <w:rsid w:val="00397519"/>
    <w:rsid w:val="003A0244"/>
    <w:rsid w:val="003A0FA2"/>
    <w:rsid w:val="003A0FC6"/>
    <w:rsid w:val="003A0FF6"/>
    <w:rsid w:val="003A2638"/>
    <w:rsid w:val="003A33CB"/>
    <w:rsid w:val="003A3416"/>
    <w:rsid w:val="003A3BDE"/>
    <w:rsid w:val="003A3E8B"/>
    <w:rsid w:val="003A4517"/>
    <w:rsid w:val="003A4555"/>
    <w:rsid w:val="003A4A6A"/>
    <w:rsid w:val="003A5992"/>
    <w:rsid w:val="003A59BE"/>
    <w:rsid w:val="003A6659"/>
    <w:rsid w:val="003B0C2E"/>
    <w:rsid w:val="003B0D41"/>
    <w:rsid w:val="003B0DB8"/>
    <w:rsid w:val="003B11E0"/>
    <w:rsid w:val="003B216B"/>
    <w:rsid w:val="003B263A"/>
    <w:rsid w:val="003B3445"/>
    <w:rsid w:val="003B3930"/>
    <w:rsid w:val="003B4213"/>
    <w:rsid w:val="003B6788"/>
    <w:rsid w:val="003B6DBC"/>
    <w:rsid w:val="003B719B"/>
    <w:rsid w:val="003B74FB"/>
    <w:rsid w:val="003C18EF"/>
    <w:rsid w:val="003C22E3"/>
    <w:rsid w:val="003C2A74"/>
    <w:rsid w:val="003C46B8"/>
    <w:rsid w:val="003C49BE"/>
    <w:rsid w:val="003C5230"/>
    <w:rsid w:val="003C6120"/>
    <w:rsid w:val="003C6300"/>
    <w:rsid w:val="003C6EC5"/>
    <w:rsid w:val="003C7BB4"/>
    <w:rsid w:val="003D0CB1"/>
    <w:rsid w:val="003D0D1A"/>
    <w:rsid w:val="003D0DCE"/>
    <w:rsid w:val="003D13E5"/>
    <w:rsid w:val="003D1BAB"/>
    <w:rsid w:val="003D2E0C"/>
    <w:rsid w:val="003D3129"/>
    <w:rsid w:val="003D3236"/>
    <w:rsid w:val="003D34B9"/>
    <w:rsid w:val="003D3663"/>
    <w:rsid w:val="003D3EAE"/>
    <w:rsid w:val="003D4F61"/>
    <w:rsid w:val="003D55FF"/>
    <w:rsid w:val="003D5842"/>
    <w:rsid w:val="003D58D2"/>
    <w:rsid w:val="003D5AC9"/>
    <w:rsid w:val="003D5E3A"/>
    <w:rsid w:val="003D6C00"/>
    <w:rsid w:val="003D6F6E"/>
    <w:rsid w:val="003D744C"/>
    <w:rsid w:val="003D7A56"/>
    <w:rsid w:val="003E06DA"/>
    <w:rsid w:val="003E11D5"/>
    <w:rsid w:val="003E32C7"/>
    <w:rsid w:val="003E39CD"/>
    <w:rsid w:val="003E3D0D"/>
    <w:rsid w:val="003E47DB"/>
    <w:rsid w:val="003E4818"/>
    <w:rsid w:val="003E4DD7"/>
    <w:rsid w:val="003E51FF"/>
    <w:rsid w:val="003E5AF1"/>
    <w:rsid w:val="003F09DF"/>
    <w:rsid w:val="003F1E8F"/>
    <w:rsid w:val="003F342C"/>
    <w:rsid w:val="003F4158"/>
    <w:rsid w:val="003F4F4A"/>
    <w:rsid w:val="003F5BD2"/>
    <w:rsid w:val="003F6A38"/>
    <w:rsid w:val="003F6B78"/>
    <w:rsid w:val="003F6FEA"/>
    <w:rsid w:val="003F705C"/>
    <w:rsid w:val="00400112"/>
    <w:rsid w:val="00400B2A"/>
    <w:rsid w:val="00402369"/>
    <w:rsid w:val="004025FC"/>
    <w:rsid w:val="0040295B"/>
    <w:rsid w:val="004035E5"/>
    <w:rsid w:val="00403BA7"/>
    <w:rsid w:val="004046B9"/>
    <w:rsid w:val="00405389"/>
    <w:rsid w:val="00405A30"/>
    <w:rsid w:val="0040642B"/>
    <w:rsid w:val="00406CFB"/>
    <w:rsid w:val="004079E0"/>
    <w:rsid w:val="00407B11"/>
    <w:rsid w:val="0041015B"/>
    <w:rsid w:val="0041052D"/>
    <w:rsid w:val="00410C41"/>
    <w:rsid w:val="00410F5E"/>
    <w:rsid w:val="00411BEF"/>
    <w:rsid w:val="00412421"/>
    <w:rsid w:val="0041286C"/>
    <w:rsid w:val="00412DB3"/>
    <w:rsid w:val="00412DC1"/>
    <w:rsid w:val="0041369D"/>
    <w:rsid w:val="00414BEA"/>
    <w:rsid w:val="00414EC3"/>
    <w:rsid w:val="00417CC1"/>
    <w:rsid w:val="00420ECF"/>
    <w:rsid w:val="00421893"/>
    <w:rsid w:val="00421C90"/>
    <w:rsid w:val="00421E5F"/>
    <w:rsid w:val="00421EBD"/>
    <w:rsid w:val="00423BC3"/>
    <w:rsid w:val="00423E1C"/>
    <w:rsid w:val="00424951"/>
    <w:rsid w:val="004258B7"/>
    <w:rsid w:val="0042610C"/>
    <w:rsid w:val="00427B86"/>
    <w:rsid w:val="00427B8A"/>
    <w:rsid w:val="00427D80"/>
    <w:rsid w:val="00430CCF"/>
    <w:rsid w:val="004310F7"/>
    <w:rsid w:val="00431425"/>
    <w:rsid w:val="00431D1D"/>
    <w:rsid w:val="00431F62"/>
    <w:rsid w:val="00432062"/>
    <w:rsid w:val="0043227E"/>
    <w:rsid w:val="00432B60"/>
    <w:rsid w:val="00433698"/>
    <w:rsid w:val="00433C53"/>
    <w:rsid w:val="00433FE9"/>
    <w:rsid w:val="0043436A"/>
    <w:rsid w:val="00435F7E"/>
    <w:rsid w:val="00436033"/>
    <w:rsid w:val="0043644C"/>
    <w:rsid w:val="00436676"/>
    <w:rsid w:val="00436720"/>
    <w:rsid w:val="004368FC"/>
    <w:rsid w:val="004406C7"/>
    <w:rsid w:val="004407A9"/>
    <w:rsid w:val="00441E8E"/>
    <w:rsid w:val="004426A9"/>
    <w:rsid w:val="00442B2C"/>
    <w:rsid w:val="00442F9A"/>
    <w:rsid w:val="004441AC"/>
    <w:rsid w:val="004453E9"/>
    <w:rsid w:val="0044551B"/>
    <w:rsid w:val="004457F5"/>
    <w:rsid w:val="00445E16"/>
    <w:rsid w:val="00445E61"/>
    <w:rsid w:val="004466A8"/>
    <w:rsid w:val="00446B06"/>
    <w:rsid w:val="00447350"/>
    <w:rsid w:val="00447D17"/>
    <w:rsid w:val="00450676"/>
    <w:rsid w:val="0045078B"/>
    <w:rsid w:val="00450DB0"/>
    <w:rsid w:val="00450F96"/>
    <w:rsid w:val="004513AF"/>
    <w:rsid w:val="0045160E"/>
    <w:rsid w:val="004519E3"/>
    <w:rsid w:val="00451AF5"/>
    <w:rsid w:val="00451AFD"/>
    <w:rsid w:val="00452B8D"/>
    <w:rsid w:val="00452D2C"/>
    <w:rsid w:val="00452D66"/>
    <w:rsid w:val="00453B73"/>
    <w:rsid w:val="00453C9F"/>
    <w:rsid w:val="0045484A"/>
    <w:rsid w:val="004550D3"/>
    <w:rsid w:val="004558E0"/>
    <w:rsid w:val="00455C82"/>
    <w:rsid w:val="00455E18"/>
    <w:rsid w:val="0046085E"/>
    <w:rsid w:val="00460A0D"/>
    <w:rsid w:val="00461FDC"/>
    <w:rsid w:val="00462176"/>
    <w:rsid w:val="004625E9"/>
    <w:rsid w:val="004632F1"/>
    <w:rsid w:val="00463C6F"/>
    <w:rsid w:val="004644BC"/>
    <w:rsid w:val="0046478C"/>
    <w:rsid w:val="00464E99"/>
    <w:rsid w:val="00465659"/>
    <w:rsid w:val="0046583C"/>
    <w:rsid w:val="0046591D"/>
    <w:rsid w:val="00465A8D"/>
    <w:rsid w:val="00466C97"/>
    <w:rsid w:val="00467314"/>
    <w:rsid w:val="00467BE1"/>
    <w:rsid w:val="00467E21"/>
    <w:rsid w:val="00470428"/>
    <w:rsid w:val="00470D60"/>
    <w:rsid w:val="00472412"/>
    <w:rsid w:val="00472F30"/>
    <w:rsid w:val="00474168"/>
    <w:rsid w:val="004742F8"/>
    <w:rsid w:val="00474EA9"/>
    <w:rsid w:val="00475247"/>
    <w:rsid w:val="00475716"/>
    <w:rsid w:val="00475A77"/>
    <w:rsid w:val="00476E03"/>
    <w:rsid w:val="004772AD"/>
    <w:rsid w:val="0047745F"/>
    <w:rsid w:val="0047760B"/>
    <w:rsid w:val="00480308"/>
    <w:rsid w:val="00480BAC"/>
    <w:rsid w:val="00481104"/>
    <w:rsid w:val="004814C4"/>
    <w:rsid w:val="004814D8"/>
    <w:rsid w:val="00481718"/>
    <w:rsid w:val="00481C02"/>
    <w:rsid w:val="0048213B"/>
    <w:rsid w:val="00483401"/>
    <w:rsid w:val="0048341B"/>
    <w:rsid w:val="00485C72"/>
    <w:rsid w:val="00486811"/>
    <w:rsid w:val="00487004"/>
    <w:rsid w:val="00487225"/>
    <w:rsid w:val="00487E11"/>
    <w:rsid w:val="00490C9C"/>
    <w:rsid w:val="00490E6A"/>
    <w:rsid w:val="00491A4A"/>
    <w:rsid w:val="00491E10"/>
    <w:rsid w:val="00491EF9"/>
    <w:rsid w:val="00492496"/>
    <w:rsid w:val="00492EBA"/>
    <w:rsid w:val="00493211"/>
    <w:rsid w:val="0049384D"/>
    <w:rsid w:val="0049478C"/>
    <w:rsid w:val="00494A70"/>
    <w:rsid w:val="00494F88"/>
    <w:rsid w:val="00495884"/>
    <w:rsid w:val="00496118"/>
    <w:rsid w:val="00496DED"/>
    <w:rsid w:val="0049732A"/>
    <w:rsid w:val="00497A7D"/>
    <w:rsid w:val="00497AA1"/>
    <w:rsid w:val="004A062C"/>
    <w:rsid w:val="004A0900"/>
    <w:rsid w:val="004A1B9F"/>
    <w:rsid w:val="004A2A79"/>
    <w:rsid w:val="004A3174"/>
    <w:rsid w:val="004A3505"/>
    <w:rsid w:val="004A3DDA"/>
    <w:rsid w:val="004A478E"/>
    <w:rsid w:val="004A6160"/>
    <w:rsid w:val="004A686E"/>
    <w:rsid w:val="004A6FA7"/>
    <w:rsid w:val="004A7A91"/>
    <w:rsid w:val="004B0617"/>
    <w:rsid w:val="004B1B78"/>
    <w:rsid w:val="004B1E35"/>
    <w:rsid w:val="004B2B3E"/>
    <w:rsid w:val="004B374E"/>
    <w:rsid w:val="004B38FE"/>
    <w:rsid w:val="004B3A23"/>
    <w:rsid w:val="004B3EDC"/>
    <w:rsid w:val="004B648B"/>
    <w:rsid w:val="004B6D57"/>
    <w:rsid w:val="004B764C"/>
    <w:rsid w:val="004C0BFF"/>
    <w:rsid w:val="004C0D26"/>
    <w:rsid w:val="004C111B"/>
    <w:rsid w:val="004C1D9C"/>
    <w:rsid w:val="004C2089"/>
    <w:rsid w:val="004C2CC4"/>
    <w:rsid w:val="004C3016"/>
    <w:rsid w:val="004C394C"/>
    <w:rsid w:val="004C56A8"/>
    <w:rsid w:val="004C584D"/>
    <w:rsid w:val="004C600C"/>
    <w:rsid w:val="004C60F0"/>
    <w:rsid w:val="004C629A"/>
    <w:rsid w:val="004C7614"/>
    <w:rsid w:val="004D09AE"/>
    <w:rsid w:val="004D0C93"/>
    <w:rsid w:val="004D0D0F"/>
    <w:rsid w:val="004D1057"/>
    <w:rsid w:val="004D1FC8"/>
    <w:rsid w:val="004D26D7"/>
    <w:rsid w:val="004D41CF"/>
    <w:rsid w:val="004D6420"/>
    <w:rsid w:val="004E047B"/>
    <w:rsid w:val="004E07F7"/>
    <w:rsid w:val="004E19C5"/>
    <w:rsid w:val="004E1EFE"/>
    <w:rsid w:val="004E299A"/>
    <w:rsid w:val="004E48E1"/>
    <w:rsid w:val="004E6638"/>
    <w:rsid w:val="004E6D8B"/>
    <w:rsid w:val="004E7591"/>
    <w:rsid w:val="004E793D"/>
    <w:rsid w:val="004E7D2C"/>
    <w:rsid w:val="004E7F05"/>
    <w:rsid w:val="004F23AA"/>
    <w:rsid w:val="004F3078"/>
    <w:rsid w:val="004F35F8"/>
    <w:rsid w:val="004F39A5"/>
    <w:rsid w:val="004F3CCB"/>
    <w:rsid w:val="004F4A18"/>
    <w:rsid w:val="004F50A6"/>
    <w:rsid w:val="004F52CC"/>
    <w:rsid w:val="004F61FC"/>
    <w:rsid w:val="004F691F"/>
    <w:rsid w:val="004F6960"/>
    <w:rsid w:val="004F6FF6"/>
    <w:rsid w:val="004F76E4"/>
    <w:rsid w:val="004F7CCB"/>
    <w:rsid w:val="005009D5"/>
    <w:rsid w:val="00501663"/>
    <w:rsid w:val="00501860"/>
    <w:rsid w:val="00502057"/>
    <w:rsid w:val="00503280"/>
    <w:rsid w:val="00503BEA"/>
    <w:rsid w:val="005055F6"/>
    <w:rsid w:val="00505E95"/>
    <w:rsid w:val="00506100"/>
    <w:rsid w:val="005070B3"/>
    <w:rsid w:val="00507474"/>
    <w:rsid w:val="00510686"/>
    <w:rsid w:val="00511968"/>
    <w:rsid w:val="00513DF0"/>
    <w:rsid w:val="005153C1"/>
    <w:rsid w:val="00516279"/>
    <w:rsid w:val="005170C7"/>
    <w:rsid w:val="0051752F"/>
    <w:rsid w:val="005178A4"/>
    <w:rsid w:val="00517EC5"/>
    <w:rsid w:val="00520C18"/>
    <w:rsid w:val="005212BC"/>
    <w:rsid w:val="00521553"/>
    <w:rsid w:val="00521782"/>
    <w:rsid w:val="00521B9D"/>
    <w:rsid w:val="00524C1A"/>
    <w:rsid w:val="00524E45"/>
    <w:rsid w:val="00526314"/>
    <w:rsid w:val="00530FED"/>
    <w:rsid w:val="005310B2"/>
    <w:rsid w:val="005310C9"/>
    <w:rsid w:val="005318FC"/>
    <w:rsid w:val="00532056"/>
    <w:rsid w:val="0053209E"/>
    <w:rsid w:val="00532D0C"/>
    <w:rsid w:val="00533CDE"/>
    <w:rsid w:val="00534764"/>
    <w:rsid w:val="00535583"/>
    <w:rsid w:val="00535FE9"/>
    <w:rsid w:val="00537F5C"/>
    <w:rsid w:val="00537FD5"/>
    <w:rsid w:val="00540C24"/>
    <w:rsid w:val="005416BF"/>
    <w:rsid w:val="00541787"/>
    <w:rsid w:val="005418FE"/>
    <w:rsid w:val="00541968"/>
    <w:rsid w:val="00541A35"/>
    <w:rsid w:val="00542474"/>
    <w:rsid w:val="005429CD"/>
    <w:rsid w:val="00542D87"/>
    <w:rsid w:val="00542F0C"/>
    <w:rsid w:val="0054349F"/>
    <w:rsid w:val="00544118"/>
    <w:rsid w:val="00544BE6"/>
    <w:rsid w:val="00545449"/>
    <w:rsid w:val="00546AC7"/>
    <w:rsid w:val="00547589"/>
    <w:rsid w:val="00550290"/>
    <w:rsid w:val="00550D4E"/>
    <w:rsid w:val="00552768"/>
    <w:rsid w:val="00553365"/>
    <w:rsid w:val="0055365B"/>
    <w:rsid w:val="00553BA3"/>
    <w:rsid w:val="00554453"/>
    <w:rsid w:val="0055449F"/>
    <w:rsid w:val="005550AE"/>
    <w:rsid w:val="005556ED"/>
    <w:rsid w:val="00555E1B"/>
    <w:rsid w:val="00555EAF"/>
    <w:rsid w:val="00556C0C"/>
    <w:rsid w:val="005572E7"/>
    <w:rsid w:val="005600B7"/>
    <w:rsid w:val="005606DB"/>
    <w:rsid w:val="00560DA5"/>
    <w:rsid w:val="00561C68"/>
    <w:rsid w:val="0056222D"/>
    <w:rsid w:val="0056361B"/>
    <w:rsid w:val="00563C1B"/>
    <w:rsid w:val="0056419E"/>
    <w:rsid w:val="00566D18"/>
    <w:rsid w:val="00567B5C"/>
    <w:rsid w:val="00567D7C"/>
    <w:rsid w:val="0057019F"/>
    <w:rsid w:val="00570546"/>
    <w:rsid w:val="00570670"/>
    <w:rsid w:val="005734A2"/>
    <w:rsid w:val="00573502"/>
    <w:rsid w:val="00573BC8"/>
    <w:rsid w:val="00573F35"/>
    <w:rsid w:val="0057471E"/>
    <w:rsid w:val="005752AB"/>
    <w:rsid w:val="0057650D"/>
    <w:rsid w:val="00576826"/>
    <w:rsid w:val="0057710E"/>
    <w:rsid w:val="00577C1B"/>
    <w:rsid w:val="00577E50"/>
    <w:rsid w:val="00581400"/>
    <w:rsid w:val="00581BD5"/>
    <w:rsid w:val="00582007"/>
    <w:rsid w:val="00582A11"/>
    <w:rsid w:val="00582F20"/>
    <w:rsid w:val="00584154"/>
    <w:rsid w:val="005843D4"/>
    <w:rsid w:val="00585B96"/>
    <w:rsid w:val="00585C57"/>
    <w:rsid w:val="00585D7F"/>
    <w:rsid w:val="005861BE"/>
    <w:rsid w:val="005868FF"/>
    <w:rsid w:val="0058702F"/>
    <w:rsid w:val="00587819"/>
    <w:rsid w:val="005878DF"/>
    <w:rsid w:val="00587ABC"/>
    <w:rsid w:val="00587CC9"/>
    <w:rsid w:val="0059035F"/>
    <w:rsid w:val="005908C8"/>
    <w:rsid w:val="00590D27"/>
    <w:rsid w:val="00590DA8"/>
    <w:rsid w:val="00591633"/>
    <w:rsid w:val="00591F0F"/>
    <w:rsid w:val="00592194"/>
    <w:rsid w:val="00592245"/>
    <w:rsid w:val="00592C9D"/>
    <w:rsid w:val="00592FD4"/>
    <w:rsid w:val="00593226"/>
    <w:rsid w:val="00593DB9"/>
    <w:rsid w:val="00593DFA"/>
    <w:rsid w:val="00593DFB"/>
    <w:rsid w:val="00594200"/>
    <w:rsid w:val="00594411"/>
    <w:rsid w:val="0059688A"/>
    <w:rsid w:val="005A008B"/>
    <w:rsid w:val="005A1956"/>
    <w:rsid w:val="005A28C1"/>
    <w:rsid w:val="005A2FD2"/>
    <w:rsid w:val="005A352A"/>
    <w:rsid w:val="005A46E7"/>
    <w:rsid w:val="005A4C29"/>
    <w:rsid w:val="005A6644"/>
    <w:rsid w:val="005A7362"/>
    <w:rsid w:val="005A7E87"/>
    <w:rsid w:val="005B02F2"/>
    <w:rsid w:val="005B05CE"/>
    <w:rsid w:val="005B0778"/>
    <w:rsid w:val="005B16A4"/>
    <w:rsid w:val="005B18FC"/>
    <w:rsid w:val="005B194A"/>
    <w:rsid w:val="005B1EBE"/>
    <w:rsid w:val="005B208A"/>
    <w:rsid w:val="005B23C0"/>
    <w:rsid w:val="005B24A5"/>
    <w:rsid w:val="005B3D84"/>
    <w:rsid w:val="005B57A7"/>
    <w:rsid w:val="005B57D5"/>
    <w:rsid w:val="005B72FC"/>
    <w:rsid w:val="005C04DA"/>
    <w:rsid w:val="005C08C5"/>
    <w:rsid w:val="005C0A38"/>
    <w:rsid w:val="005C0EEB"/>
    <w:rsid w:val="005C1282"/>
    <w:rsid w:val="005C1E4D"/>
    <w:rsid w:val="005C1EAA"/>
    <w:rsid w:val="005C44A9"/>
    <w:rsid w:val="005C4729"/>
    <w:rsid w:val="005C571C"/>
    <w:rsid w:val="005C576D"/>
    <w:rsid w:val="005C57C0"/>
    <w:rsid w:val="005C7A06"/>
    <w:rsid w:val="005D0D3A"/>
    <w:rsid w:val="005D14E0"/>
    <w:rsid w:val="005D1FD8"/>
    <w:rsid w:val="005D214C"/>
    <w:rsid w:val="005D4116"/>
    <w:rsid w:val="005D4E6C"/>
    <w:rsid w:val="005D610F"/>
    <w:rsid w:val="005D66F2"/>
    <w:rsid w:val="005D7063"/>
    <w:rsid w:val="005E14BB"/>
    <w:rsid w:val="005E16B5"/>
    <w:rsid w:val="005E1DA1"/>
    <w:rsid w:val="005E2B02"/>
    <w:rsid w:val="005E3144"/>
    <w:rsid w:val="005E3549"/>
    <w:rsid w:val="005E355F"/>
    <w:rsid w:val="005E366A"/>
    <w:rsid w:val="005E49FC"/>
    <w:rsid w:val="005E6025"/>
    <w:rsid w:val="005E610C"/>
    <w:rsid w:val="005E7389"/>
    <w:rsid w:val="005F15F0"/>
    <w:rsid w:val="005F2756"/>
    <w:rsid w:val="005F3D5C"/>
    <w:rsid w:val="005F449B"/>
    <w:rsid w:val="005F498F"/>
    <w:rsid w:val="005F6459"/>
    <w:rsid w:val="005F6689"/>
    <w:rsid w:val="005F675F"/>
    <w:rsid w:val="005F6DB4"/>
    <w:rsid w:val="005F7C3E"/>
    <w:rsid w:val="00602474"/>
    <w:rsid w:val="00602D68"/>
    <w:rsid w:val="0060320C"/>
    <w:rsid w:val="00603993"/>
    <w:rsid w:val="00604672"/>
    <w:rsid w:val="006050D5"/>
    <w:rsid w:val="00605210"/>
    <w:rsid w:val="0060633B"/>
    <w:rsid w:val="006064E9"/>
    <w:rsid w:val="00607488"/>
    <w:rsid w:val="00610B88"/>
    <w:rsid w:val="00610E83"/>
    <w:rsid w:val="006110BE"/>
    <w:rsid w:val="00612BD0"/>
    <w:rsid w:val="00612D11"/>
    <w:rsid w:val="00612DE7"/>
    <w:rsid w:val="006133F2"/>
    <w:rsid w:val="00613501"/>
    <w:rsid w:val="00613504"/>
    <w:rsid w:val="00613A83"/>
    <w:rsid w:val="0061409C"/>
    <w:rsid w:val="006140A1"/>
    <w:rsid w:val="006150ED"/>
    <w:rsid w:val="00615939"/>
    <w:rsid w:val="00615DD5"/>
    <w:rsid w:val="00617098"/>
    <w:rsid w:val="006174B1"/>
    <w:rsid w:val="00620E38"/>
    <w:rsid w:val="00621F87"/>
    <w:rsid w:val="0062387F"/>
    <w:rsid w:val="00624117"/>
    <w:rsid w:val="00624962"/>
    <w:rsid w:val="00624C55"/>
    <w:rsid w:val="00624F2E"/>
    <w:rsid w:val="006254B9"/>
    <w:rsid w:val="00626D5D"/>
    <w:rsid w:val="00626E40"/>
    <w:rsid w:val="00627B43"/>
    <w:rsid w:val="006301A6"/>
    <w:rsid w:val="00630A83"/>
    <w:rsid w:val="00630D0A"/>
    <w:rsid w:val="00630D23"/>
    <w:rsid w:val="00631131"/>
    <w:rsid w:val="00631912"/>
    <w:rsid w:val="0063300A"/>
    <w:rsid w:val="006341BF"/>
    <w:rsid w:val="00634459"/>
    <w:rsid w:val="00634F42"/>
    <w:rsid w:val="006352A7"/>
    <w:rsid w:val="00635DF1"/>
    <w:rsid w:val="0063643E"/>
    <w:rsid w:val="00636E70"/>
    <w:rsid w:val="00637CC7"/>
    <w:rsid w:val="00637D29"/>
    <w:rsid w:val="00640317"/>
    <w:rsid w:val="006408AA"/>
    <w:rsid w:val="0064152D"/>
    <w:rsid w:val="00641730"/>
    <w:rsid w:val="00641DE4"/>
    <w:rsid w:val="00642131"/>
    <w:rsid w:val="006422EA"/>
    <w:rsid w:val="00642488"/>
    <w:rsid w:val="00642668"/>
    <w:rsid w:val="00642FC5"/>
    <w:rsid w:val="006432C7"/>
    <w:rsid w:val="00643421"/>
    <w:rsid w:val="00644CE5"/>
    <w:rsid w:val="00644E91"/>
    <w:rsid w:val="00644FC1"/>
    <w:rsid w:val="006452E9"/>
    <w:rsid w:val="00645D28"/>
    <w:rsid w:val="00646FEF"/>
    <w:rsid w:val="0064745A"/>
    <w:rsid w:val="00647D50"/>
    <w:rsid w:val="00647D7C"/>
    <w:rsid w:val="00647F86"/>
    <w:rsid w:val="006501DE"/>
    <w:rsid w:val="006502B9"/>
    <w:rsid w:val="0065038B"/>
    <w:rsid w:val="00650A4E"/>
    <w:rsid w:val="00650CD6"/>
    <w:rsid w:val="00651051"/>
    <w:rsid w:val="006514E9"/>
    <w:rsid w:val="00651859"/>
    <w:rsid w:val="006518D5"/>
    <w:rsid w:val="00651D46"/>
    <w:rsid w:val="00652893"/>
    <w:rsid w:val="00652C10"/>
    <w:rsid w:val="006535AB"/>
    <w:rsid w:val="006537C4"/>
    <w:rsid w:val="006544C1"/>
    <w:rsid w:val="00654872"/>
    <w:rsid w:val="00654C0F"/>
    <w:rsid w:val="0065519C"/>
    <w:rsid w:val="00655458"/>
    <w:rsid w:val="00655F2B"/>
    <w:rsid w:val="00655FA2"/>
    <w:rsid w:val="0065660A"/>
    <w:rsid w:val="00656BED"/>
    <w:rsid w:val="00657967"/>
    <w:rsid w:val="00657DB0"/>
    <w:rsid w:val="00657F1F"/>
    <w:rsid w:val="00660FD2"/>
    <w:rsid w:val="006613FF"/>
    <w:rsid w:val="006615B2"/>
    <w:rsid w:val="00661C0D"/>
    <w:rsid w:val="00661DDE"/>
    <w:rsid w:val="006631E7"/>
    <w:rsid w:val="00663C72"/>
    <w:rsid w:val="0066659B"/>
    <w:rsid w:val="006665E8"/>
    <w:rsid w:val="00666B3E"/>
    <w:rsid w:val="0066736E"/>
    <w:rsid w:val="0066768C"/>
    <w:rsid w:val="0066790B"/>
    <w:rsid w:val="0067039F"/>
    <w:rsid w:val="006708A5"/>
    <w:rsid w:val="0067152C"/>
    <w:rsid w:val="00671A3E"/>
    <w:rsid w:val="0067358A"/>
    <w:rsid w:val="00673E3A"/>
    <w:rsid w:val="00673F78"/>
    <w:rsid w:val="006750F0"/>
    <w:rsid w:val="00675B0E"/>
    <w:rsid w:val="00676934"/>
    <w:rsid w:val="00676B2C"/>
    <w:rsid w:val="006775FD"/>
    <w:rsid w:val="00680F31"/>
    <w:rsid w:val="0068261D"/>
    <w:rsid w:val="00682DFB"/>
    <w:rsid w:val="00682F7B"/>
    <w:rsid w:val="00683AC2"/>
    <w:rsid w:val="00683DDF"/>
    <w:rsid w:val="00684413"/>
    <w:rsid w:val="00686B49"/>
    <w:rsid w:val="00686D73"/>
    <w:rsid w:val="00686EE8"/>
    <w:rsid w:val="00687CBA"/>
    <w:rsid w:val="00690485"/>
    <w:rsid w:val="00690943"/>
    <w:rsid w:val="00691438"/>
    <w:rsid w:val="006920E4"/>
    <w:rsid w:val="006928F3"/>
    <w:rsid w:val="00692D00"/>
    <w:rsid w:val="00693900"/>
    <w:rsid w:val="006947AE"/>
    <w:rsid w:val="006960D8"/>
    <w:rsid w:val="006966F1"/>
    <w:rsid w:val="006A167B"/>
    <w:rsid w:val="006A16CE"/>
    <w:rsid w:val="006A1869"/>
    <w:rsid w:val="006A2CA9"/>
    <w:rsid w:val="006A483C"/>
    <w:rsid w:val="006A551B"/>
    <w:rsid w:val="006A5A67"/>
    <w:rsid w:val="006A68C9"/>
    <w:rsid w:val="006A6944"/>
    <w:rsid w:val="006A7010"/>
    <w:rsid w:val="006A70CC"/>
    <w:rsid w:val="006A7644"/>
    <w:rsid w:val="006A77E5"/>
    <w:rsid w:val="006A783B"/>
    <w:rsid w:val="006B013F"/>
    <w:rsid w:val="006B0276"/>
    <w:rsid w:val="006B027F"/>
    <w:rsid w:val="006B0559"/>
    <w:rsid w:val="006B0788"/>
    <w:rsid w:val="006B14EF"/>
    <w:rsid w:val="006B222A"/>
    <w:rsid w:val="006B472A"/>
    <w:rsid w:val="006B47BF"/>
    <w:rsid w:val="006B522F"/>
    <w:rsid w:val="006B5250"/>
    <w:rsid w:val="006B5517"/>
    <w:rsid w:val="006B5AEA"/>
    <w:rsid w:val="006B5DF3"/>
    <w:rsid w:val="006B6A5D"/>
    <w:rsid w:val="006B7937"/>
    <w:rsid w:val="006C1AD9"/>
    <w:rsid w:val="006C5AC0"/>
    <w:rsid w:val="006C69CC"/>
    <w:rsid w:val="006C6EFD"/>
    <w:rsid w:val="006C7575"/>
    <w:rsid w:val="006C7750"/>
    <w:rsid w:val="006C77C5"/>
    <w:rsid w:val="006C7AF7"/>
    <w:rsid w:val="006D0770"/>
    <w:rsid w:val="006D1A4C"/>
    <w:rsid w:val="006D1DBD"/>
    <w:rsid w:val="006D2054"/>
    <w:rsid w:val="006D22B3"/>
    <w:rsid w:val="006D2600"/>
    <w:rsid w:val="006D384B"/>
    <w:rsid w:val="006D3A76"/>
    <w:rsid w:val="006D3F5E"/>
    <w:rsid w:val="006D4C2B"/>
    <w:rsid w:val="006D4E4B"/>
    <w:rsid w:val="006D54FE"/>
    <w:rsid w:val="006D5871"/>
    <w:rsid w:val="006D6716"/>
    <w:rsid w:val="006D6918"/>
    <w:rsid w:val="006D6D7F"/>
    <w:rsid w:val="006D74A3"/>
    <w:rsid w:val="006D7609"/>
    <w:rsid w:val="006E0823"/>
    <w:rsid w:val="006E1BE1"/>
    <w:rsid w:val="006E1FEF"/>
    <w:rsid w:val="006E31A8"/>
    <w:rsid w:val="006E4468"/>
    <w:rsid w:val="006E4EA7"/>
    <w:rsid w:val="006E5421"/>
    <w:rsid w:val="006E5898"/>
    <w:rsid w:val="006E5BD2"/>
    <w:rsid w:val="006E5D89"/>
    <w:rsid w:val="006F0BED"/>
    <w:rsid w:val="006F1CD5"/>
    <w:rsid w:val="006F269D"/>
    <w:rsid w:val="006F421C"/>
    <w:rsid w:val="006F4EFB"/>
    <w:rsid w:val="006F4FCA"/>
    <w:rsid w:val="006F5719"/>
    <w:rsid w:val="006F7354"/>
    <w:rsid w:val="006F7DBE"/>
    <w:rsid w:val="0070051B"/>
    <w:rsid w:val="00700891"/>
    <w:rsid w:val="00700989"/>
    <w:rsid w:val="007009D9"/>
    <w:rsid w:val="0070129A"/>
    <w:rsid w:val="00701935"/>
    <w:rsid w:val="00701A0F"/>
    <w:rsid w:val="0070233C"/>
    <w:rsid w:val="0070290C"/>
    <w:rsid w:val="00703C29"/>
    <w:rsid w:val="00703C76"/>
    <w:rsid w:val="007044A8"/>
    <w:rsid w:val="00705AAB"/>
    <w:rsid w:val="007062FA"/>
    <w:rsid w:val="00706637"/>
    <w:rsid w:val="00707868"/>
    <w:rsid w:val="00707FE0"/>
    <w:rsid w:val="007104D5"/>
    <w:rsid w:val="00710B46"/>
    <w:rsid w:val="00710E15"/>
    <w:rsid w:val="007118E8"/>
    <w:rsid w:val="00711C8F"/>
    <w:rsid w:val="007135D2"/>
    <w:rsid w:val="00713CAC"/>
    <w:rsid w:val="007143DB"/>
    <w:rsid w:val="0071441B"/>
    <w:rsid w:val="007144BA"/>
    <w:rsid w:val="00714AF4"/>
    <w:rsid w:val="00714D86"/>
    <w:rsid w:val="007156F8"/>
    <w:rsid w:val="0071579B"/>
    <w:rsid w:val="007166A3"/>
    <w:rsid w:val="00717959"/>
    <w:rsid w:val="007202CC"/>
    <w:rsid w:val="00720A89"/>
    <w:rsid w:val="00721031"/>
    <w:rsid w:val="0072161C"/>
    <w:rsid w:val="00721691"/>
    <w:rsid w:val="00722070"/>
    <w:rsid w:val="007222D0"/>
    <w:rsid w:val="00722ECD"/>
    <w:rsid w:val="00724304"/>
    <w:rsid w:val="007245CF"/>
    <w:rsid w:val="00724631"/>
    <w:rsid w:val="00724FCC"/>
    <w:rsid w:val="0072554E"/>
    <w:rsid w:val="00726EA3"/>
    <w:rsid w:val="00727CC9"/>
    <w:rsid w:val="00727E6B"/>
    <w:rsid w:val="00730D71"/>
    <w:rsid w:val="0073298B"/>
    <w:rsid w:val="0073328B"/>
    <w:rsid w:val="00734115"/>
    <w:rsid w:val="007345F9"/>
    <w:rsid w:val="0073572C"/>
    <w:rsid w:val="007357BE"/>
    <w:rsid w:val="007368CF"/>
    <w:rsid w:val="007373E9"/>
    <w:rsid w:val="00740BE7"/>
    <w:rsid w:val="00741271"/>
    <w:rsid w:val="00741F48"/>
    <w:rsid w:val="00743651"/>
    <w:rsid w:val="007454BC"/>
    <w:rsid w:val="007457BC"/>
    <w:rsid w:val="00746D92"/>
    <w:rsid w:val="00747001"/>
    <w:rsid w:val="00747DB1"/>
    <w:rsid w:val="00750934"/>
    <w:rsid w:val="00750CA0"/>
    <w:rsid w:val="007514A5"/>
    <w:rsid w:val="00751E62"/>
    <w:rsid w:val="007525AB"/>
    <w:rsid w:val="007533B9"/>
    <w:rsid w:val="00754156"/>
    <w:rsid w:val="00754AF9"/>
    <w:rsid w:val="00754E26"/>
    <w:rsid w:val="0075566E"/>
    <w:rsid w:val="00755A14"/>
    <w:rsid w:val="00756D3B"/>
    <w:rsid w:val="007604DA"/>
    <w:rsid w:val="00761560"/>
    <w:rsid w:val="007620B3"/>
    <w:rsid w:val="00763722"/>
    <w:rsid w:val="00765DA2"/>
    <w:rsid w:val="00766171"/>
    <w:rsid w:val="007665B2"/>
    <w:rsid w:val="00767933"/>
    <w:rsid w:val="0076798E"/>
    <w:rsid w:val="00767E71"/>
    <w:rsid w:val="00770079"/>
    <w:rsid w:val="0077193D"/>
    <w:rsid w:val="007721CF"/>
    <w:rsid w:val="00773035"/>
    <w:rsid w:val="007743F1"/>
    <w:rsid w:val="00774A2D"/>
    <w:rsid w:val="00774D13"/>
    <w:rsid w:val="00775636"/>
    <w:rsid w:val="00777BFC"/>
    <w:rsid w:val="00780203"/>
    <w:rsid w:val="00780DD6"/>
    <w:rsid w:val="00781362"/>
    <w:rsid w:val="00781B35"/>
    <w:rsid w:val="007820AC"/>
    <w:rsid w:val="007822AF"/>
    <w:rsid w:val="00782472"/>
    <w:rsid w:val="00783111"/>
    <w:rsid w:val="0078335A"/>
    <w:rsid w:val="00783887"/>
    <w:rsid w:val="00786174"/>
    <w:rsid w:val="00786CBB"/>
    <w:rsid w:val="00786F01"/>
    <w:rsid w:val="007876DE"/>
    <w:rsid w:val="00790D8B"/>
    <w:rsid w:val="00790DD4"/>
    <w:rsid w:val="007916E1"/>
    <w:rsid w:val="00791F28"/>
    <w:rsid w:val="0079238C"/>
    <w:rsid w:val="0079260E"/>
    <w:rsid w:val="007938AF"/>
    <w:rsid w:val="00794553"/>
    <w:rsid w:val="007945A0"/>
    <w:rsid w:val="007955DA"/>
    <w:rsid w:val="00795A6B"/>
    <w:rsid w:val="00795AAF"/>
    <w:rsid w:val="0079644C"/>
    <w:rsid w:val="00796B4C"/>
    <w:rsid w:val="00797724"/>
    <w:rsid w:val="007A1F8E"/>
    <w:rsid w:val="007A232D"/>
    <w:rsid w:val="007A394C"/>
    <w:rsid w:val="007A3AB0"/>
    <w:rsid w:val="007A68D3"/>
    <w:rsid w:val="007B03CF"/>
    <w:rsid w:val="007B0ED7"/>
    <w:rsid w:val="007B15D3"/>
    <w:rsid w:val="007B175B"/>
    <w:rsid w:val="007B1D8A"/>
    <w:rsid w:val="007B1F50"/>
    <w:rsid w:val="007B327C"/>
    <w:rsid w:val="007B3711"/>
    <w:rsid w:val="007B3D55"/>
    <w:rsid w:val="007B4092"/>
    <w:rsid w:val="007B5786"/>
    <w:rsid w:val="007B58B7"/>
    <w:rsid w:val="007B5CE0"/>
    <w:rsid w:val="007B600A"/>
    <w:rsid w:val="007B623D"/>
    <w:rsid w:val="007B63BB"/>
    <w:rsid w:val="007B754D"/>
    <w:rsid w:val="007C0758"/>
    <w:rsid w:val="007C0D54"/>
    <w:rsid w:val="007C0F24"/>
    <w:rsid w:val="007C1320"/>
    <w:rsid w:val="007C1B2D"/>
    <w:rsid w:val="007C2483"/>
    <w:rsid w:val="007C27B7"/>
    <w:rsid w:val="007C2800"/>
    <w:rsid w:val="007C402A"/>
    <w:rsid w:val="007C4B12"/>
    <w:rsid w:val="007C5C73"/>
    <w:rsid w:val="007C6A6A"/>
    <w:rsid w:val="007C7FD5"/>
    <w:rsid w:val="007D004A"/>
    <w:rsid w:val="007D0323"/>
    <w:rsid w:val="007D06AB"/>
    <w:rsid w:val="007D06D8"/>
    <w:rsid w:val="007D0878"/>
    <w:rsid w:val="007D0EAF"/>
    <w:rsid w:val="007D1C30"/>
    <w:rsid w:val="007D2E6E"/>
    <w:rsid w:val="007D3C9B"/>
    <w:rsid w:val="007D3D02"/>
    <w:rsid w:val="007D404B"/>
    <w:rsid w:val="007D5CCE"/>
    <w:rsid w:val="007D5EBE"/>
    <w:rsid w:val="007D6C6F"/>
    <w:rsid w:val="007E0593"/>
    <w:rsid w:val="007E0C9D"/>
    <w:rsid w:val="007E13D7"/>
    <w:rsid w:val="007E17C4"/>
    <w:rsid w:val="007E292B"/>
    <w:rsid w:val="007E3008"/>
    <w:rsid w:val="007E3749"/>
    <w:rsid w:val="007E5074"/>
    <w:rsid w:val="007E516A"/>
    <w:rsid w:val="007E5517"/>
    <w:rsid w:val="007E775A"/>
    <w:rsid w:val="007F0938"/>
    <w:rsid w:val="007F1662"/>
    <w:rsid w:val="007F1903"/>
    <w:rsid w:val="007F1AF8"/>
    <w:rsid w:val="007F20E2"/>
    <w:rsid w:val="007F24B0"/>
    <w:rsid w:val="007F2FFD"/>
    <w:rsid w:val="007F3743"/>
    <w:rsid w:val="007F382F"/>
    <w:rsid w:val="007F41C3"/>
    <w:rsid w:val="007F6E11"/>
    <w:rsid w:val="007F74DB"/>
    <w:rsid w:val="00800289"/>
    <w:rsid w:val="008008E0"/>
    <w:rsid w:val="00800B7B"/>
    <w:rsid w:val="00800E49"/>
    <w:rsid w:val="008015A0"/>
    <w:rsid w:val="00801A1D"/>
    <w:rsid w:val="0080335E"/>
    <w:rsid w:val="0080374A"/>
    <w:rsid w:val="008053A2"/>
    <w:rsid w:val="00805E57"/>
    <w:rsid w:val="00805EB6"/>
    <w:rsid w:val="00805ECB"/>
    <w:rsid w:val="00806086"/>
    <w:rsid w:val="00806EC5"/>
    <w:rsid w:val="008070E5"/>
    <w:rsid w:val="0080729B"/>
    <w:rsid w:val="008107DA"/>
    <w:rsid w:val="00810E04"/>
    <w:rsid w:val="00811082"/>
    <w:rsid w:val="00811648"/>
    <w:rsid w:val="00812031"/>
    <w:rsid w:val="00812E31"/>
    <w:rsid w:val="00813675"/>
    <w:rsid w:val="00813916"/>
    <w:rsid w:val="00814B99"/>
    <w:rsid w:val="008154CA"/>
    <w:rsid w:val="00816775"/>
    <w:rsid w:val="00816AD6"/>
    <w:rsid w:val="00816DDD"/>
    <w:rsid w:val="008175EB"/>
    <w:rsid w:val="00820108"/>
    <w:rsid w:val="00820805"/>
    <w:rsid w:val="00820E31"/>
    <w:rsid w:val="00820FBA"/>
    <w:rsid w:val="00821071"/>
    <w:rsid w:val="008214A6"/>
    <w:rsid w:val="008215D6"/>
    <w:rsid w:val="00821D01"/>
    <w:rsid w:val="00821ECF"/>
    <w:rsid w:val="00822496"/>
    <w:rsid w:val="008224BA"/>
    <w:rsid w:val="008240E2"/>
    <w:rsid w:val="008248B4"/>
    <w:rsid w:val="00824B8A"/>
    <w:rsid w:val="00824D70"/>
    <w:rsid w:val="00824FDF"/>
    <w:rsid w:val="0082577B"/>
    <w:rsid w:val="008257FF"/>
    <w:rsid w:val="00825860"/>
    <w:rsid w:val="00825DFF"/>
    <w:rsid w:val="008269F7"/>
    <w:rsid w:val="00826A59"/>
    <w:rsid w:val="0082761F"/>
    <w:rsid w:val="008276E8"/>
    <w:rsid w:val="00827B1C"/>
    <w:rsid w:val="00827C63"/>
    <w:rsid w:val="00831A03"/>
    <w:rsid w:val="008332E1"/>
    <w:rsid w:val="008334F2"/>
    <w:rsid w:val="00833C09"/>
    <w:rsid w:val="00833F6F"/>
    <w:rsid w:val="00834873"/>
    <w:rsid w:val="00834E65"/>
    <w:rsid w:val="008378FA"/>
    <w:rsid w:val="00840095"/>
    <w:rsid w:val="00840B1A"/>
    <w:rsid w:val="00840B9B"/>
    <w:rsid w:val="0084106E"/>
    <w:rsid w:val="008412F6"/>
    <w:rsid w:val="0084262E"/>
    <w:rsid w:val="00843BBF"/>
    <w:rsid w:val="00845E59"/>
    <w:rsid w:val="00846598"/>
    <w:rsid w:val="00850900"/>
    <w:rsid w:val="00850C69"/>
    <w:rsid w:val="0085197D"/>
    <w:rsid w:val="00851AAD"/>
    <w:rsid w:val="008543C4"/>
    <w:rsid w:val="0085499A"/>
    <w:rsid w:val="00854F8B"/>
    <w:rsid w:val="008556F3"/>
    <w:rsid w:val="00856A6C"/>
    <w:rsid w:val="00857EE8"/>
    <w:rsid w:val="0086012D"/>
    <w:rsid w:val="008601A4"/>
    <w:rsid w:val="00860D60"/>
    <w:rsid w:val="00862ED1"/>
    <w:rsid w:val="00864F39"/>
    <w:rsid w:val="008656F7"/>
    <w:rsid w:val="008658A4"/>
    <w:rsid w:val="0086590E"/>
    <w:rsid w:val="008662F9"/>
    <w:rsid w:val="0086635F"/>
    <w:rsid w:val="00866CDA"/>
    <w:rsid w:val="00867351"/>
    <w:rsid w:val="008678DB"/>
    <w:rsid w:val="00867ADB"/>
    <w:rsid w:val="00872168"/>
    <w:rsid w:val="00876775"/>
    <w:rsid w:val="0087738E"/>
    <w:rsid w:val="008774B4"/>
    <w:rsid w:val="008808DF"/>
    <w:rsid w:val="008809EA"/>
    <w:rsid w:val="00880D10"/>
    <w:rsid w:val="008811B6"/>
    <w:rsid w:val="00881242"/>
    <w:rsid w:val="0088209F"/>
    <w:rsid w:val="008823EE"/>
    <w:rsid w:val="008829B1"/>
    <w:rsid w:val="008832E4"/>
    <w:rsid w:val="008833CE"/>
    <w:rsid w:val="00883A8F"/>
    <w:rsid w:val="00884964"/>
    <w:rsid w:val="00884A54"/>
    <w:rsid w:val="008861F0"/>
    <w:rsid w:val="00886D40"/>
    <w:rsid w:val="00887C7E"/>
    <w:rsid w:val="00890AE2"/>
    <w:rsid w:val="00890CFC"/>
    <w:rsid w:val="00890EB0"/>
    <w:rsid w:val="00891AF7"/>
    <w:rsid w:val="00891F2E"/>
    <w:rsid w:val="00891F81"/>
    <w:rsid w:val="00892254"/>
    <w:rsid w:val="008922D6"/>
    <w:rsid w:val="00893ED6"/>
    <w:rsid w:val="00894226"/>
    <w:rsid w:val="0089681F"/>
    <w:rsid w:val="00897686"/>
    <w:rsid w:val="008976E5"/>
    <w:rsid w:val="008A0B57"/>
    <w:rsid w:val="008A1BCF"/>
    <w:rsid w:val="008A2570"/>
    <w:rsid w:val="008A2E66"/>
    <w:rsid w:val="008A32F2"/>
    <w:rsid w:val="008A450C"/>
    <w:rsid w:val="008A45A5"/>
    <w:rsid w:val="008A55CA"/>
    <w:rsid w:val="008A59B1"/>
    <w:rsid w:val="008A5DBA"/>
    <w:rsid w:val="008A6148"/>
    <w:rsid w:val="008A7DD0"/>
    <w:rsid w:val="008A7F0D"/>
    <w:rsid w:val="008B0B97"/>
    <w:rsid w:val="008B152F"/>
    <w:rsid w:val="008B162E"/>
    <w:rsid w:val="008B1FC0"/>
    <w:rsid w:val="008B3A0C"/>
    <w:rsid w:val="008B3FA1"/>
    <w:rsid w:val="008B5110"/>
    <w:rsid w:val="008B528E"/>
    <w:rsid w:val="008B539A"/>
    <w:rsid w:val="008B5701"/>
    <w:rsid w:val="008B5E9D"/>
    <w:rsid w:val="008B5EDC"/>
    <w:rsid w:val="008B5F13"/>
    <w:rsid w:val="008B6B71"/>
    <w:rsid w:val="008B6CE8"/>
    <w:rsid w:val="008B6F22"/>
    <w:rsid w:val="008B75FC"/>
    <w:rsid w:val="008B7E18"/>
    <w:rsid w:val="008C1F18"/>
    <w:rsid w:val="008C2A6A"/>
    <w:rsid w:val="008C2C42"/>
    <w:rsid w:val="008C2D8C"/>
    <w:rsid w:val="008C33C8"/>
    <w:rsid w:val="008C348E"/>
    <w:rsid w:val="008C34BF"/>
    <w:rsid w:val="008C370E"/>
    <w:rsid w:val="008C4E14"/>
    <w:rsid w:val="008C4FCE"/>
    <w:rsid w:val="008C513C"/>
    <w:rsid w:val="008C672E"/>
    <w:rsid w:val="008C6811"/>
    <w:rsid w:val="008C72C4"/>
    <w:rsid w:val="008C7603"/>
    <w:rsid w:val="008D0321"/>
    <w:rsid w:val="008D039A"/>
    <w:rsid w:val="008D0419"/>
    <w:rsid w:val="008D0D20"/>
    <w:rsid w:val="008D258F"/>
    <w:rsid w:val="008D351B"/>
    <w:rsid w:val="008D3626"/>
    <w:rsid w:val="008D3778"/>
    <w:rsid w:val="008D3EDF"/>
    <w:rsid w:val="008D4CA3"/>
    <w:rsid w:val="008D58F4"/>
    <w:rsid w:val="008D5B30"/>
    <w:rsid w:val="008D62A7"/>
    <w:rsid w:val="008D641B"/>
    <w:rsid w:val="008D78F8"/>
    <w:rsid w:val="008E0F45"/>
    <w:rsid w:val="008E116A"/>
    <w:rsid w:val="008E1792"/>
    <w:rsid w:val="008E21B2"/>
    <w:rsid w:val="008E28CA"/>
    <w:rsid w:val="008E2F7F"/>
    <w:rsid w:val="008E315E"/>
    <w:rsid w:val="008E3230"/>
    <w:rsid w:val="008E4AFB"/>
    <w:rsid w:val="008E4C64"/>
    <w:rsid w:val="008E50EB"/>
    <w:rsid w:val="008E539A"/>
    <w:rsid w:val="008E59AB"/>
    <w:rsid w:val="008E64BE"/>
    <w:rsid w:val="008E6C98"/>
    <w:rsid w:val="008E79BC"/>
    <w:rsid w:val="008F013B"/>
    <w:rsid w:val="008F1E00"/>
    <w:rsid w:val="008F1E44"/>
    <w:rsid w:val="008F2078"/>
    <w:rsid w:val="008F2CE5"/>
    <w:rsid w:val="008F2E31"/>
    <w:rsid w:val="008F2FF9"/>
    <w:rsid w:val="008F307B"/>
    <w:rsid w:val="008F314B"/>
    <w:rsid w:val="008F3873"/>
    <w:rsid w:val="008F4E5A"/>
    <w:rsid w:val="008F56B1"/>
    <w:rsid w:val="008F6D1E"/>
    <w:rsid w:val="008F73AE"/>
    <w:rsid w:val="00900433"/>
    <w:rsid w:val="0090300B"/>
    <w:rsid w:val="00903F4A"/>
    <w:rsid w:val="00904399"/>
    <w:rsid w:val="00904476"/>
    <w:rsid w:val="009046BF"/>
    <w:rsid w:val="00904716"/>
    <w:rsid w:val="009047DC"/>
    <w:rsid w:val="00904F89"/>
    <w:rsid w:val="00905616"/>
    <w:rsid w:val="0090587E"/>
    <w:rsid w:val="00905B4C"/>
    <w:rsid w:val="009062B9"/>
    <w:rsid w:val="009067D4"/>
    <w:rsid w:val="00907883"/>
    <w:rsid w:val="00907966"/>
    <w:rsid w:val="009102DE"/>
    <w:rsid w:val="0091096F"/>
    <w:rsid w:val="00911004"/>
    <w:rsid w:val="009118ED"/>
    <w:rsid w:val="00911F38"/>
    <w:rsid w:val="00912094"/>
    <w:rsid w:val="00912313"/>
    <w:rsid w:val="00912B35"/>
    <w:rsid w:val="00913537"/>
    <w:rsid w:val="00913F70"/>
    <w:rsid w:val="0091401B"/>
    <w:rsid w:val="009144D4"/>
    <w:rsid w:val="009145AB"/>
    <w:rsid w:val="009145DD"/>
    <w:rsid w:val="00915B39"/>
    <w:rsid w:val="009161F4"/>
    <w:rsid w:val="009162E7"/>
    <w:rsid w:val="00916F05"/>
    <w:rsid w:val="0091755B"/>
    <w:rsid w:val="00917715"/>
    <w:rsid w:val="00920275"/>
    <w:rsid w:val="00920F41"/>
    <w:rsid w:val="00921916"/>
    <w:rsid w:val="009221C2"/>
    <w:rsid w:val="00923989"/>
    <w:rsid w:val="00924194"/>
    <w:rsid w:val="00926760"/>
    <w:rsid w:val="00926BA1"/>
    <w:rsid w:val="00926C74"/>
    <w:rsid w:val="009273AD"/>
    <w:rsid w:val="00930076"/>
    <w:rsid w:val="00930EEB"/>
    <w:rsid w:val="009314C4"/>
    <w:rsid w:val="00932366"/>
    <w:rsid w:val="009329E0"/>
    <w:rsid w:val="00932A0F"/>
    <w:rsid w:val="0093429D"/>
    <w:rsid w:val="00934396"/>
    <w:rsid w:val="00935F0E"/>
    <w:rsid w:val="00936249"/>
    <w:rsid w:val="00936EFB"/>
    <w:rsid w:val="00937687"/>
    <w:rsid w:val="00940077"/>
    <w:rsid w:val="0094088D"/>
    <w:rsid w:val="009416C4"/>
    <w:rsid w:val="00941D48"/>
    <w:rsid w:val="0094278D"/>
    <w:rsid w:val="009433FD"/>
    <w:rsid w:val="00943A64"/>
    <w:rsid w:val="00943D06"/>
    <w:rsid w:val="0094462D"/>
    <w:rsid w:val="009447E5"/>
    <w:rsid w:val="00945822"/>
    <w:rsid w:val="00946E16"/>
    <w:rsid w:val="00947244"/>
    <w:rsid w:val="00947267"/>
    <w:rsid w:val="00947595"/>
    <w:rsid w:val="0095034B"/>
    <w:rsid w:val="00951BEE"/>
    <w:rsid w:val="009524CC"/>
    <w:rsid w:val="009529F5"/>
    <w:rsid w:val="00952AC1"/>
    <w:rsid w:val="00952E25"/>
    <w:rsid w:val="00953242"/>
    <w:rsid w:val="009535B9"/>
    <w:rsid w:val="00953BE4"/>
    <w:rsid w:val="00955B90"/>
    <w:rsid w:val="0095667F"/>
    <w:rsid w:val="0095683C"/>
    <w:rsid w:val="009603AE"/>
    <w:rsid w:val="009613E6"/>
    <w:rsid w:val="0096321D"/>
    <w:rsid w:val="0096333C"/>
    <w:rsid w:val="00963FFF"/>
    <w:rsid w:val="00964300"/>
    <w:rsid w:val="00964789"/>
    <w:rsid w:val="009651C8"/>
    <w:rsid w:val="00966078"/>
    <w:rsid w:val="0096666C"/>
    <w:rsid w:val="00966B67"/>
    <w:rsid w:val="00970CDD"/>
    <w:rsid w:val="00970D37"/>
    <w:rsid w:val="009719FC"/>
    <w:rsid w:val="00972C6F"/>
    <w:rsid w:val="00973711"/>
    <w:rsid w:val="00974610"/>
    <w:rsid w:val="009749A5"/>
    <w:rsid w:val="00975460"/>
    <w:rsid w:val="00975A64"/>
    <w:rsid w:val="0097605D"/>
    <w:rsid w:val="00976354"/>
    <w:rsid w:val="00980C29"/>
    <w:rsid w:val="00980D58"/>
    <w:rsid w:val="00980EBF"/>
    <w:rsid w:val="0098151A"/>
    <w:rsid w:val="00981B75"/>
    <w:rsid w:val="009824E4"/>
    <w:rsid w:val="009844C1"/>
    <w:rsid w:val="00984597"/>
    <w:rsid w:val="00985197"/>
    <w:rsid w:val="00985824"/>
    <w:rsid w:val="00985967"/>
    <w:rsid w:val="00985DE9"/>
    <w:rsid w:val="0099053A"/>
    <w:rsid w:val="00990B4F"/>
    <w:rsid w:val="00990EE3"/>
    <w:rsid w:val="00991296"/>
    <w:rsid w:val="0099172F"/>
    <w:rsid w:val="009918CE"/>
    <w:rsid w:val="00992116"/>
    <w:rsid w:val="009928BA"/>
    <w:rsid w:val="00992BDA"/>
    <w:rsid w:val="0099306F"/>
    <w:rsid w:val="009933B4"/>
    <w:rsid w:val="00994CC5"/>
    <w:rsid w:val="00996001"/>
    <w:rsid w:val="00996029"/>
    <w:rsid w:val="00996BA9"/>
    <w:rsid w:val="00996F9E"/>
    <w:rsid w:val="00997D6B"/>
    <w:rsid w:val="00997DA9"/>
    <w:rsid w:val="00997DBF"/>
    <w:rsid w:val="009A0418"/>
    <w:rsid w:val="009A067C"/>
    <w:rsid w:val="009A0F09"/>
    <w:rsid w:val="009A13AB"/>
    <w:rsid w:val="009A152C"/>
    <w:rsid w:val="009A1542"/>
    <w:rsid w:val="009A22CA"/>
    <w:rsid w:val="009A2764"/>
    <w:rsid w:val="009A27C6"/>
    <w:rsid w:val="009A2875"/>
    <w:rsid w:val="009A3BED"/>
    <w:rsid w:val="009A47CB"/>
    <w:rsid w:val="009A5B08"/>
    <w:rsid w:val="009A6841"/>
    <w:rsid w:val="009A6B08"/>
    <w:rsid w:val="009B221A"/>
    <w:rsid w:val="009B431F"/>
    <w:rsid w:val="009B6074"/>
    <w:rsid w:val="009B6746"/>
    <w:rsid w:val="009B6E0D"/>
    <w:rsid w:val="009B73A8"/>
    <w:rsid w:val="009B79B2"/>
    <w:rsid w:val="009C0108"/>
    <w:rsid w:val="009C06D3"/>
    <w:rsid w:val="009C0B6F"/>
    <w:rsid w:val="009C1872"/>
    <w:rsid w:val="009C1E94"/>
    <w:rsid w:val="009C21FE"/>
    <w:rsid w:val="009C422D"/>
    <w:rsid w:val="009C487A"/>
    <w:rsid w:val="009C4A40"/>
    <w:rsid w:val="009C5165"/>
    <w:rsid w:val="009C552D"/>
    <w:rsid w:val="009C6B1F"/>
    <w:rsid w:val="009C7315"/>
    <w:rsid w:val="009D0572"/>
    <w:rsid w:val="009D06F4"/>
    <w:rsid w:val="009D2953"/>
    <w:rsid w:val="009D3B0E"/>
    <w:rsid w:val="009D3B11"/>
    <w:rsid w:val="009D437D"/>
    <w:rsid w:val="009D5D64"/>
    <w:rsid w:val="009D5E24"/>
    <w:rsid w:val="009D6E5A"/>
    <w:rsid w:val="009D76D6"/>
    <w:rsid w:val="009E1824"/>
    <w:rsid w:val="009E30F0"/>
    <w:rsid w:val="009E413D"/>
    <w:rsid w:val="009E578B"/>
    <w:rsid w:val="009E61B6"/>
    <w:rsid w:val="009E7304"/>
    <w:rsid w:val="009E73FB"/>
    <w:rsid w:val="009E7662"/>
    <w:rsid w:val="009E7A14"/>
    <w:rsid w:val="009F2C67"/>
    <w:rsid w:val="009F63A4"/>
    <w:rsid w:val="009F6E5A"/>
    <w:rsid w:val="00A007BC"/>
    <w:rsid w:val="00A00D79"/>
    <w:rsid w:val="00A00EED"/>
    <w:rsid w:val="00A01EDC"/>
    <w:rsid w:val="00A03CF2"/>
    <w:rsid w:val="00A04841"/>
    <w:rsid w:val="00A10A9F"/>
    <w:rsid w:val="00A115E3"/>
    <w:rsid w:val="00A11BED"/>
    <w:rsid w:val="00A128DC"/>
    <w:rsid w:val="00A13622"/>
    <w:rsid w:val="00A1373D"/>
    <w:rsid w:val="00A1392E"/>
    <w:rsid w:val="00A16F3F"/>
    <w:rsid w:val="00A17DE8"/>
    <w:rsid w:val="00A21240"/>
    <w:rsid w:val="00A215C6"/>
    <w:rsid w:val="00A215D7"/>
    <w:rsid w:val="00A225A9"/>
    <w:rsid w:val="00A22C3A"/>
    <w:rsid w:val="00A22FDD"/>
    <w:rsid w:val="00A255EF"/>
    <w:rsid w:val="00A256A9"/>
    <w:rsid w:val="00A25938"/>
    <w:rsid w:val="00A25EBD"/>
    <w:rsid w:val="00A2633A"/>
    <w:rsid w:val="00A2677E"/>
    <w:rsid w:val="00A26AAA"/>
    <w:rsid w:val="00A278CA"/>
    <w:rsid w:val="00A27EA5"/>
    <w:rsid w:val="00A314A7"/>
    <w:rsid w:val="00A318A5"/>
    <w:rsid w:val="00A31902"/>
    <w:rsid w:val="00A31D28"/>
    <w:rsid w:val="00A31E60"/>
    <w:rsid w:val="00A325A9"/>
    <w:rsid w:val="00A32E31"/>
    <w:rsid w:val="00A339B8"/>
    <w:rsid w:val="00A33B45"/>
    <w:rsid w:val="00A35556"/>
    <w:rsid w:val="00A35A94"/>
    <w:rsid w:val="00A35CDA"/>
    <w:rsid w:val="00A36064"/>
    <w:rsid w:val="00A37AEF"/>
    <w:rsid w:val="00A37C0F"/>
    <w:rsid w:val="00A37C53"/>
    <w:rsid w:val="00A37E62"/>
    <w:rsid w:val="00A404F2"/>
    <w:rsid w:val="00A411AF"/>
    <w:rsid w:val="00A4189C"/>
    <w:rsid w:val="00A41C02"/>
    <w:rsid w:val="00A41E0F"/>
    <w:rsid w:val="00A42A69"/>
    <w:rsid w:val="00A4382D"/>
    <w:rsid w:val="00A43E1A"/>
    <w:rsid w:val="00A43FD1"/>
    <w:rsid w:val="00A44973"/>
    <w:rsid w:val="00A45566"/>
    <w:rsid w:val="00A45B97"/>
    <w:rsid w:val="00A463C2"/>
    <w:rsid w:val="00A46EC9"/>
    <w:rsid w:val="00A4752F"/>
    <w:rsid w:val="00A479B4"/>
    <w:rsid w:val="00A50C12"/>
    <w:rsid w:val="00A51CDD"/>
    <w:rsid w:val="00A536A0"/>
    <w:rsid w:val="00A54E0A"/>
    <w:rsid w:val="00A5579B"/>
    <w:rsid w:val="00A56134"/>
    <w:rsid w:val="00A5623A"/>
    <w:rsid w:val="00A57D8A"/>
    <w:rsid w:val="00A614F1"/>
    <w:rsid w:val="00A615A0"/>
    <w:rsid w:val="00A619B3"/>
    <w:rsid w:val="00A62917"/>
    <w:rsid w:val="00A63878"/>
    <w:rsid w:val="00A6546B"/>
    <w:rsid w:val="00A66B9C"/>
    <w:rsid w:val="00A676EF"/>
    <w:rsid w:val="00A67C71"/>
    <w:rsid w:val="00A67EC4"/>
    <w:rsid w:val="00A70F43"/>
    <w:rsid w:val="00A71152"/>
    <w:rsid w:val="00A716A5"/>
    <w:rsid w:val="00A73FF5"/>
    <w:rsid w:val="00A74319"/>
    <w:rsid w:val="00A74B31"/>
    <w:rsid w:val="00A74C1E"/>
    <w:rsid w:val="00A74E81"/>
    <w:rsid w:val="00A75027"/>
    <w:rsid w:val="00A761DD"/>
    <w:rsid w:val="00A76C28"/>
    <w:rsid w:val="00A772CF"/>
    <w:rsid w:val="00A775A3"/>
    <w:rsid w:val="00A805BE"/>
    <w:rsid w:val="00A805FD"/>
    <w:rsid w:val="00A82363"/>
    <w:rsid w:val="00A8278A"/>
    <w:rsid w:val="00A82863"/>
    <w:rsid w:val="00A82BA2"/>
    <w:rsid w:val="00A84A4C"/>
    <w:rsid w:val="00A84D0A"/>
    <w:rsid w:val="00A852D7"/>
    <w:rsid w:val="00A863F0"/>
    <w:rsid w:val="00A87BF4"/>
    <w:rsid w:val="00A87E9F"/>
    <w:rsid w:val="00A87FDB"/>
    <w:rsid w:val="00A90062"/>
    <w:rsid w:val="00A9012E"/>
    <w:rsid w:val="00A90650"/>
    <w:rsid w:val="00A91C81"/>
    <w:rsid w:val="00A92306"/>
    <w:rsid w:val="00A938A5"/>
    <w:rsid w:val="00A9422C"/>
    <w:rsid w:val="00A94D2F"/>
    <w:rsid w:val="00A95658"/>
    <w:rsid w:val="00A95A05"/>
    <w:rsid w:val="00A96198"/>
    <w:rsid w:val="00A965F6"/>
    <w:rsid w:val="00A9793E"/>
    <w:rsid w:val="00A97EA0"/>
    <w:rsid w:val="00AA10E8"/>
    <w:rsid w:val="00AA2337"/>
    <w:rsid w:val="00AA2413"/>
    <w:rsid w:val="00AA2DF9"/>
    <w:rsid w:val="00AA3688"/>
    <w:rsid w:val="00AA3F1A"/>
    <w:rsid w:val="00AA4CF1"/>
    <w:rsid w:val="00AA4F7C"/>
    <w:rsid w:val="00AA519E"/>
    <w:rsid w:val="00AA51BB"/>
    <w:rsid w:val="00AA61F5"/>
    <w:rsid w:val="00AA64AE"/>
    <w:rsid w:val="00AA784E"/>
    <w:rsid w:val="00AB0FAA"/>
    <w:rsid w:val="00AB1F6D"/>
    <w:rsid w:val="00AB39B5"/>
    <w:rsid w:val="00AB43FD"/>
    <w:rsid w:val="00AB468A"/>
    <w:rsid w:val="00AB4A54"/>
    <w:rsid w:val="00AB4C3E"/>
    <w:rsid w:val="00AB4F56"/>
    <w:rsid w:val="00AB5F6F"/>
    <w:rsid w:val="00AB704A"/>
    <w:rsid w:val="00AB7256"/>
    <w:rsid w:val="00AC02E0"/>
    <w:rsid w:val="00AC06DB"/>
    <w:rsid w:val="00AC1737"/>
    <w:rsid w:val="00AC1DCD"/>
    <w:rsid w:val="00AC2707"/>
    <w:rsid w:val="00AC3BD0"/>
    <w:rsid w:val="00AC42BB"/>
    <w:rsid w:val="00AC47D3"/>
    <w:rsid w:val="00AC5B23"/>
    <w:rsid w:val="00AC5EB3"/>
    <w:rsid w:val="00AC65AA"/>
    <w:rsid w:val="00AC6DEF"/>
    <w:rsid w:val="00AC7957"/>
    <w:rsid w:val="00AC798D"/>
    <w:rsid w:val="00AC7A32"/>
    <w:rsid w:val="00AC7E74"/>
    <w:rsid w:val="00AD0AE9"/>
    <w:rsid w:val="00AD1042"/>
    <w:rsid w:val="00AD1A49"/>
    <w:rsid w:val="00AD2A50"/>
    <w:rsid w:val="00AD2BAB"/>
    <w:rsid w:val="00AD33E1"/>
    <w:rsid w:val="00AD35B2"/>
    <w:rsid w:val="00AD3DFC"/>
    <w:rsid w:val="00AD44D3"/>
    <w:rsid w:val="00AD4CDB"/>
    <w:rsid w:val="00AD6001"/>
    <w:rsid w:val="00AD6997"/>
    <w:rsid w:val="00AD6E38"/>
    <w:rsid w:val="00AD77F2"/>
    <w:rsid w:val="00AD78AB"/>
    <w:rsid w:val="00AD78EB"/>
    <w:rsid w:val="00AE0C70"/>
    <w:rsid w:val="00AE0E8D"/>
    <w:rsid w:val="00AE153A"/>
    <w:rsid w:val="00AE1C45"/>
    <w:rsid w:val="00AE2615"/>
    <w:rsid w:val="00AE27A4"/>
    <w:rsid w:val="00AE2D8E"/>
    <w:rsid w:val="00AE38C7"/>
    <w:rsid w:val="00AE3C6B"/>
    <w:rsid w:val="00AE42BD"/>
    <w:rsid w:val="00AE4A8C"/>
    <w:rsid w:val="00AE60C1"/>
    <w:rsid w:val="00AE66A5"/>
    <w:rsid w:val="00AE6D21"/>
    <w:rsid w:val="00AE6E63"/>
    <w:rsid w:val="00AE75E0"/>
    <w:rsid w:val="00AE7AF9"/>
    <w:rsid w:val="00AF0480"/>
    <w:rsid w:val="00AF0D82"/>
    <w:rsid w:val="00AF21AF"/>
    <w:rsid w:val="00AF22F3"/>
    <w:rsid w:val="00AF2D42"/>
    <w:rsid w:val="00AF2EE1"/>
    <w:rsid w:val="00AF31FF"/>
    <w:rsid w:val="00AF6193"/>
    <w:rsid w:val="00AF67CA"/>
    <w:rsid w:val="00B00391"/>
    <w:rsid w:val="00B00B53"/>
    <w:rsid w:val="00B0161A"/>
    <w:rsid w:val="00B01FB9"/>
    <w:rsid w:val="00B021CD"/>
    <w:rsid w:val="00B036AE"/>
    <w:rsid w:val="00B044B6"/>
    <w:rsid w:val="00B04507"/>
    <w:rsid w:val="00B04ABF"/>
    <w:rsid w:val="00B04BBB"/>
    <w:rsid w:val="00B04E30"/>
    <w:rsid w:val="00B04ED0"/>
    <w:rsid w:val="00B05BCA"/>
    <w:rsid w:val="00B05D0E"/>
    <w:rsid w:val="00B05F79"/>
    <w:rsid w:val="00B07808"/>
    <w:rsid w:val="00B1097D"/>
    <w:rsid w:val="00B10F2A"/>
    <w:rsid w:val="00B12888"/>
    <w:rsid w:val="00B12E68"/>
    <w:rsid w:val="00B13823"/>
    <w:rsid w:val="00B13BB2"/>
    <w:rsid w:val="00B140FB"/>
    <w:rsid w:val="00B141C3"/>
    <w:rsid w:val="00B142AB"/>
    <w:rsid w:val="00B143B2"/>
    <w:rsid w:val="00B154C9"/>
    <w:rsid w:val="00B15F24"/>
    <w:rsid w:val="00B16D22"/>
    <w:rsid w:val="00B17BAF"/>
    <w:rsid w:val="00B20848"/>
    <w:rsid w:val="00B2096F"/>
    <w:rsid w:val="00B20B18"/>
    <w:rsid w:val="00B21523"/>
    <w:rsid w:val="00B220A1"/>
    <w:rsid w:val="00B2272D"/>
    <w:rsid w:val="00B23E61"/>
    <w:rsid w:val="00B243AE"/>
    <w:rsid w:val="00B24E22"/>
    <w:rsid w:val="00B24F5B"/>
    <w:rsid w:val="00B26619"/>
    <w:rsid w:val="00B26814"/>
    <w:rsid w:val="00B26985"/>
    <w:rsid w:val="00B27145"/>
    <w:rsid w:val="00B275C2"/>
    <w:rsid w:val="00B27771"/>
    <w:rsid w:val="00B320F2"/>
    <w:rsid w:val="00B32376"/>
    <w:rsid w:val="00B32C6E"/>
    <w:rsid w:val="00B33582"/>
    <w:rsid w:val="00B340BA"/>
    <w:rsid w:val="00B341C7"/>
    <w:rsid w:val="00B34360"/>
    <w:rsid w:val="00B34F3D"/>
    <w:rsid w:val="00B3638C"/>
    <w:rsid w:val="00B36794"/>
    <w:rsid w:val="00B36BD6"/>
    <w:rsid w:val="00B37017"/>
    <w:rsid w:val="00B3725F"/>
    <w:rsid w:val="00B3733F"/>
    <w:rsid w:val="00B373D6"/>
    <w:rsid w:val="00B37E51"/>
    <w:rsid w:val="00B401F1"/>
    <w:rsid w:val="00B40304"/>
    <w:rsid w:val="00B40C6E"/>
    <w:rsid w:val="00B4214F"/>
    <w:rsid w:val="00B426E3"/>
    <w:rsid w:val="00B4270D"/>
    <w:rsid w:val="00B42D84"/>
    <w:rsid w:val="00B43892"/>
    <w:rsid w:val="00B45074"/>
    <w:rsid w:val="00B4513A"/>
    <w:rsid w:val="00B45BED"/>
    <w:rsid w:val="00B47100"/>
    <w:rsid w:val="00B4735B"/>
    <w:rsid w:val="00B47405"/>
    <w:rsid w:val="00B4777A"/>
    <w:rsid w:val="00B5072C"/>
    <w:rsid w:val="00B52F2F"/>
    <w:rsid w:val="00B53087"/>
    <w:rsid w:val="00B5462A"/>
    <w:rsid w:val="00B54AF3"/>
    <w:rsid w:val="00B54EA6"/>
    <w:rsid w:val="00B56DDD"/>
    <w:rsid w:val="00B57003"/>
    <w:rsid w:val="00B57094"/>
    <w:rsid w:val="00B57F1C"/>
    <w:rsid w:val="00B60831"/>
    <w:rsid w:val="00B60B48"/>
    <w:rsid w:val="00B60BBF"/>
    <w:rsid w:val="00B619B2"/>
    <w:rsid w:val="00B62822"/>
    <w:rsid w:val="00B62C45"/>
    <w:rsid w:val="00B636C0"/>
    <w:rsid w:val="00B636EB"/>
    <w:rsid w:val="00B63B0F"/>
    <w:rsid w:val="00B64666"/>
    <w:rsid w:val="00B65472"/>
    <w:rsid w:val="00B65504"/>
    <w:rsid w:val="00B658E3"/>
    <w:rsid w:val="00B66EB3"/>
    <w:rsid w:val="00B67DAB"/>
    <w:rsid w:val="00B706BB"/>
    <w:rsid w:val="00B70AD7"/>
    <w:rsid w:val="00B7163E"/>
    <w:rsid w:val="00B728C3"/>
    <w:rsid w:val="00B73D9B"/>
    <w:rsid w:val="00B74113"/>
    <w:rsid w:val="00B749CE"/>
    <w:rsid w:val="00B76DFB"/>
    <w:rsid w:val="00B7708A"/>
    <w:rsid w:val="00B77F23"/>
    <w:rsid w:val="00B80555"/>
    <w:rsid w:val="00B80B38"/>
    <w:rsid w:val="00B81A45"/>
    <w:rsid w:val="00B81FA6"/>
    <w:rsid w:val="00B82037"/>
    <w:rsid w:val="00B82A2A"/>
    <w:rsid w:val="00B83254"/>
    <w:rsid w:val="00B833A1"/>
    <w:rsid w:val="00B833DC"/>
    <w:rsid w:val="00B83408"/>
    <w:rsid w:val="00B83A53"/>
    <w:rsid w:val="00B850D2"/>
    <w:rsid w:val="00B8572C"/>
    <w:rsid w:val="00B86D81"/>
    <w:rsid w:val="00B87801"/>
    <w:rsid w:val="00B87A1B"/>
    <w:rsid w:val="00B9075B"/>
    <w:rsid w:val="00B90A53"/>
    <w:rsid w:val="00B915B3"/>
    <w:rsid w:val="00B91E17"/>
    <w:rsid w:val="00B92E10"/>
    <w:rsid w:val="00B92FC8"/>
    <w:rsid w:val="00B937D4"/>
    <w:rsid w:val="00B93F0E"/>
    <w:rsid w:val="00B95724"/>
    <w:rsid w:val="00B9587B"/>
    <w:rsid w:val="00B9595E"/>
    <w:rsid w:val="00B959A9"/>
    <w:rsid w:val="00B95D59"/>
    <w:rsid w:val="00B97409"/>
    <w:rsid w:val="00B975E1"/>
    <w:rsid w:val="00BA0DC0"/>
    <w:rsid w:val="00BA117E"/>
    <w:rsid w:val="00BA1FA3"/>
    <w:rsid w:val="00BA2114"/>
    <w:rsid w:val="00BA27AF"/>
    <w:rsid w:val="00BA2968"/>
    <w:rsid w:val="00BA34CF"/>
    <w:rsid w:val="00BA3835"/>
    <w:rsid w:val="00BA390E"/>
    <w:rsid w:val="00BA4845"/>
    <w:rsid w:val="00BA4E15"/>
    <w:rsid w:val="00BA6082"/>
    <w:rsid w:val="00BA61BD"/>
    <w:rsid w:val="00BA711A"/>
    <w:rsid w:val="00BA73CF"/>
    <w:rsid w:val="00BA79E3"/>
    <w:rsid w:val="00BB0961"/>
    <w:rsid w:val="00BB0A05"/>
    <w:rsid w:val="00BB11BA"/>
    <w:rsid w:val="00BB14EB"/>
    <w:rsid w:val="00BB2797"/>
    <w:rsid w:val="00BB37C7"/>
    <w:rsid w:val="00BB3C95"/>
    <w:rsid w:val="00BB4180"/>
    <w:rsid w:val="00BB4553"/>
    <w:rsid w:val="00BB4A89"/>
    <w:rsid w:val="00BC16CE"/>
    <w:rsid w:val="00BC28CE"/>
    <w:rsid w:val="00BC3BC8"/>
    <w:rsid w:val="00BC431B"/>
    <w:rsid w:val="00BC46D1"/>
    <w:rsid w:val="00BC4C2E"/>
    <w:rsid w:val="00BC4DD7"/>
    <w:rsid w:val="00BC502A"/>
    <w:rsid w:val="00BC5E5C"/>
    <w:rsid w:val="00BC6523"/>
    <w:rsid w:val="00BC7D8C"/>
    <w:rsid w:val="00BD0473"/>
    <w:rsid w:val="00BD0803"/>
    <w:rsid w:val="00BD0876"/>
    <w:rsid w:val="00BD09BA"/>
    <w:rsid w:val="00BD0ACE"/>
    <w:rsid w:val="00BD1396"/>
    <w:rsid w:val="00BD1552"/>
    <w:rsid w:val="00BD25C8"/>
    <w:rsid w:val="00BD2E53"/>
    <w:rsid w:val="00BD3563"/>
    <w:rsid w:val="00BD47F0"/>
    <w:rsid w:val="00BD4B25"/>
    <w:rsid w:val="00BD5030"/>
    <w:rsid w:val="00BD5C2D"/>
    <w:rsid w:val="00BD5DBA"/>
    <w:rsid w:val="00BD6757"/>
    <w:rsid w:val="00BD67FA"/>
    <w:rsid w:val="00BD7462"/>
    <w:rsid w:val="00BD7D03"/>
    <w:rsid w:val="00BD7DA5"/>
    <w:rsid w:val="00BE1645"/>
    <w:rsid w:val="00BE19EF"/>
    <w:rsid w:val="00BE225C"/>
    <w:rsid w:val="00BE228D"/>
    <w:rsid w:val="00BE2FBE"/>
    <w:rsid w:val="00BE3179"/>
    <w:rsid w:val="00BE3361"/>
    <w:rsid w:val="00BE385C"/>
    <w:rsid w:val="00BE3994"/>
    <w:rsid w:val="00BE546F"/>
    <w:rsid w:val="00BE5576"/>
    <w:rsid w:val="00BE610E"/>
    <w:rsid w:val="00BE67B5"/>
    <w:rsid w:val="00BE6CAF"/>
    <w:rsid w:val="00BE77C6"/>
    <w:rsid w:val="00BE7BEA"/>
    <w:rsid w:val="00BF0388"/>
    <w:rsid w:val="00BF1AA2"/>
    <w:rsid w:val="00BF399C"/>
    <w:rsid w:val="00BF4142"/>
    <w:rsid w:val="00BF468B"/>
    <w:rsid w:val="00BF5299"/>
    <w:rsid w:val="00BF582E"/>
    <w:rsid w:val="00BF5AB3"/>
    <w:rsid w:val="00BF701E"/>
    <w:rsid w:val="00BF7224"/>
    <w:rsid w:val="00BF776A"/>
    <w:rsid w:val="00C002D2"/>
    <w:rsid w:val="00C00AB7"/>
    <w:rsid w:val="00C0161F"/>
    <w:rsid w:val="00C019FD"/>
    <w:rsid w:val="00C046BB"/>
    <w:rsid w:val="00C06317"/>
    <w:rsid w:val="00C07377"/>
    <w:rsid w:val="00C07435"/>
    <w:rsid w:val="00C07792"/>
    <w:rsid w:val="00C10D3E"/>
    <w:rsid w:val="00C10E6E"/>
    <w:rsid w:val="00C11318"/>
    <w:rsid w:val="00C1191F"/>
    <w:rsid w:val="00C12695"/>
    <w:rsid w:val="00C126F1"/>
    <w:rsid w:val="00C12BAF"/>
    <w:rsid w:val="00C132E9"/>
    <w:rsid w:val="00C141B0"/>
    <w:rsid w:val="00C14233"/>
    <w:rsid w:val="00C151CA"/>
    <w:rsid w:val="00C154DD"/>
    <w:rsid w:val="00C15A6E"/>
    <w:rsid w:val="00C1615C"/>
    <w:rsid w:val="00C1685E"/>
    <w:rsid w:val="00C171BB"/>
    <w:rsid w:val="00C1757C"/>
    <w:rsid w:val="00C17869"/>
    <w:rsid w:val="00C203F4"/>
    <w:rsid w:val="00C2048E"/>
    <w:rsid w:val="00C20607"/>
    <w:rsid w:val="00C20B2D"/>
    <w:rsid w:val="00C20ECA"/>
    <w:rsid w:val="00C21514"/>
    <w:rsid w:val="00C21642"/>
    <w:rsid w:val="00C21B74"/>
    <w:rsid w:val="00C21E07"/>
    <w:rsid w:val="00C22021"/>
    <w:rsid w:val="00C22918"/>
    <w:rsid w:val="00C22BD8"/>
    <w:rsid w:val="00C22CF0"/>
    <w:rsid w:val="00C2381D"/>
    <w:rsid w:val="00C243CE"/>
    <w:rsid w:val="00C24531"/>
    <w:rsid w:val="00C246AF"/>
    <w:rsid w:val="00C248D9"/>
    <w:rsid w:val="00C24A5A"/>
    <w:rsid w:val="00C24FD7"/>
    <w:rsid w:val="00C254C4"/>
    <w:rsid w:val="00C26100"/>
    <w:rsid w:val="00C273C3"/>
    <w:rsid w:val="00C27600"/>
    <w:rsid w:val="00C30C08"/>
    <w:rsid w:val="00C30E57"/>
    <w:rsid w:val="00C31A5E"/>
    <w:rsid w:val="00C3253F"/>
    <w:rsid w:val="00C33AC2"/>
    <w:rsid w:val="00C351D2"/>
    <w:rsid w:val="00C355C0"/>
    <w:rsid w:val="00C357CB"/>
    <w:rsid w:val="00C35E64"/>
    <w:rsid w:val="00C36290"/>
    <w:rsid w:val="00C37429"/>
    <w:rsid w:val="00C374D9"/>
    <w:rsid w:val="00C37733"/>
    <w:rsid w:val="00C37EFE"/>
    <w:rsid w:val="00C4155A"/>
    <w:rsid w:val="00C41D9D"/>
    <w:rsid w:val="00C421B1"/>
    <w:rsid w:val="00C421DC"/>
    <w:rsid w:val="00C42529"/>
    <w:rsid w:val="00C430C5"/>
    <w:rsid w:val="00C43535"/>
    <w:rsid w:val="00C44C4F"/>
    <w:rsid w:val="00C44EB6"/>
    <w:rsid w:val="00C45161"/>
    <w:rsid w:val="00C45393"/>
    <w:rsid w:val="00C45C6C"/>
    <w:rsid w:val="00C4608B"/>
    <w:rsid w:val="00C4620C"/>
    <w:rsid w:val="00C4762B"/>
    <w:rsid w:val="00C52060"/>
    <w:rsid w:val="00C522E3"/>
    <w:rsid w:val="00C52CE9"/>
    <w:rsid w:val="00C53D2D"/>
    <w:rsid w:val="00C53EF2"/>
    <w:rsid w:val="00C53F10"/>
    <w:rsid w:val="00C552C5"/>
    <w:rsid w:val="00C56082"/>
    <w:rsid w:val="00C57057"/>
    <w:rsid w:val="00C572FF"/>
    <w:rsid w:val="00C57348"/>
    <w:rsid w:val="00C57394"/>
    <w:rsid w:val="00C5769C"/>
    <w:rsid w:val="00C57B26"/>
    <w:rsid w:val="00C612B0"/>
    <w:rsid w:val="00C61721"/>
    <w:rsid w:val="00C625D5"/>
    <w:rsid w:val="00C62AB7"/>
    <w:rsid w:val="00C63200"/>
    <w:rsid w:val="00C63226"/>
    <w:rsid w:val="00C6580C"/>
    <w:rsid w:val="00C65F76"/>
    <w:rsid w:val="00C66D20"/>
    <w:rsid w:val="00C66F45"/>
    <w:rsid w:val="00C678C9"/>
    <w:rsid w:val="00C70C4C"/>
    <w:rsid w:val="00C71B2E"/>
    <w:rsid w:val="00C71FDB"/>
    <w:rsid w:val="00C7281B"/>
    <w:rsid w:val="00C72CBA"/>
    <w:rsid w:val="00C7352C"/>
    <w:rsid w:val="00C73EA2"/>
    <w:rsid w:val="00C74046"/>
    <w:rsid w:val="00C74C6B"/>
    <w:rsid w:val="00C753A0"/>
    <w:rsid w:val="00C75587"/>
    <w:rsid w:val="00C75715"/>
    <w:rsid w:val="00C7589A"/>
    <w:rsid w:val="00C75CAC"/>
    <w:rsid w:val="00C76247"/>
    <w:rsid w:val="00C76F17"/>
    <w:rsid w:val="00C76F49"/>
    <w:rsid w:val="00C77D1A"/>
    <w:rsid w:val="00C80B5C"/>
    <w:rsid w:val="00C81CA4"/>
    <w:rsid w:val="00C82BB9"/>
    <w:rsid w:val="00C82D19"/>
    <w:rsid w:val="00C855A9"/>
    <w:rsid w:val="00C8565A"/>
    <w:rsid w:val="00C874B8"/>
    <w:rsid w:val="00C87848"/>
    <w:rsid w:val="00C87887"/>
    <w:rsid w:val="00C87F85"/>
    <w:rsid w:val="00C905FC"/>
    <w:rsid w:val="00C90AF0"/>
    <w:rsid w:val="00C90FCD"/>
    <w:rsid w:val="00C91C73"/>
    <w:rsid w:val="00C92699"/>
    <w:rsid w:val="00C92FD6"/>
    <w:rsid w:val="00C93974"/>
    <w:rsid w:val="00C93D53"/>
    <w:rsid w:val="00C93F02"/>
    <w:rsid w:val="00C94CED"/>
    <w:rsid w:val="00C952C2"/>
    <w:rsid w:val="00C954E7"/>
    <w:rsid w:val="00C95824"/>
    <w:rsid w:val="00C958FB"/>
    <w:rsid w:val="00C95D3C"/>
    <w:rsid w:val="00C95F2F"/>
    <w:rsid w:val="00C96952"/>
    <w:rsid w:val="00C96BFF"/>
    <w:rsid w:val="00C96E74"/>
    <w:rsid w:val="00C97EE1"/>
    <w:rsid w:val="00CA3659"/>
    <w:rsid w:val="00CA36B7"/>
    <w:rsid w:val="00CA3897"/>
    <w:rsid w:val="00CA4704"/>
    <w:rsid w:val="00CA6141"/>
    <w:rsid w:val="00CA70A4"/>
    <w:rsid w:val="00CA77B8"/>
    <w:rsid w:val="00CA7E9E"/>
    <w:rsid w:val="00CB0F2A"/>
    <w:rsid w:val="00CB1B62"/>
    <w:rsid w:val="00CB2FF8"/>
    <w:rsid w:val="00CB418B"/>
    <w:rsid w:val="00CB42CB"/>
    <w:rsid w:val="00CB47A8"/>
    <w:rsid w:val="00CB4CE0"/>
    <w:rsid w:val="00CB4D15"/>
    <w:rsid w:val="00CB4E65"/>
    <w:rsid w:val="00CB4E6C"/>
    <w:rsid w:val="00CB5B80"/>
    <w:rsid w:val="00CB5D5A"/>
    <w:rsid w:val="00CB5D82"/>
    <w:rsid w:val="00CB6C7A"/>
    <w:rsid w:val="00CB7524"/>
    <w:rsid w:val="00CB7536"/>
    <w:rsid w:val="00CB7EC5"/>
    <w:rsid w:val="00CC06FB"/>
    <w:rsid w:val="00CC1184"/>
    <w:rsid w:val="00CC1647"/>
    <w:rsid w:val="00CC1C46"/>
    <w:rsid w:val="00CC2214"/>
    <w:rsid w:val="00CC2355"/>
    <w:rsid w:val="00CC269D"/>
    <w:rsid w:val="00CC3CB1"/>
    <w:rsid w:val="00CC5827"/>
    <w:rsid w:val="00CC663C"/>
    <w:rsid w:val="00CC7D63"/>
    <w:rsid w:val="00CD013C"/>
    <w:rsid w:val="00CD0591"/>
    <w:rsid w:val="00CD19F7"/>
    <w:rsid w:val="00CD1FC8"/>
    <w:rsid w:val="00CD3711"/>
    <w:rsid w:val="00CD4193"/>
    <w:rsid w:val="00CD4C75"/>
    <w:rsid w:val="00CD66D1"/>
    <w:rsid w:val="00CD6E1D"/>
    <w:rsid w:val="00CE0081"/>
    <w:rsid w:val="00CE0CD2"/>
    <w:rsid w:val="00CE0F15"/>
    <w:rsid w:val="00CE154D"/>
    <w:rsid w:val="00CE18D0"/>
    <w:rsid w:val="00CE1E3A"/>
    <w:rsid w:val="00CE389D"/>
    <w:rsid w:val="00CE390C"/>
    <w:rsid w:val="00CE4764"/>
    <w:rsid w:val="00CE477D"/>
    <w:rsid w:val="00CE5CCB"/>
    <w:rsid w:val="00CE60C3"/>
    <w:rsid w:val="00CE62F8"/>
    <w:rsid w:val="00CE70BB"/>
    <w:rsid w:val="00CE7365"/>
    <w:rsid w:val="00CF004D"/>
    <w:rsid w:val="00CF0933"/>
    <w:rsid w:val="00CF0AB4"/>
    <w:rsid w:val="00CF1E36"/>
    <w:rsid w:val="00CF25DC"/>
    <w:rsid w:val="00CF2C2E"/>
    <w:rsid w:val="00CF37FE"/>
    <w:rsid w:val="00CF3800"/>
    <w:rsid w:val="00CF3978"/>
    <w:rsid w:val="00CF4DA0"/>
    <w:rsid w:val="00CF6739"/>
    <w:rsid w:val="00CF7CC9"/>
    <w:rsid w:val="00D00CB1"/>
    <w:rsid w:val="00D00DF1"/>
    <w:rsid w:val="00D00E4E"/>
    <w:rsid w:val="00D01369"/>
    <w:rsid w:val="00D01D0D"/>
    <w:rsid w:val="00D02C48"/>
    <w:rsid w:val="00D0331E"/>
    <w:rsid w:val="00D03962"/>
    <w:rsid w:val="00D044A0"/>
    <w:rsid w:val="00D0496C"/>
    <w:rsid w:val="00D04B56"/>
    <w:rsid w:val="00D060B3"/>
    <w:rsid w:val="00D06137"/>
    <w:rsid w:val="00D063F1"/>
    <w:rsid w:val="00D0674A"/>
    <w:rsid w:val="00D06CB4"/>
    <w:rsid w:val="00D1059A"/>
    <w:rsid w:val="00D10A61"/>
    <w:rsid w:val="00D13B31"/>
    <w:rsid w:val="00D14137"/>
    <w:rsid w:val="00D145E0"/>
    <w:rsid w:val="00D16348"/>
    <w:rsid w:val="00D1788F"/>
    <w:rsid w:val="00D2023F"/>
    <w:rsid w:val="00D2073B"/>
    <w:rsid w:val="00D21CBA"/>
    <w:rsid w:val="00D24614"/>
    <w:rsid w:val="00D24DCF"/>
    <w:rsid w:val="00D24FFD"/>
    <w:rsid w:val="00D255AF"/>
    <w:rsid w:val="00D25BDD"/>
    <w:rsid w:val="00D26241"/>
    <w:rsid w:val="00D264C2"/>
    <w:rsid w:val="00D27067"/>
    <w:rsid w:val="00D27575"/>
    <w:rsid w:val="00D308A4"/>
    <w:rsid w:val="00D30E81"/>
    <w:rsid w:val="00D3172E"/>
    <w:rsid w:val="00D32535"/>
    <w:rsid w:val="00D32E65"/>
    <w:rsid w:val="00D34BCB"/>
    <w:rsid w:val="00D356A2"/>
    <w:rsid w:val="00D37805"/>
    <w:rsid w:val="00D37DA6"/>
    <w:rsid w:val="00D429D6"/>
    <w:rsid w:val="00D43124"/>
    <w:rsid w:val="00D43C1E"/>
    <w:rsid w:val="00D43EFC"/>
    <w:rsid w:val="00D45747"/>
    <w:rsid w:val="00D459AC"/>
    <w:rsid w:val="00D466BA"/>
    <w:rsid w:val="00D46AA8"/>
    <w:rsid w:val="00D470E7"/>
    <w:rsid w:val="00D5098B"/>
    <w:rsid w:val="00D51BA7"/>
    <w:rsid w:val="00D51CF9"/>
    <w:rsid w:val="00D52ABA"/>
    <w:rsid w:val="00D5359E"/>
    <w:rsid w:val="00D53775"/>
    <w:rsid w:val="00D53949"/>
    <w:rsid w:val="00D53E9A"/>
    <w:rsid w:val="00D542AB"/>
    <w:rsid w:val="00D5589B"/>
    <w:rsid w:val="00D56C02"/>
    <w:rsid w:val="00D576D9"/>
    <w:rsid w:val="00D57C7B"/>
    <w:rsid w:val="00D603A4"/>
    <w:rsid w:val="00D60BCF"/>
    <w:rsid w:val="00D60C45"/>
    <w:rsid w:val="00D60CB4"/>
    <w:rsid w:val="00D6109A"/>
    <w:rsid w:val="00D6181B"/>
    <w:rsid w:val="00D62178"/>
    <w:rsid w:val="00D62AB3"/>
    <w:rsid w:val="00D638E4"/>
    <w:rsid w:val="00D63D93"/>
    <w:rsid w:val="00D64B1A"/>
    <w:rsid w:val="00D66111"/>
    <w:rsid w:val="00D67957"/>
    <w:rsid w:val="00D67B61"/>
    <w:rsid w:val="00D7194E"/>
    <w:rsid w:val="00D725C7"/>
    <w:rsid w:val="00D72997"/>
    <w:rsid w:val="00D73EDD"/>
    <w:rsid w:val="00D75087"/>
    <w:rsid w:val="00D75221"/>
    <w:rsid w:val="00D75579"/>
    <w:rsid w:val="00D75BAF"/>
    <w:rsid w:val="00D77744"/>
    <w:rsid w:val="00D77F3B"/>
    <w:rsid w:val="00D803C9"/>
    <w:rsid w:val="00D804A8"/>
    <w:rsid w:val="00D80F1C"/>
    <w:rsid w:val="00D82023"/>
    <w:rsid w:val="00D82337"/>
    <w:rsid w:val="00D8312A"/>
    <w:rsid w:val="00D83706"/>
    <w:rsid w:val="00D83A5E"/>
    <w:rsid w:val="00D84323"/>
    <w:rsid w:val="00D85184"/>
    <w:rsid w:val="00D85BED"/>
    <w:rsid w:val="00D864FF"/>
    <w:rsid w:val="00D86530"/>
    <w:rsid w:val="00D86A1B"/>
    <w:rsid w:val="00D8702D"/>
    <w:rsid w:val="00D87274"/>
    <w:rsid w:val="00D87985"/>
    <w:rsid w:val="00D908F6"/>
    <w:rsid w:val="00D91804"/>
    <w:rsid w:val="00D918C7"/>
    <w:rsid w:val="00D925B0"/>
    <w:rsid w:val="00D931B6"/>
    <w:rsid w:val="00D9362C"/>
    <w:rsid w:val="00D945AB"/>
    <w:rsid w:val="00D94850"/>
    <w:rsid w:val="00D94CCE"/>
    <w:rsid w:val="00D9589C"/>
    <w:rsid w:val="00D95ADB"/>
    <w:rsid w:val="00D968E2"/>
    <w:rsid w:val="00D96A23"/>
    <w:rsid w:val="00D96CF5"/>
    <w:rsid w:val="00D97F86"/>
    <w:rsid w:val="00DA160D"/>
    <w:rsid w:val="00DA1DE5"/>
    <w:rsid w:val="00DA1F9C"/>
    <w:rsid w:val="00DA2328"/>
    <w:rsid w:val="00DA234E"/>
    <w:rsid w:val="00DA2670"/>
    <w:rsid w:val="00DA3D47"/>
    <w:rsid w:val="00DA4BB8"/>
    <w:rsid w:val="00DA4E81"/>
    <w:rsid w:val="00DA53A9"/>
    <w:rsid w:val="00DB007B"/>
    <w:rsid w:val="00DB0EE6"/>
    <w:rsid w:val="00DB1774"/>
    <w:rsid w:val="00DB17E3"/>
    <w:rsid w:val="00DB1837"/>
    <w:rsid w:val="00DB204A"/>
    <w:rsid w:val="00DB36F2"/>
    <w:rsid w:val="00DB4ADC"/>
    <w:rsid w:val="00DB4B06"/>
    <w:rsid w:val="00DB52BC"/>
    <w:rsid w:val="00DB734A"/>
    <w:rsid w:val="00DB7BBE"/>
    <w:rsid w:val="00DC09B3"/>
    <w:rsid w:val="00DC13BF"/>
    <w:rsid w:val="00DC1BA9"/>
    <w:rsid w:val="00DC2355"/>
    <w:rsid w:val="00DC3E43"/>
    <w:rsid w:val="00DC4A28"/>
    <w:rsid w:val="00DC51A6"/>
    <w:rsid w:val="00DC6059"/>
    <w:rsid w:val="00DC6444"/>
    <w:rsid w:val="00DC6593"/>
    <w:rsid w:val="00DC6D65"/>
    <w:rsid w:val="00DC79AB"/>
    <w:rsid w:val="00DC7E67"/>
    <w:rsid w:val="00DD022C"/>
    <w:rsid w:val="00DD1643"/>
    <w:rsid w:val="00DD3C37"/>
    <w:rsid w:val="00DD4716"/>
    <w:rsid w:val="00DD475A"/>
    <w:rsid w:val="00DD510B"/>
    <w:rsid w:val="00DD55CB"/>
    <w:rsid w:val="00DD5B00"/>
    <w:rsid w:val="00DD7E37"/>
    <w:rsid w:val="00DE0180"/>
    <w:rsid w:val="00DE090A"/>
    <w:rsid w:val="00DE11AD"/>
    <w:rsid w:val="00DE1871"/>
    <w:rsid w:val="00DE1B96"/>
    <w:rsid w:val="00DE2256"/>
    <w:rsid w:val="00DE41A9"/>
    <w:rsid w:val="00DE69C2"/>
    <w:rsid w:val="00DE6DEA"/>
    <w:rsid w:val="00DE6EB7"/>
    <w:rsid w:val="00DE78BD"/>
    <w:rsid w:val="00DF38E4"/>
    <w:rsid w:val="00DF3F0F"/>
    <w:rsid w:val="00DF52D7"/>
    <w:rsid w:val="00DF6469"/>
    <w:rsid w:val="00DF746D"/>
    <w:rsid w:val="00E004B4"/>
    <w:rsid w:val="00E010AB"/>
    <w:rsid w:val="00E01363"/>
    <w:rsid w:val="00E01D72"/>
    <w:rsid w:val="00E01F66"/>
    <w:rsid w:val="00E0286C"/>
    <w:rsid w:val="00E0390C"/>
    <w:rsid w:val="00E0415C"/>
    <w:rsid w:val="00E0426D"/>
    <w:rsid w:val="00E04EC8"/>
    <w:rsid w:val="00E05F20"/>
    <w:rsid w:val="00E06A2D"/>
    <w:rsid w:val="00E06B4E"/>
    <w:rsid w:val="00E07721"/>
    <w:rsid w:val="00E079E2"/>
    <w:rsid w:val="00E07F35"/>
    <w:rsid w:val="00E10BA7"/>
    <w:rsid w:val="00E10DF7"/>
    <w:rsid w:val="00E11407"/>
    <w:rsid w:val="00E12247"/>
    <w:rsid w:val="00E12E62"/>
    <w:rsid w:val="00E13BF5"/>
    <w:rsid w:val="00E13F5F"/>
    <w:rsid w:val="00E146A7"/>
    <w:rsid w:val="00E16E56"/>
    <w:rsid w:val="00E20E91"/>
    <w:rsid w:val="00E21314"/>
    <w:rsid w:val="00E217E8"/>
    <w:rsid w:val="00E224D8"/>
    <w:rsid w:val="00E2257F"/>
    <w:rsid w:val="00E23E34"/>
    <w:rsid w:val="00E244F4"/>
    <w:rsid w:val="00E24C8D"/>
    <w:rsid w:val="00E257FD"/>
    <w:rsid w:val="00E26790"/>
    <w:rsid w:val="00E30C22"/>
    <w:rsid w:val="00E31FC9"/>
    <w:rsid w:val="00E32226"/>
    <w:rsid w:val="00E32666"/>
    <w:rsid w:val="00E32B76"/>
    <w:rsid w:val="00E32EB0"/>
    <w:rsid w:val="00E334FC"/>
    <w:rsid w:val="00E345A1"/>
    <w:rsid w:val="00E34E89"/>
    <w:rsid w:val="00E35761"/>
    <w:rsid w:val="00E369EA"/>
    <w:rsid w:val="00E37835"/>
    <w:rsid w:val="00E40E63"/>
    <w:rsid w:val="00E41083"/>
    <w:rsid w:val="00E41676"/>
    <w:rsid w:val="00E42975"/>
    <w:rsid w:val="00E446A6"/>
    <w:rsid w:val="00E44DBE"/>
    <w:rsid w:val="00E4602E"/>
    <w:rsid w:val="00E46927"/>
    <w:rsid w:val="00E47BC7"/>
    <w:rsid w:val="00E47E29"/>
    <w:rsid w:val="00E5008A"/>
    <w:rsid w:val="00E50748"/>
    <w:rsid w:val="00E51654"/>
    <w:rsid w:val="00E51801"/>
    <w:rsid w:val="00E51F53"/>
    <w:rsid w:val="00E5206D"/>
    <w:rsid w:val="00E53316"/>
    <w:rsid w:val="00E53757"/>
    <w:rsid w:val="00E5421B"/>
    <w:rsid w:val="00E54CAE"/>
    <w:rsid w:val="00E565C5"/>
    <w:rsid w:val="00E56734"/>
    <w:rsid w:val="00E56A10"/>
    <w:rsid w:val="00E56F68"/>
    <w:rsid w:val="00E56FAF"/>
    <w:rsid w:val="00E57917"/>
    <w:rsid w:val="00E57C79"/>
    <w:rsid w:val="00E60528"/>
    <w:rsid w:val="00E60A66"/>
    <w:rsid w:val="00E62D94"/>
    <w:rsid w:val="00E62FB5"/>
    <w:rsid w:val="00E636C0"/>
    <w:rsid w:val="00E63A59"/>
    <w:rsid w:val="00E645BE"/>
    <w:rsid w:val="00E648F3"/>
    <w:rsid w:val="00E6509F"/>
    <w:rsid w:val="00E65CB2"/>
    <w:rsid w:val="00E6630B"/>
    <w:rsid w:val="00E66968"/>
    <w:rsid w:val="00E66F25"/>
    <w:rsid w:val="00E671B6"/>
    <w:rsid w:val="00E679DC"/>
    <w:rsid w:val="00E71FD4"/>
    <w:rsid w:val="00E726F2"/>
    <w:rsid w:val="00E7409A"/>
    <w:rsid w:val="00E74267"/>
    <w:rsid w:val="00E74AEF"/>
    <w:rsid w:val="00E759E4"/>
    <w:rsid w:val="00E75A04"/>
    <w:rsid w:val="00E76031"/>
    <w:rsid w:val="00E76C34"/>
    <w:rsid w:val="00E772C8"/>
    <w:rsid w:val="00E7751C"/>
    <w:rsid w:val="00E77800"/>
    <w:rsid w:val="00E77CB4"/>
    <w:rsid w:val="00E81623"/>
    <w:rsid w:val="00E8182F"/>
    <w:rsid w:val="00E8424E"/>
    <w:rsid w:val="00E86286"/>
    <w:rsid w:val="00E86517"/>
    <w:rsid w:val="00E867B7"/>
    <w:rsid w:val="00E86814"/>
    <w:rsid w:val="00E86F56"/>
    <w:rsid w:val="00E87395"/>
    <w:rsid w:val="00E87AE3"/>
    <w:rsid w:val="00E87C6B"/>
    <w:rsid w:val="00E87CF8"/>
    <w:rsid w:val="00E90C9C"/>
    <w:rsid w:val="00E90DFA"/>
    <w:rsid w:val="00E926C9"/>
    <w:rsid w:val="00E94A34"/>
    <w:rsid w:val="00E95099"/>
    <w:rsid w:val="00E9517E"/>
    <w:rsid w:val="00E95AF0"/>
    <w:rsid w:val="00E96939"/>
    <w:rsid w:val="00E9757C"/>
    <w:rsid w:val="00E97691"/>
    <w:rsid w:val="00EA1669"/>
    <w:rsid w:val="00EA21D0"/>
    <w:rsid w:val="00EA2B33"/>
    <w:rsid w:val="00EA3E7D"/>
    <w:rsid w:val="00EA4094"/>
    <w:rsid w:val="00EA4468"/>
    <w:rsid w:val="00EA5ABB"/>
    <w:rsid w:val="00EA6383"/>
    <w:rsid w:val="00EA69F9"/>
    <w:rsid w:val="00EA6D2A"/>
    <w:rsid w:val="00EA72CE"/>
    <w:rsid w:val="00EA736D"/>
    <w:rsid w:val="00EA76D7"/>
    <w:rsid w:val="00EB0FB8"/>
    <w:rsid w:val="00EB2CB4"/>
    <w:rsid w:val="00EB2F2A"/>
    <w:rsid w:val="00EB3734"/>
    <w:rsid w:val="00EB3F39"/>
    <w:rsid w:val="00EB455D"/>
    <w:rsid w:val="00EB486D"/>
    <w:rsid w:val="00EB5143"/>
    <w:rsid w:val="00EB64E9"/>
    <w:rsid w:val="00EB6701"/>
    <w:rsid w:val="00EB6B68"/>
    <w:rsid w:val="00EB7A52"/>
    <w:rsid w:val="00EB7C4B"/>
    <w:rsid w:val="00EC0D5D"/>
    <w:rsid w:val="00EC1362"/>
    <w:rsid w:val="00EC2A3C"/>
    <w:rsid w:val="00EC32CE"/>
    <w:rsid w:val="00EC3A62"/>
    <w:rsid w:val="00EC408B"/>
    <w:rsid w:val="00EC6F5D"/>
    <w:rsid w:val="00EC6FA6"/>
    <w:rsid w:val="00EC7058"/>
    <w:rsid w:val="00EC72BD"/>
    <w:rsid w:val="00EC7E8B"/>
    <w:rsid w:val="00ED1953"/>
    <w:rsid w:val="00ED255B"/>
    <w:rsid w:val="00ED2B6F"/>
    <w:rsid w:val="00ED337D"/>
    <w:rsid w:val="00ED39AD"/>
    <w:rsid w:val="00ED3C27"/>
    <w:rsid w:val="00ED445A"/>
    <w:rsid w:val="00ED4ECC"/>
    <w:rsid w:val="00ED63E9"/>
    <w:rsid w:val="00ED6520"/>
    <w:rsid w:val="00ED71C5"/>
    <w:rsid w:val="00ED7287"/>
    <w:rsid w:val="00ED72AB"/>
    <w:rsid w:val="00ED72E0"/>
    <w:rsid w:val="00EE0AE4"/>
    <w:rsid w:val="00EE1759"/>
    <w:rsid w:val="00EE2670"/>
    <w:rsid w:val="00EE302D"/>
    <w:rsid w:val="00EE4AF4"/>
    <w:rsid w:val="00EE531D"/>
    <w:rsid w:val="00EE5553"/>
    <w:rsid w:val="00EE57CC"/>
    <w:rsid w:val="00EE6B7B"/>
    <w:rsid w:val="00EE752F"/>
    <w:rsid w:val="00EE7A60"/>
    <w:rsid w:val="00EE7AF3"/>
    <w:rsid w:val="00EF0A95"/>
    <w:rsid w:val="00EF1156"/>
    <w:rsid w:val="00EF137B"/>
    <w:rsid w:val="00EF250D"/>
    <w:rsid w:val="00EF26F0"/>
    <w:rsid w:val="00EF4169"/>
    <w:rsid w:val="00EF476C"/>
    <w:rsid w:val="00EF52AC"/>
    <w:rsid w:val="00EF5D96"/>
    <w:rsid w:val="00EF60CC"/>
    <w:rsid w:val="00EF6E52"/>
    <w:rsid w:val="00EF7081"/>
    <w:rsid w:val="00F008E8"/>
    <w:rsid w:val="00F00F2C"/>
    <w:rsid w:val="00F01A16"/>
    <w:rsid w:val="00F01E67"/>
    <w:rsid w:val="00F02827"/>
    <w:rsid w:val="00F050FF"/>
    <w:rsid w:val="00F059C0"/>
    <w:rsid w:val="00F0660F"/>
    <w:rsid w:val="00F06BA9"/>
    <w:rsid w:val="00F075B7"/>
    <w:rsid w:val="00F07CF8"/>
    <w:rsid w:val="00F10390"/>
    <w:rsid w:val="00F10E2A"/>
    <w:rsid w:val="00F120FA"/>
    <w:rsid w:val="00F12ADE"/>
    <w:rsid w:val="00F1303E"/>
    <w:rsid w:val="00F14DF2"/>
    <w:rsid w:val="00F17CAB"/>
    <w:rsid w:val="00F17D19"/>
    <w:rsid w:val="00F200E5"/>
    <w:rsid w:val="00F209E6"/>
    <w:rsid w:val="00F20D20"/>
    <w:rsid w:val="00F20DA4"/>
    <w:rsid w:val="00F20EFB"/>
    <w:rsid w:val="00F228DD"/>
    <w:rsid w:val="00F244A9"/>
    <w:rsid w:val="00F244DB"/>
    <w:rsid w:val="00F24641"/>
    <w:rsid w:val="00F25313"/>
    <w:rsid w:val="00F254B6"/>
    <w:rsid w:val="00F31968"/>
    <w:rsid w:val="00F321F6"/>
    <w:rsid w:val="00F3223D"/>
    <w:rsid w:val="00F33492"/>
    <w:rsid w:val="00F335CD"/>
    <w:rsid w:val="00F33626"/>
    <w:rsid w:val="00F336C5"/>
    <w:rsid w:val="00F33966"/>
    <w:rsid w:val="00F33ED8"/>
    <w:rsid w:val="00F33EE0"/>
    <w:rsid w:val="00F34E07"/>
    <w:rsid w:val="00F35664"/>
    <w:rsid w:val="00F356AC"/>
    <w:rsid w:val="00F35CEB"/>
    <w:rsid w:val="00F3673C"/>
    <w:rsid w:val="00F36FF1"/>
    <w:rsid w:val="00F378C2"/>
    <w:rsid w:val="00F406B7"/>
    <w:rsid w:val="00F407D8"/>
    <w:rsid w:val="00F408A0"/>
    <w:rsid w:val="00F41ACF"/>
    <w:rsid w:val="00F41D41"/>
    <w:rsid w:val="00F43593"/>
    <w:rsid w:val="00F43C5F"/>
    <w:rsid w:val="00F43D53"/>
    <w:rsid w:val="00F4461E"/>
    <w:rsid w:val="00F457EE"/>
    <w:rsid w:val="00F46D2C"/>
    <w:rsid w:val="00F472E1"/>
    <w:rsid w:val="00F47766"/>
    <w:rsid w:val="00F47F25"/>
    <w:rsid w:val="00F51018"/>
    <w:rsid w:val="00F51511"/>
    <w:rsid w:val="00F520EB"/>
    <w:rsid w:val="00F521F8"/>
    <w:rsid w:val="00F52886"/>
    <w:rsid w:val="00F539E6"/>
    <w:rsid w:val="00F53B41"/>
    <w:rsid w:val="00F5487D"/>
    <w:rsid w:val="00F54FAD"/>
    <w:rsid w:val="00F54FD2"/>
    <w:rsid w:val="00F552FA"/>
    <w:rsid w:val="00F55CEE"/>
    <w:rsid w:val="00F568D6"/>
    <w:rsid w:val="00F56F66"/>
    <w:rsid w:val="00F571F2"/>
    <w:rsid w:val="00F57896"/>
    <w:rsid w:val="00F5793F"/>
    <w:rsid w:val="00F60EDF"/>
    <w:rsid w:val="00F6123F"/>
    <w:rsid w:val="00F61952"/>
    <w:rsid w:val="00F61A5F"/>
    <w:rsid w:val="00F61D23"/>
    <w:rsid w:val="00F62FC4"/>
    <w:rsid w:val="00F63445"/>
    <w:rsid w:val="00F6371C"/>
    <w:rsid w:val="00F638C1"/>
    <w:rsid w:val="00F6392F"/>
    <w:rsid w:val="00F649D4"/>
    <w:rsid w:val="00F64AEF"/>
    <w:rsid w:val="00F65048"/>
    <w:rsid w:val="00F65561"/>
    <w:rsid w:val="00F65AA2"/>
    <w:rsid w:val="00F66D24"/>
    <w:rsid w:val="00F66E44"/>
    <w:rsid w:val="00F67CAF"/>
    <w:rsid w:val="00F7156F"/>
    <w:rsid w:val="00F71FE2"/>
    <w:rsid w:val="00F731BE"/>
    <w:rsid w:val="00F7330F"/>
    <w:rsid w:val="00F7559F"/>
    <w:rsid w:val="00F75F60"/>
    <w:rsid w:val="00F76B33"/>
    <w:rsid w:val="00F774B5"/>
    <w:rsid w:val="00F77B81"/>
    <w:rsid w:val="00F77E0D"/>
    <w:rsid w:val="00F8145F"/>
    <w:rsid w:val="00F81A41"/>
    <w:rsid w:val="00F81B54"/>
    <w:rsid w:val="00F82933"/>
    <w:rsid w:val="00F82B7F"/>
    <w:rsid w:val="00F8347C"/>
    <w:rsid w:val="00F83FAA"/>
    <w:rsid w:val="00F8403C"/>
    <w:rsid w:val="00F842AB"/>
    <w:rsid w:val="00F844F5"/>
    <w:rsid w:val="00F855CE"/>
    <w:rsid w:val="00F8562D"/>
    <w:rsid w:val="00F85DD4"/>
    <w:rsid w:val="00F85EC1"/>
    <w:rsid w:val="00F86D1C"/>
    <w:rsid w:val="00F902C0"/>
    <w:rsid w:val="00F90691"/>
    <w:rsid w:val="00F90808"/>
    <w:rsid w:val="00F91234"/>
    <w:rsid w:val="00F9378E"/>
    <w:rsid w:val="00F93C49"/>
    <w:rsid w:val="00F93D55"/>
    <w:rsid w:val="00F94AAF"/>
    <w:rsid w:val="00F9594E"/>
    <w:rsid w:val="00F964E3"/>
    <w:rsid w:val="00F96EDA"/>
    <w:rsid w:val="00FA0ED3"/>
    <w:rsid w:val="00FA177A"/>
    <w:rsid w:val="00FA205D"/>
    <w:rsid w:val="00FA2098"/>
    <w:rsid w:val="00FA2723"/>
    <w:rsid w:val="00FA4384"/>
    <w:rsid w:val="00FA5818"/>
    <w:rsid w:val="00FA6379"/>
    <w:rsid w:val="00FA6D1A"/>
    <w:rsid w:val="00FA7D39"/>
    <w:rsid w:val="00FB22F8"/>
    <w:rsid w:val="00FB29F3"/>
    <w:rsid w:val="00FB2A4D"/>
    <w:rsid w:val="00FB3036"/>
    <w:rsid w:val="00FB3086"/>
    <w:rsid w:val="00FB45A2"/>
    <w:rsid w:val="00FB59F7"/>
    <w:rsid w:val="00FB5BC2"/>
    <w:rsid w:val="00FB60AD"/>
    <w:rsid w:val="00FB66A4"/>
    <w:rsid w:val="00FB7274"/>
    <w:rsid w:val="00FC0159"/>
    <w:rsid w:val="00FC03E3"/>
    <w:rsid w:val="00FC1AB8"/>
    <w:rsid w:val="00FC21C6"/>
    <w:rsid w:val="00FC2D4E"/>
    <w:rsid w:val="00FC2EC5"/>
    <w:rsid w:val="00FC370C"/>
    <w:rsid w:val="00FC57FB"/>
    <w:rsid w:val="00FC59CE"/>
    <w:rsid w:val="00FC6D1A"/>
    <w:rsid w:val="00FD0148"/>
    <w:rsid w:val="00FD0518"/>
    <w:rsid w:val="00FD15C0"/>
    <w:rsid w:val="00FD1C36"/>
    <w:rsid w:val="00FD305F"/>
    <w:rsid w:val="00FD34AA"/>
    <w:rsid w:val="00FD35C6"/>
    <w:rsid w:val="00FD4CB7"/>
    <w:rsid w:val="00FD5915"/>
    <w:rsid w:val="00FD5B1B"/>
    <w:rsid w:val="00FD5C0D"/>
    <w:rsid w:val="00FD617A"/>
    <w:rsid w:val="00FD67E5"/>
    <w:rsid w:val="00FE014E"/>
    <w:rsid w:val="00FE0E57"/>
    <w:rsid w:val="00FE16D9"/>
    <w:rsid w:val="00FE1D85"/>
    <w:rsid w:val="00FE214A"/>
    <w:rsid w:val="00FE247F"/>
    <w:rsid w:val="00FE28C1"/>
    <w:rsid w:val="00FE3669"/>
    <w:rsid w:val="00FE4004"/>
    <w:rsid w:val="00FE43F1"/>
    <w:rsid w:val="00FE5283"/>
    <w:rsid w:val="00FE5BA8"/>
    <w:rsid w:val="00FE5DE7"/>
    <w:rsid w:val="00FE789A"/>
    <w:rsid w:val="00FE7C09"/>
    <w:rsid w:val="00FF10F0"/>
    <w:rsid w:val="00FF16C3"/>
    <w:rsid w:val="00FF2452"/>
    <w:rsid w:val="00FF26F9"/>
    <w:rsid w:val="00FF2B82"/>
    <w:rsid w:val="00FF474D"/>
    <w:rsid w:val="00FF4FD2"/>
    <w:rsid w:val="00FF52D7"/>
    <w:rsid w:val="00FF5500"/>
    <w:rsid w:val="00FF55F6"/>
    <w:rsid w:val="00FF5F0D"/>
    <w:rsid w:val="00FF6002"/>
    <w:rsid w:val="00FF6042"/>
    <w:rsid w:val="00FF7696"/>
    <w:rsid w:val="00FF79D1"/>
    <w:rsid w:val="18202B2D"/>
    <w:rsid w:val="788D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D9C1"/>
  <w15:docId w15:val="{6BE9D3A7-7FD6-4A5F-A860-C0603977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2CC"/>
    <w:pPr>
      <w:keepNext/>
      <w:keepLines/>
      <w:spacing w:before="240"/>
      <w:outlineLvl w:val="0"/>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semiHidden/>
    <w:unhideWhenUsed/>
    <w:qFormat/>
    <w:rsid w:val="004A2A7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63"/>
    <w:pPr>
      <w:tabs>
        <w:tab w:val="center" w:pos="4513"/>
        <w:tab w:val="right" w:pos="9026"/>
      </w:tabs>
    </w:pPr>
  </w:style>
  <w:style w:type="character" w:customStyle="1" w:styleId="HeaderChar">
    <w:name w:val="Header Char"/>
    <w:basedOn w:val="DefaultParagraphFont"/>
    <w:link w:val="Header"/>
    <w:uiPriority w:val="99"/>
    <w:rsid w:val="00ED4B63"/>
  </w:style>
  <w:style w:type="paragraph" w:styleId="Footer">
    <w:name w:val="footer"/>
    <w:basedOn w:val="Normal"/>
    <w:link w:val="FooterChar"/>
    <w:uiPriority w:val="99"/>
    <w:unhideWhenUsed/>
    <w:rsid w:val="00ED4B63"/>
    <w:pPr>
      <w:tabs>
        <w:tab w:val="center" w:pos="4513"/>
        <w:tab w:val="right" w:pos="9026"/>
      </w:tabs>
    </w:pPr>
  </w:style>
  <w:style w:type="character" w:customStyle="1" w:styleId="FooterChar">
    <w:name w:val="Footer Char"/>
    <w:basedOn w:val="DefaultParagraphFont"/>
    <w:link w:val="Footer"/>
    <w:uiPriority w:val="99"/>
    <w:rsid w:val="00ED4B63"/>
  </w:style>
  <w:style w:type="character" w:customStyle="1" w:styleId="Heading1Char">
    <w:name w:val="Heading 1 Char"/>
    <w:basedOn w:val="DefaultParagraphFont"/>
    <w:link w:val="Heading1"/>
    <w:uiPriority w:val="9"/>
    <w:rsid w:val="00CA02CC"/>
    <w:rPr>
      <w:rFonts w:asciiTheme="majorHAnsi" w:eastAsiaTheme="majorEastAsia" w:hAnsiTheme="majorHAnsi" w:cstheme="majorBidi"/>
      <w:b/>
      <w:sz w:val="32"/>
      <w:szCs w:val="32"/>
    </w:rPr>
  </w:style>
  <w:style w:type="paragraph" w:customStyle="1" w:styleId="Normal0">
    <w:name w:val="Normal_0"/>
    <w:qFormat/>
  </w:style>
  <w:style w:type="paragraph" w:customStyle="1" w:styleId="T1TableStyle">
    <w:name w:val="T1TableStyle"/>
  </w:style>
  <w:style w:type="paragraph" w:styleId="ListParagraph">
    <w:name w:val="List Paragraph"/>
    <w:basedOn w:val="Normal0"/>
    <w:uiPriority w:val="34"/>
    <w:qFormat/>
    <w:rsid w:val="00A662AC"/>
    <w:pPr>
      <w:ind w:left="720"/>
      <w:contextualSpacing/>
    </w:pPr>
  </w:style>
  <w:style w:type="character" w:styleId="CommentReference">
    <w:name w:val="annotation reference"/>
    <w:basedOn w:val="DefaultParagraphFont"/>
    <w:uiPriority w:val="99"/>
    <w:semiHidden/>
    <w:unhideWhenUsed/>
    <w:rsid w:val="008F013B"/>
    <w:rPr>
      <w:sz w:val="16"/>
      <w:szCs w:val="16"/>
    </w:rPr>
  </w:style>
  <w:style w:type="paragraph" w:styleId="CommentText">
    <w:name w:val="annotation text"/>
    <w:basedOn w:val="Normal"/>
    <w:link w:val="CommentTextChar"/>
    <w:uiPriority w:val="99"/>
    <w:semiHidden/>
    <w:unhideWhenUsed/>
    <w:rsid w:val="008F013B"/>
    <w:rPr>
      <w:sz w:val="20"/>
      <w:szCs w:val="20"/>
    </w:rPr>
  </w:style>
  <w:style w:type="character" w:customStyle="1" w:styleId="CommentTextChar">
    <w:name w:val="Comment Text Char"/>
    <w:basedOn w:val="DefaultParagraphFont"/>
    <w:link w:val="CommentText"/>
    <w:uiPriority w:val="99"/>
    <w:semiHidden/>
    <w:rsid w:val="008F013B"/>
    <w:rPr>
      <w:sz w:val="20"/>
      <w:szCs w:val="20"/>
    </w:rPr>
  </w:style>
  <w:style w:type="paragraph" w:styleId="CommentSubject">
    <w:name w:val="annotation subject"/>
    <w:basedOn w:val="CommentText"/>
    <w:next w:val="CommentText"/>
    <w:link w:val="CommentSubjectChar"/>
    <w:uiPriority w:val="99"/>
    <w:semiHidden/>
    <w:unhideWhenUsed/>
    <w:rsid w:val="008F013B"/>
    <w:rPr>
      <w:b/>
      <w:bCs/>
    </w:rPr>
  </w:style>
  <w:style w:type="character" w:customStyle="1" w:styleId="CommentSubjectChar">
    <w:name w:val="Comment Subject Char"/>
    <w:basedOn w:val="CommentTextChar"/>
    <w:link w:val="CommentSubject"/>
    <w:uiPriority w:val="99"/>
    <w:semiHidden/>
    <w:rsid w:val="008F013B"/>
    <w:rPr>
      <w:b/>
      <w:bCs/>
      <w:sz w:val="20"/>
      <w:szCs w:val="20"/>
    </w:rPr>
  </w:style>
  <w:style w:type="paragraph" w:styleId="BalloonText">
    <w:name w:val="Balloon Text"/>
    <w:basedOn w:val="Normal"/>
    <w:link w:val="BalloonTextChar"/>
    <w:uiPriority w:val="99"/>
    <w:semiHidden/>
    <w:unhideWhenUsed/>
    <w:rsid w:val="008F0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13B"/>
    <w:rPr>
      <w:rFonts w:ascii="Segoe UI" w:hAnsi="Segoe UI" w:cs="Segoe UI"/>
      <w:sz w:val="18"/>
      <w:szCs w:val="18"/>
    </w:rPr>
  </w:style>
  <w:style w:type="numbering" w:customStyle="1" w:styleId="Style1">
    <w:name w:val="Style1"/>
    <w:uiPriority w:val="99"/>
    <w:rsid w:val="00AB468A"/>
    <w:pPr>
      <w:numPr>
        <w:numId w:val="34"/>
      </w:numPr>
    </w:pPr>
  </w:style>
  <w:style w:type="paragraph" w:styleId="NormalIndent">
    <w:name w:val="Normal Indent"/>
    <w:basedOn w:val="Normal"/>
    <w:uiPriority w:val="99"/>
    <w:rsid w:val="00972C6F"/>
    <w:pPr>
      <w:ind w:left="720"/>
    </w:pPr>
    <w:rPr>
      <w:rFonts w:ascii="Times New Roman" w:eastAsia="Times New Roman" w:hAnsi="Times New Roman" w:cs="Times New Roman"/>
      <w:lang w:val="en-GB"/>
    </w:rPr>
  </w:style>
  <w:style w:type="paragraph" w:customStyle="1" w:styleId="Default">
    <w:name w:val="Default"/>
    <w:rsid w:val="00CC663C"/>
    <w:pPr>
      <w:autoSpaceDE w:val="0"/>
      <w:autoSpaceDN w:val="0"/>
      <w:adjustRightInd w:val="0"/>
    </w:pPr>
    <w:rPr>
      <w:rFonts w:ascii="Verdana" w:hAnsi="Verdana" w:cs="Verdana"/>
      <w:color w:val="000000"/>
      <w:lang w:val="en-GB"/>
    </w:rPr>
  </w:style>
  <w:style w:type="character" w:customStyle="1" w:styleId="A14">
    <w:name w:val="A14"/>
    <w:uiPriority w:val="99"/>
    <w:rsid w:val="00256773"/>
    <w:rPr>
      <w:rFonts w:cs="FS Lola"/>
      <w:b/>
      <w:bCs/>
      <w:color w:val="000000"/>
      <w:sz w:val="16"/>
      <w:szCs w:val="16"/>
    </w:rPr>
  </w:style>
  <w:style w:type="paragraph" w:customStyle="1" w:styleId="Pa8">
    <w:name w:val="Pa8"/>
    <w:basedOn w:val="Default"/>
    <w:next w:val="Default"/>
    <w:uiPriority w:val="99"/>
    <w:rsid w:val="005C7A06"/>
    <w:pPr>
      <w:spacing w:line="231" w:lineRule="atLeast"/>
    </w:pPr>
    <w:rPr>
      <w:rFonts w:ascii="FS Lola" w:hAnsi="FS Lola" w:cstheme="minorBidi"/>
      <w:color w:val="auto"/>
    </w:rPr>
  </w:style>
  <w:style w:type="character" w:customStyle="1" w:styleId="Heading3Char">
    <w:name w:val="Heading 3 Char"/>
    <w:basedOn w:val="DefaultParagraphFont"/>
    <w:link w:val="Heading3"/>
    <w:uiPriority w:val="9"/>
    <w:semiHidden/>
    <w:rsid w:val="004A2A79"/>
    <w:rPr>
      <w:rFonts w:asciiTheme="majorHAnsi" w:eastAsiaTheme="majorEastAsia" w:hAnsiTheme="majorHAnsi" w:cstheme="majorBidi"/>
      <w:color w:val="1F4D78" w:themeColor="accent1" w:themeShade="7F"/>
    </w:rPr>
  </w:style>
  <w:style w:type="character" w:customStyle="1" w:styleId="normaltextrun">
    <w:name w:val="normaltextrun"/>
    <w:basedOn w:val="DefaultParagraphFont"/>
    <w:rsid w:val="006B5250"/>
  </w:style>
  <w:style w:type="character" w:customStyle="1" w:styleId="eop">
    <w:name w:val="eop"/>
    <w:basedOn w:val="DefaultParagraphFont"/>
    <w:rsid w:val="006B5250"/>
  </w:style>
  <w:style w:type="paragraph" w:customStyle="1" w:styleId="Pa9">
    <w:name w:val="Pa9"/>
    <w:basedOn w:val="Default"/>
    <w:next w:val="Default"/>
    <w:uiPriority w:val="99"/>
    <w:rsid w:val="00C0161F"/>
    <w:pPr>
      <w:spacing w:line="231" w:lineRule="atLeast"/>
    </w:pPr>
    <w:rPr>
      <w:rFonts w:ascii="FS Lola" w:hAnsi="FS Lola" w:cstheme="minorBidi"/>
      <w:color w:val="auto"/>
    </w:rPr>
  </w:style>
  <w:style w:type="paragraph" w:customStyle="1" w:styleId="Pa28">
    <w:name w:val="Pa28"/>
    <w:basedOn w:val="Default"/>
    <w:next w:val="Default"/>
    <w:uiPriority w:val="99"/>
    <w:rsid w:val="00FB22F8"/>
    <w:pPr>
      <w:spacing w:line="231" w:lineRule="atLeast"/>
    </w:pPr>
    <w:rPr>
      <w:rFonts w:ascii="FS Lola" w:hAnsi="FS Lola" w:cstheme="minorBidi"/>
      <w:color w:val="auto"/>
    </w:rPr>
  </w:style>
  <w:style w:type="paragraph" w:customStyle="1" w:styleId="Pa12">
    <w:name w:val="Pa12"/>
    <w:basedOn w:val="Default"/>
    <w:next w:val="Default"/>
    <w:uiPriority w:val="99"/>
    <w:rsid w:val="000050C0"/>
    <w:pPr>
      <w:spacing w:line="231" w:lineRule="atLeast"/>
    </w:pPr>
    <w:rPr>
      <w:rFonts w:ascii="FS Lola" w:hAnsi="FS Lola" w:cstheme="minorBidi"/>
      <w:color w:val="auto"/>
    </w:rPr>
  </w:style>
  <w:style w:type="table" w:styleId="TableGrid">
    <w:name w:val="Table Grid"/>
    <w:basedOn w:val="TableNormal"/>
    <w:uiPriority w:val="39"/>
    <w:rsid w:val="006A783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basedOn w:val="Normal"/>
    <w:qFormat/>
    <w:rsid w:val="006A783B"/>
    <w:pPr>
      <w:numPr>
        <w:numId w:val="42"/>
      </w:numPr>
      <w:tabs>
        <w:tab w:val="left" w:pos="680"/>
        <w:tab w:val="left" w:pos="1021"/>
        <w:tab w:val="left" w:pos="1361"/>
        <w:tab w:val="left" w:pos="1701"/>
        <w:tab w:val="left" w:pos="2041"/>
      </w:tabs>
      <w:spacing w:before="40"/>
    </w:pPr>
    <w:rPr>
      <w:rFonts w:ascii="Arial" w:eastAsia="Times New Roman" w:hAnsi="Arial" w:cs="Times New Roman"/>
      <w:sz w:val="22"/>
      <w:lang w:val="en-GB" w:eastAsia="en-GB"/>
    </w:rPr>
  </w:style>
  <w:style w:type="numbering" w:customStyle="1" w:styleId="Bulletlist">
    <w:name w:val="Bullet list"/>
    <w:rsid w:val="006A783B"/>
    <w:pPr>
      <w:numPr>
        <w:numId w:val="42"/>
      </w:numPr>
    </w:pPr>
  </w:style>
  <w:style w:type="numbering" w:customStyle="1" w:styleId="NoList1">
    <w:name w:val="No List1"/>
    <w:next w:val="NoList"/>
    <w:uiPriority w:val="99"/>
    <w:semiHidden/>
    <w:unhideWhenUsed/>
    <w:rsid w:val="006A783B"/>
  </w:style>
  <w:style w:type="table" w:customStyle="1" w:styleId="TableGrid1">
    <w:name w:val="Table Grid1"/>
    <w:basedOn w:val="TableNormal"/>
    <w:next w:val="TableGrid"/>
    <w:rsid w:val="006A783B"/>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783B"/>
    <w:pPr>
      <w:spacing w:before="100" w:beforeAutospacing="1" w:after="100" w:afterAutospacing="1"/>
    </w:pPr>
    <w:rPr>
      <w:rFonts w:ascii="Times New Roman" w:eastAsia="Times New Roman" w:hAnsi="Times New Roman" w:cs="Times New Roman"/>
      <w:lang w:val="en-GB" w:eastAsia="en-GB"/>
    </w:rPr>
  </w:style>
  <w:style w:type="character" w:customStyle="1" w:styleId="contextualspellingandgrammarerror">
    <w:name w:val="contextualspellingandgrammarerror"/>
    <w:basedOn w:val="DefaultParagraphFont"/>
    <w:rsid w:val="006A783B"/>
  </w:style>
  <w:style w:type="paragraph" w:styleId="Revision">
    <w:name w:val="Revision"/>
    <w:hidden/>
    <w:uiPriority w:val="99"/>
    <w:semiHidden/>
    <w:rsid w:val="006A783B"/>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65">
      <w:bodyDiv w:val="1"/>
      <w:marLeft w:val="0"/>
      <w:marRight w:val="0"/>
      <w:marTop w:val="0"/>
      <w:marBottom w:val="0"/>
      <w:divBdr>
        <w:top w:val="none" w:sz="0" w:space="0" w:color="auto"/>
        <w:left w:val="none" w:sz="0" w:space="0" w:color="auto"/>
        <w:bottom w:val="none" w:sz="0" w:space="0" w:color="auto"/>
        <w:right w:val="none" w:sz="0" w:space="0" w:color="auto"/>
      </w:divBdr>
    </w:div>
    <w:div w:id="52392213">
      <w:bodyDiv w:val="1"/>
      <w:marLeft w:val="0"/>
      <w:marRight w:val="0"/>
      <w:marTop w:val="0"/>
      <w:marBottom w:val="0"/>
      <w:divBdr>
        <w:top w:val="none" w:sz="0" w:space="0" w:color="auto"/>
        <w:left w:val="none" w:sz="0" w:space="0" w:color="auto"/>
        <w:bottom w:val="none" w:sz="0" w:space="0" w:color="auto"/>
        <w:right w:val="none" w:sz="0" w:space="0" w:color="auto"/>
      </w:divBdr>
    </w:div>
    <w:div w:id="54472545">
      <w:bodyDiv w:val="1"/>
      <w:marLeft w:val="0"/>
      <w:marRight w:val="0"/>
      <w:marTop w:val="0"/>
      <w:marBottom w:val="0"/>
      <w:divBdr>
        <w:top w:val="none" w:sz="0" w:space="0" w:color="auto"/>
        <w:left w:val="none" w:sz="0" w:space="0" w:color="auto"/>
        <w:bottom w:val="none" w:sz="0" w:space="0" w:color="auto"/>
        <w:right w:val="none" w:sz="0" w:space="0" w:color="auto"/>
      </w:divBdr>
    </w:div>
    <w:div w:id="55983207">
      <w:bodyDiv w:val="1"/>
      <w:marLeft w:val="0"/>
      <w:marRight w:val="0"/>
      <w:marTop w:val="0"/>
      <w:marBottom w:val="0"/>
      <w:divBdr>
        <w:top w:val="none" w:sz="0" w:space="0" w:color="auto"/>
        <w:left w:val="none" w:sz="0" w:space="0" w:color="auto"/>
        <w:bottom w:val="none" w:sz="0" w:space="0" w:color="auto"/>
        <w:right w:val="none" w:sz="0" w:space="0" w:color="auto"/>
      </w:divBdr>
    </w:div>
    <w:div w:id="65155898">
      <w:bodyDiv w:val="1"/>
      <w:marLeft w:val="0"/>
      <w:marRight w:val="0"/>
      <w:marTop w:val="0"/>
      <w:marBottom w:val="0"/>
      <w:divBdr>
        <w:top w:val="none" w:sz="0" w:space="0" w:color="auto"/>
        <w:left w:val="none" w:sz="0" w:space="0" w:color="auto"/>
        <w:bottom w:val="none" w:sz="0" w:space="0" w:color="auto"/>
        <w:right w:val="none" w:sz="0" w:space="0" w:color="auto"/>
      </w:divBdr>
    </w:div>
    <w:div w:id="191380667">
      <w:bodyDiv w:val="1"/>
      <w:marLeft w:val="0"/>
      <w:marRight w:val="0"/>
      <w:marTop w:val="0"/>
      <w:marBottom w:val="0"/>
      <w:divBdr>
        <w:top w:val="none" w:sz="0" w:space="0" w:color="auto"/>
        <w:left w:val="none" w:sz="0" w:space="0" w:color="auto"/>
        <w:bottom w:val="none" w:sz="0" w:space="0" w:color="auto"/>
        <w:right w:val="none" w:sz="0" w:space="0" w:color="auto"/>
      </w:divBdr>
    </w:div>
    <w:div w:id="285357124">
      <w:bodyDiv w:val="1"/>
      <w:marLeft w:val="0"/>
      <w:marRight w:val="0"/>
      <w:marTop w:val="0"/>
      <w:marBottom w:val="0"/>
      <w:divBdr>
        <w:top w:val="none" w:sz="0" w:space="0" w:color="auto"/>
        <w:left w:val="none" w:sz="0" w:space="0" w:color="auto"/>
        <w:bottom w:val="none" w:sz="0" w:space="0" w:color="auto"/>
        <w:right w:val="none" w:sz="0" w:space="0" w:color="auto"/>
      </w:divBdr>
    </w:div>
    <w:div w:id="327363639">
      <w:bodyDiv w:val="1"/>
      <w:marLeft w:val="0"/>
      <w:marRight w:val="0"/>
      <w:marTop w:val="0"/>
      <w:marBottom w:val="0"/>
      <w:divBdr>
        <w:top w:val="none" w:sz="0" w:space="0" w:color="auto"/>
        <w:left w:val="none" w:sz="0" w:space="0" w:color="auto"/>
        <w:bottom w:val="none" w:sz="0" w:space="0" w:color="auto"/>
        <w:right w:val="none" w:sz="0" w:space="0" w:color="auto"/>
      </w:divBdr>
    </w:div>
    <w:div w:id="419064959">
      <w:bodyDiv w:val="1"/>
      <w:marLeft w:val="0"/>
      <w:marRight w:val="0"/>
      <w:marTop w:val="0"/>
      <w:marBottom w:val="0"/>
      <w:divBdr>
        <w:top w:val="none" w:sz="0" w:space="0" w:color="auto"/>
        <w:left w:val="none" w:sz="0" w:space="0" w:color="auto"/>
        <w:bottom w:val="none" w:sz="0" w:space="0" w:color="auto"/>
        <w:right w:val="none" w:sz="0" w:space="0" w:color="auto"/>
      </w:divBdr>
    </w:div>
    <w:div w:id="513955668">
      <w:bodyDiv w:val="1"/>
      <w:marLeft w:val="0"/>
      <w:marRight w:val="0"/>
      <w:marTop w:val="0"/>
      <w:marBottom w:val="0"/>
      <w:divBdr>
        <w:top w:val="none" w:sz="0" w:space="0" w:color="auto"/>
        <w:left w:val="none" w:sz="0" w:space="0" w:color="auto"/>
        <w:bottom w:val="none" w:sz="0" w:space="0" w:color="auto"/>
        <w:right w:val="none" w:sz="0" w:space="0" w:color="auto"/>
      </w:divBdr>
    </w:div>
    <w:div w:id="679509856">
      <w:bodyDiv w:val="1"/>
      <w:marLeft w:val="0"/>
      <w:marRight w:val="0"/>
      <w:marTop w:val="0"/>
      <w:marBottom w:val="0"/>
      <w:divBdr>
        <w:top w:val="none" w:sz="0" w:space="0" w:color="auto"/>
        <w:left w:val="none" w:sz="0" w:space="0" w:color="auto"/>
        <w:bottom w:val="none" w:sz="0" w:space="0" w:color="auto"/>
        <w:right w:val="none" w:sz="0" w:space="0" w:color="auto"/>
      </w:divBdr>
    </w:div>
    <w:div w:id="720523809">
      <w:bodyDiv w:val="1"/>
      <w:marLeft w:val="0"/>
      <w:marRight w:val="0"/>
      <w:marTop w:val="0"/>
      <w:marBottom w:val="0"/>
      <w:divBdr>
        <w:top w:val="none" w:sz="0" w:space="0" w:color="auto"/>
        <w:left w:val="none" w:sz="0" w:space="0" w:color="auto"/>
        <w:bottom w:val="none" w:sz="0" w:space="0" w:color="auto"/>
        <w:right w:val="none" w:sz="0" w:space="0" w:color="auto"/>
      </w:divBdr>
    </w:div>
    <w:div w:id="800684129">
      <w:bodyDiv w:val="1"/>
      <w:marLeft w:val="0"/>
      <w:marRight w:val="0"/>
      <w:marTop w:val="0"/>
      <w:marBottom w:val="0"/>
      <w:divBdr>
        <w:top w:val="none" w:sz="0" w:space="0" w:color="auto"/>
        <w:left w:val="none" w:sz="0" w:space="0" w:color="auto"/>
        <w:bottom w:val="none" w:sz="0" w:space="0" w:color="auto"/>
        <w:right w:val="none" w:sz="0" w:space="0" w:color="auto"/>
      </w:divBdr>
    </w:div>
    <w:div w:id="815226306">
      <w:bodyDiv w:val="1"/>
      <w:marLeft w:val="0"/>
      <w:marRight w:val="0"/>
      <w:marTop w:val="0"/>
      <w:marBottom w:val="0"/>
      <w:divBdr>
        <w:top w:val="none" w:sz="0" w:space="0" w:color="auto"/>
        <w:left w:val="none" w:sz="0" w:space="0" w:color="auto"/>
        <w:bottom w:val="none" w:sz="0" w:space="0" w:color="auto"/>
        <w:right w:val="none" w:sz="0" w:space="0" w:color="auto"/>
      </w:divBdr>
    </w:div>
    <w:div w:id="890578123">
      <w:bodyDiv w:val="1"/>
      <w:marLeft w:val="0"/>
      <w:marRight w:val="0"/>
      <w:marTop w:val="0"/>
      <w:marBottom w:val="0"/>
      <w:divBdr>
        <w:top w:val="none" w:sz="0" w:space="0" w:color="auto"/>
        <w:left w:val="none" w:sz="0" w:space="0" w:color="auto"/>
        <w:bottom w:val="none" w:sz="0" w:space="0" w:color="auto"/>
        <w:right w:val="none" w:sz="0" w:space="0" w:color="auto"/>
      </w:divBdr>
    </w:div>
    <w:div w:id="1009023327">
      <w:bodyDiv w:val="1"/>
      <w:marLeft w:val="0"/>
      <w:marRight w:val="0"/>
      <w:marTop w:val="0"/>
      <w:marBottom w:val="0"/>
      <w:divBdr>
        <w:top w:val="none" w:sz="0" w:space="0" w:color="auto"/>
        <w:left w:val="none" w:sz="0" w:space="0" w:color="auto"/>
        <w:bottom w:val="none" w:sz="0" w:space="0" w:color="auto"/>
        <w:right w:val="none" w:sz="0" w:space="0" w:color="auto"/>
      </w:divBdr>
    </w:div>
    <w:div w:id="1029523631">
      <w:bodyDiv w:val="1"/>
      <w:marLeft w:val="0"/>
      <w:marRight w:val="0"/>
      <w:marTop w:val="0"/>
      <w:marBottom w:val="0"/>
      <w:divBdr>
        <w:top w:val="none" w:sz="0" w:space="0" w:color="auto"/>
        <w:left w:val="none" w:sz="0" w:space="0" w:color="auto"/>
        <w:bottom w:val="none" w:sz="0" w:space="0" w:color="auto"/>
        <w:right w:val="none" w:sz="0" w:space="0" w:color="auto"/>
      </w:divBdr>
    </w:div>
    <w:div w:id="1030573680">
      <w:bodyDiv w:val="1"/>
      <w:marLeft w:val="0"/>
      <w:marRight w:val="0"/>
      <w:marTop w:val="0"/>
      <w:marBottom w:val="0"/>
      <w:divBdr>
        <w:top w:val="none" w:sz="0" w:space="0" w:color="auto"/>
        <w:left w:val="none" w:sz="0" w:space="0" w:color="auto"/>
        <w:bottom w:val="none" w:sz="0" w:space="0" w:color="auto"/>
        <w:right w:val="none" w:sz="0" w:space="0" w:color="auto"/>
      </w:divBdr>
    </w:div>
    <w:div w:id="1037201608">
      <w:bodyDiv w:val="1"/>
      <w:marLeft w:val="0"/>
      <w:marRight w:val="0"/>
      <w:marTop w:val="0"/>
      <w:marBottom w:val="0"/>
      <w:divBdr>
        <w:top w:val="none" w:sz="0" w:space="0" w:color="auto"/>
        <w:left w:val="none" w:sz="0" w:space="0" w:color="auto"/>
        <w:bottom w:val="none" w:sz="0" w:space="0" w:color="auto"/>
        <w:right w:val="none" w:sz="0" w:space="0" w:color="auto"/>
      </w:divBdr>
    </w:div>
    <w:div w:id="1152215006">
      <w:bodyDiv w:val="1"/>
      <w:marLeft w:val="0"/>
      <w:marRight w:val="0"/>
      <w:marTop w:val="0"/>
      <w:marBottom w:val="0"/>
      <w:divBdr>
        <w:top w:val="none" w:sz="0" w:space="0" w:color="auto"/>
        <w:left w:val="none" w:sz="0" w:space="0" w:color="auto"/>
        <w:bottom w:val="none" w:sz="0" w:space="0" w:color="auto"/>
        <w:right w:val="none" w:sz="0" w:space="0" w:color="auto"/>
      </w:divBdr>
    </w:div>
    <w:div w:id="1172450696">
      <w:bodyDiv w:val="1"/>
      <w:marLeft w:val="0"/>
      <w:marRight w:val="0"/>
      <w:marTop w:val="0"/>
      <w:marBottom w:val="0"/>
      <w:divBdr>
        <w:top w:val="none" w:sz="0" w:space="0" w:color="auto"/>
        <w:left w:val="none" w:sz="0" w:space="0" w:color="auto"/>
        <w:bottom w:val="none" w:sz="0" w:space="0" w:color="auto"/>
        <w:right w:val="none" w:sz="0" w:space="0" w:color="auto"/>
      </w:divBdr>
    </w:div>
    <w:div w:id="1173840909">
      <w:bodyDiv w:val="1"/>
      <w:marLeft w:val="0"/>
      <w:marRight w:val="0"/>
      <w:marTop w:val="0"/>
      <w:marBottom w:val="0"/>
      <w:divBdr>
        <w:top w:val="none" w:sz="0" w:space="0" w:color="auto"/>
        <w:left w:val="none" w:sz="0" w:space="0" w:color="auto"/>
        <w:bottom w:val="none" w:sz="0" w:space="0" w:color="auto"/>
        <w:right w:val="none" w:sz="0" w:space="0" w:color="auto"/>
      </w:divBdr>
    </w:div>
    <w:div w:id="1235775949">
      <w:bodyDiv w:val="1"/>
      <w:marLeft w:val="0"/>
      <w:marRight w:val="0"/>
      <w:marTop w:val="0"/>
      <w:marBottom w:val="0"/>
      <w:divBdr>
        <w:top w:val="none" w:sz="0" w:space="0" w:color="auto"/>
        <w:left w:val="none" w:sz="0" w:space="0" w:color="auto"/>
        <w:bottom w:val="none" w:sz="0" w:space="0" w:color="auto"/>
        <w:right w:val="none" w:sz="0" w:space="0" w:color="auto"/>
      </w:divBdr>
    </w:div>
    <w:div w:id="1252081388">
      <w:bodyDiv w:val="1"/>
      <w:marLeft w:val="0"/>
      <w:marRight w:val="0"/>
      <w:marTop w:val="0"/>
      <w:marBottom w:val="0"/>
      <w:divBdr>
        <w:top w:val="none" w:sz="0" w:space="0" w:color="auto"/>
        <w:left w:val="none" w:sz="0" w:space="0" w:color="auto"/>
        <w:bottom w:val="none" w:sz="0" w:space="0" w:color="auto"/>
        <w:right w:val="none" w:sz="0" w:space="0" w:color="auto"/>
      </w:divBdr>
    </w:div>
    <w:div w:id="1308512022">
      <w:bodyDiv w:val="1"/>
      <w:marLeft w:val="0"/>
      <w:marRight w:val="0"/>
      <w:marTop w:val="0"/>
      <w:marBottom w:val="0"/>
      <w:divBdr>
        <w:top w:val="none" w:sz="0" w:space="0" w:color="auto"/>
        <w:left w:val="none" w:sz="0" w:space="0" w:color="auto"/>
        <w:bottom w:val="none" w:sz="0" w:space="0" w:color="auto"/>
        <w:right w:val="none" w:sz="0" w:space="0" w:color="auto"/>
      </w:divBdr>
    </w:div>
    <w:div w:id="1377654955">
      <w:bodyDiv w:val="1"/>
      <w:marLeft w:val="0"/>
      <w:marRight w:val="0"/>
      <w:marTop w:val="0"/>
      <w:marBottom w:val="0"/>
      <w:divBdr>
        <w:top w:val="none" w:sz="0" w:space="0" w:color="auto"/>
        <w:left w:val="none" w:sz="0" w:space="0" w:color="auto"/>
        <w:bottom w:val="none" w:sz="0" w:space="0" w:color="auto"/>
        <w:right w:val="none" w:sz="0" w:space="0" w:color="auto"/>
      </w:divBdr>
    </w:div>
    <w:div w:id="1501502243">
      <w:bodyDiv w:val="1"/>
      <w:marLeft w:val="0"/>
      <w:marRight w:val="0"/>
      <w:marTop w:val="0"/>
      <w:marBottom w:val="0"/>
      <w:divBdr>
        <w:top w:val="none" w:sz="0" w:space="0" w:color="auto"/>
        <w:left w:val="none" w:sz="0" w:space="0" w:color="auto"/>
        <w:bottom w:val="none" w:sz="0" w:space="0" w:color="auto"/>
        <w:right w:val="none" w:sz="0" w:space="0" w:color="auto"/>
      </w:divBdr>
    </w:div>
    <w:div w:id="1621717472">
      <w:bodyDiv w:val="1"/>
      <w:marLeft w:val="0"/>
      <w:marRight w:val="0"/>
      <w:marTop w:val="0"/>
      <w:marBottom w:val="0"/>
      <w:divBdr>
        <w:top w:val="none" w:sz="0" w:space="0" w:color="auto"/>
        <w:left w:val="none" w:sz="0" w:space="0" w:color="auto"/>
        <w:bottom w:val="none" w:sz="0" w:space="0" w:color="auto"/>
        <w:right w:val="none" w:sz="0" w:space="0" w:color="auto"/>
      </w:divBdr>
    </w:div>
    <w:div w:id="1653097854">
      <w:bodyDiv w:val="1"/>
      <w:marLeft w:val="0"/>
      <w:marRight w:val="0"/>
      <w:marTop w:val="0"/>
      <w:marBottom w:val="0"/>
      <w:divBdr>
        <w:top w:val="none" w:sz="0" w:space="0" w:color="auto"/>
        <w:left w:val="none" w:sz="0" w:space="0" w:color="auto"/>
        <w:bottom w:val="none" w:sz="0" w:space="0" w:color="auto"/>
        <w:right w:val="none" w:sz="0" w:space="0" w:color="auto"/>
      </w:divBdr>
    </w:div>
    <w:div w:id="1701323773">
      <w:bodyDiv w:val="1"/>
      <w:marLeft w:val="0"/>
      <w:marRight w:val="0"/>
      <w:marTop w:val="0"/>
      <w:marBottom w:val="0"/>
      <w:divBdr>
        <w:top w:val="none" w:sz="0" w:space="0" w:color="auto"/>
        <w:left w:val="none" w:sz="0" w:space="0" w:color="auto"/>
        <w:bottom w:val="none" w:sz="0" w:space="0" w:color="auto"/>
        <w:right w:val="none" w:sz="0" w:space="0" w:color="auto"/>
      </w:divBdr>
    </w:div>
    <w:div w:id="1733577791">
      <w:bodyDiv w:val="1"/>
      <w:marLeft w:val="0"/>
      <w:marRight w:val="0"/>
      <w:marTop w:val="0"/>
      <w:marBottom w:val="0"/>
      <w:divBdr>
        <w:top w:val="none" w:sz="0" w:space="0" w:color="auto"/>
        <w:left w:val="none" w:sz="0" w:space="0" w:color="auto"/>
        <w:bottom w:val="none" w:sz="0" w:space="0" w:color="auto"/>
        <w:right w:val="none" w:sz="0" w:space="0" w:color="auto"/>
      </w:divBdr>
    </w:div>
    <w:div w:id="1747265998">
      <w:bodyDiv w:val="1"/>
      <w:marLeft w:val="0"/>
      <w:marRight w:val="0"/>
      <w:marTop w:val="0"/>
      <w:marBottom w:val="0"/>
      <w:divBdr>
        <w:top w:val="none" w:sz="0" w:space="0" w:color="auto"/>
        <w:left w:val="none" w:sz="0" w:space="0" w:color="auto"/>
        <w:bottom w:val="none" w:sz="0" w:space="0" w:color="auto"/>
        <w:right w:val="none" w:sz="0" w:space="0" w:color="auto"/>
      </w:divBdr>
    </w:div>
    <w:div w:id="1868058034">
      <w:bodyDiv w:val="1"/>
      <w:marLeft w:val="0"/>
      <w:marRight w:val="0"/>
      <w:marTop w:val="0"/>
      <w:marBottom w:val="0"/>
      <w:divBdr>
        <w:top w:val="none" w:sz="0" w:space="0" w:color="auto"/>
        <w:left w:val="none" w:sz="0" w:space="0" w:color="auto"/>
        <w:bottom w:val="none" w:sz="0" w:space="0" w:color="auto"/>
        <w:right w:val="none" w:sz="0" w:space="0" w:color="auto"/>
      </w:divBdr>
    </w:div>
    <w:div w:id="1938367300">
      <w:bodyDiv w:val="1"/>
      <w:marLeft w:val="0"/>
      <w:marRight w:val="0"/>
      <w:marTop w:val="0"/>
      <w:marBottom w:val="0"/>
      <w:divBdr>
        <w:top w:val="none" w:sz="0" w:space="0" w:color="auto"/>
        <w:left w:val="none" w:sz="0" w:space="0" w:color="auto"/>
        <w:bottom w:val="none" w:sz="0" w:space="0" w:color="auto"/>
        <w:right w:val="none" w:sz="0" w:space="0" w:color="auto"/>
      </w:divBdr>
    </w:div>
    <w:div w:id="1979796150">
      <w:bodyDiv w:val="1"/>
      <w:marLeft w:val="0"/>
      <w:marRight w:val="0"/>
      <w:marTop w:val="0"/>
      <w:marBottom w:val="0"/>
      <w:divBdr>
        <w:top w:val="none" w:sz="0" w:space="0" w:color="auto"/>
        <w:left w:val="none" w:sz="0" w:space="0" w:color="auto"/>
        <w:bottom w:val="none" w:sz="0" w:space="0" w:color="auto"/>
        <w:right w:val="none" w:sz="0" w:space="0" w:color="auto"/>
      </w:divBdr>
    </w:div>
    <w:div w:id="2066489688">
      <w:bodyDiv w:val="1"/>
      <w:marLeft w:val="0"/>
      <w:marRight w:val="0"/>
      <w:marTop w:val="0"/>
      <w:marBottom w:val="0"/>
      <w:divBdr>
        <w:top w:val="none" w:sz="0" w:space="0" w:color="auto"/>
        <w:left w:val="none" w:sz="0" w:space="0" w:color="auto"/>
        <w:bottom w:val="none" w:sz="0" w:space="0" w:color="auto"/>
        <w:right w:val="none" w:sz="0" w:space="0" w:color="auto"/>
      </w:divBdr>
    </w:div>
    <w:div w:id="2068912668">
      <w:bodyDiv w:val="1"/>
      <w:marLeft w:val="0"/>
      <w:marRight w:val="0"/>
      <w:marTop w:val="0"/>
      <w:marBottom w:val="0"/>
      <w:divBdr>
        <w:top w:val="none" w:sz="0" w:space="0" w:color="auto"/>
        <w:left w:val="none" w:sz="0" w:space="0" w:color="auto"/>
        <w:bottom w:val="none" w:sz="0" w:space="0" w:color="auto"/>
        <w:right w:val="none" w:sz="0" w:space="0" w:color="auto"/>
      </w:divBdr>
    </w:div>
    <w:div w:id="2142573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329916BD3C946A449BB42A76EC42F" ma:contentTypeVersion="5" ma:contentTypeDescription="Create a new document." ma:contentTypeScope="" ma:versionID="2959155289b476cf437501885da99878">
  <xsd:schema xmlns:xsd="http://www.w3.org/2001/XMLSchema" xmlns:xs="http://www.w3.org/2001/XMLSchema" xmlns:p="http://schemas.microsoft.com/office/2006/metadata/properties" xmlns:ns3="5e465997-e65f-41a0-87a3-5ad83bc1d321" xmlns:ns4="5c17c027-f0d7-462f-a289-949f5464e6f1" targetNamespace="http://schemas.microsoft.com/office/2006/metadata/properties" ma:root="true" ma:fieldsID="970df023f2b94842e8dfc6881515b6ee" ns3:_="" ns4:_="">
    <xsd:import namespace="5e465997-e65f-41a0-87a3-5ad83bc1d321"/>
    <xsd:import namespace="5c17c027-f0d7-462f-a289-949f5464e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5997-e65f-41a0-87a3-5ad83bc1d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7c027-f0d7-462f-a289-949f5464e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4B98-3DEE-49C1-8E75-277A2140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5997-e65f-41a0-87a3-5ad83bc1d321"/>
    <ds:schemaRef ds:uri="5c17c027-f0d7-462f-a289-949f5464e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B6EF3-4284-4F70-A37E-0A38CE39438F}">
  <ds:schemaRefs>
    <ds:schemaRef ds:uri="http://schemas.microsoft.com/sharepoint/v3/contenttype/forms"/>
  </ds:schemaRefs>
</ds:datastoreItem>
</file>

<file path=customXml/itemProps3.xml><?xml version="1.0" encoding="utf-8"?>
<ds:datastoreItem xmlns:ds="http://schemas.openxmlformats.org/officeDocument/2006/customXml" ds:itemID="{FFDBF94B-C5B0-46F1-9242-E299AD752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730408-6FFF-4FAF-A6BB-D8A17E02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30257</Words>
  <Characters>172469</Characters>
  <Application>Microsoft Office Word</Application>
  <DocSecurity>2</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Thompson</dc:creator>
  <cp:lastModifiedBy>Mansbridge Sarah     H.Q.</cp:lastModifiedBy>
  <cp:revision>4</cp:revision>
  <cp:lastPrinted>2019-05-31T09:04:00Z</cp:lastPrinted>
  <dcterms:created xsi:type="dcterms:W3CDTF">2020-09-30T11:42:00Z</dcterms:created>
  <dcterms:modified xsi:type="dcterms:W3CDTF">2020-09-30T11:46:00Z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0x010100453329916BD3C946A449BB42A76EC42F</vt:lpwstr>
  </property>
</Properties>
</file>